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13"/>
        <w:tblW w:w="9814" w:type="dxa"/>
        <w:tblInd w:w="-208" w:type="dxa"/>
        <w:tblLayout w:type="fixed"/>
        <w:tblCellMar>
          <w:top w:w="0" w:type="dxa"/>
          <w:left w:w="108" w:type="dxa"/>
          <w:bottom w:w="0" w:type="dxa"/>
          <w:right w:w="108" w:type="dxa"/>
        </w:tblCellMar>
      </w:tblPr>
      <w:tblGrid>
        <w:gridCol w:w="1756"/>
        <w:gridCol w:w="1866"/>
        <w:gridCol w:w="1470"/>
        <w:gridCol w:w="1745"/>
        <w:gridCol w:w="1276"/>
        <w:gridCol w:w="1701"/>
      </w:tblGrid>
      <w:tr w14:paraId="63F4160E">
        <w:tblPrEx>
          <w:tblCellMar>
            <w:top w:w="0" w:type="dxa"/>
            <w:left w:w="108" w:type="dxa"/>
            <w:bottom w:w="0" w:type="dxa"/>
            <w:right w:w="108" w:type="dxa"/>
          </w:tblCellMar>
        </w:tblPrEx>
        <w:trPr>
          <w:trHeight w:val="571" w:hRule="atLeast"/>
        </w:trPr>
        <w:tc>
          <w:tcPr>
            <w:tcW w:w="1756" w:type="dxa"/>
            <w:tcBorders>
              <w:top w:val="single" w:color="auto" w:sz="4" w:space="0"/>
              <w:left w:val="single" w:color="auto" w:sz="4" w:space="0"/>
              <w:bottom w:val="single" w:color="auto" w:sz="4" w:space="0"/>
              <w:right w:val="single" w:color="auto" w:sz="4" w:space="0"/>
            </w:tcBorders>
            <w:shd w:val="clear" w:color="auto" w:fill="C0C0C0"/>
            <w:vAlign w:val="center"/>
          </w:tcPr>
          <w:p w14:paraId="24D09A60">
            <w:pPr>
              <w:widowControl/>
              <w:spacing w:line="280" w:lineRule="exact"/>
              <w:jc w:val="center"/>
              <w:rPr>
                <w:rFonts w:hint="eastAsia" w:ascii="仿宋" w:hAnsi="仿宋" w:eastAsia="仿宋" w:cs="仿宋"/>
                <w:kern w:val="0"/>
                <w:sz w:val="24"/>
                <w:szCs w:val="24"/>
              </w:rPr>
            </w:pPr>
            <w:r>
              <w:rPr>
                <w:rFonts w:hint="eastAsia" w:ascii="仿宋" w:hAnsi="仿宋" w:eastAsia="仿宋" w:cs="仿宋"/>
                <w:kern w:val="0"/>
                <w:sz w:val="24"/>
                <w:szCs w:val="24"/>
              </w:rPr>
              <w:t>项目名称</w:t>
            </w:r>
          </w:p>
        </w:tc>
        <w:tc>
          <w:tcPr>
            <w:tcW w:w="1866" w:type="dxa"/>
            <w:tcBorders>
              <w:top w:val="single" w:color="auto" w:sz="4" w:space="0"/>
              <w:left w:val="nil"/>
              <w:bottom w:val="single" w:color="auto" w:sz="4" w:space="0"/>
              <w:right w:val="single" w:color="auto" w:sz="4" w:space="0"/>
            </w:tcBorders>
            <w:shd w:val="clear" w:color="auto" w:fill="auto"/>
            <w:vAlign w:val="center"/>
          </w:tcPr>
          <w:p w14:paraId="02F54F64">
            <w:pPr>
              <w:widowControl/>
              <w:spacing w:line="280" w:lineRule="exact"/>
              <w:jc w:val="center"/>
              <w:rPr>
                <w:rFonts w:hint="eastAsia" w:ascii="仿宋" w:hAnsi="仿宋" w:eastAsia="仿宋" w:cs="仿宋"/>
                <w:sz w:val="24"/>
                <w:szCs w:val="24"/>
              </w:rPr>
            </w:pPr>
            <w:r>
              <w:rPr>
                <w:rFonts w:hint="eastAsia" w:ascii="仿宋" w:hAnsi="仿宋" w:eastAsia="仿宋" w:cs="仿宋"/>
                <w:sz w:val="24"/>
                <w:szCs w:val="24"/>
                <w:lang w:val="en-US" w:eastAsia="zh-CN"/>
              </w:rPr>
              <w:t>年产110万t绿色高性能金属新材料生产基地项目</w:t>
            </w:r>
          </w:p>
        </w:tc>
        <w:tc>
          <w:tcPr>
            <w:tcW w:w="1470" w:type="dxa"/>
            <w:tcBorders>
              <w:top w:val="single" w:color="auto" w:sz="4" w:space="0"/>
              <w:left w:val="nil"/>
              <w:bottom w:val="single" w:color="auto" w:sz="4" w:space="0"/>
              <w:right w:val="single" w:color="auto" w:sz="4" w:space="0"/>
            </w:tcBorders>
            <w:shd w:val="clear" w:color="auto" w:fill="C0C0C0"/>
            <w:vAlign w:val="center"/>
          </w:tcPr>
          <w:p w14:paraId="223AC5B9">
            <w:pPr>
              <w:widowControl/>
              <w:spacing w:line="280" w:lineRule="exact"/>
              <w:jc w:val="center"/>
              <w:rPr>
                <w:rFonts w:hint="eastAsia" w:ascii="仿宋" w:hAnsi="仿宋" w:eastAsia="仿宋" w:cs="仿宋"/>
                <w:kern w:val="0"/>
                <w:sz w:val="24"/>
                <w:szCs w:val="24"/>
              </w:rPr>
            </w:pPr>
            <w:r>
              <w:rPr>
                <w:rFonts w:hint="eastAsia" w:ascii="仿宋" w:hAnsi="仿宋" w:eastAsia="仿宋" w:cs="仿宋"/>
                <w:kern w:val="0"/>
                <w:sz w:val="24"/>
                <w:szCs w:val="24"/>
              </w:rPr>
              <w:t>建设地点</w:t>
            </w:r>
          </w:p>
        </w:tc>
        <w:tc>
          <w:tcPr>
            <w:tcW w:w="1745" w:type="dxa"/>
            <w:tcBorders>
              <w:top w:val="single" w:color="auto" w:sz="4" w:space="0"/>
              <w:left w:val="nil"/>
              <w:bottom w:val="single" w:color="auto" w:sz="4" w:space="0"/>
              <w:right w:val="single" w:color="auto" w:sz="4" w:space="0"/>
            </w:tcBorders>
            <w:shd w:val="clear" w:color="auto" w:fill="auto"/>
            <w:vAlign w:val="center"/>
          </w:tcPr>
          <w:p w14:paraId="4C10DCE4">
            <w:pPr>
              <w:widowControl/>
              <w:spacing w:line="280" w:lineRule="exact"/>
              <w:jc w:val="center"/>
              <w:rPr>
                <w:rFonts w:hint="eastAsia" w:ascii="仿宋" w:hAnsi="仿宋" w:eastAsia="仿宋" w:cs="仿宋"/>
                <w:sz w:val="24"/>
                <w:szCs w:val="24"/>
              </w:rPr>
            </w:pPr>
            <w:r>
              <w:rPr>
                <w:rFonts w:hint="eastAsia" w:ascii="仿宋" w:hAnsi="仿宋" w:eastAsia="仿宋" w:cs="仿宋"/>
                <w:sz w:val="24"/>
                <w:szCs w:val="24"/>
                <w:lang w:val="en-US" w:eastAsia="zh-CN"/>
              </w:rPr>
              <w:t>云南马龙产业园区鸡头村片区</w:t>
            </w:r>
          </w:p>
        </w:tc>
        <w:tc>
          <w:tcPr>
            <w:tcW w:w="1276" w:type="dxa"/>
            <w:tcBorders>
              <w:top w:val="single" w:color="auto" w:sz="4" w:space="0"/>
              <w:left w:val="nil"/>
              <w:bottom w:val="single" w:color="auto" w:sz="4" w:space="0"/>
              <w:right w:val="single" w:color="auto" w:sz="4" w:space="0"/>
            </w:tcBorders>
            <w:shd w:val="clear" w:color="auto" w:fill="C0C0C0"/>
            <w:vAlign w:val="center"/>
          </w:tcPr>
          <w:p w14:paraId="1C0AF66E">
            <w:pPr>
              <w:widowControl/>
              <w:spacing w:line="280" w:lineRule="exact"/>
              <w:jc w:val="center"/>
              <w:rPr>
                <w:rFonts w:hint="eastAsia" w:ascii="仿宋" w:hAnsi="仿宋" w:eastAsia="仿宋" w:cs="仿宋"/>
                <w:kern w:val="0"/>
                <w:sz w:val="24"/>
                <w:szCs w:val="24"/>
              </w:rPr>
            </w:pPr>
            <w:r>
              <w:rPr>
                <w:rFonts w:hint="eastAsia" w:ascii="仿宋" w:hAnsi="仿宋" w:eastAsia="仿宋" w:cs="仿宋"/>
                <w:kern w:val="0"/>
                <w:sz w:val="24"/>
                <w:szCs w:val="24"/>
              </w:rPr>
              <w:t>建设单位</w:t>
            </w:r>
          </w:p>
        </w:tc>
        <w:tc>
          <w:tcPr>
            <w:tcW w:w="1701" w:type="dxa"/>
            <w:tcBorders>
              <w:top w:val="single" w:color="auto" w:sz="4" w:space="0"/>
              <w:left w:val="nil"/>
              <w:bottom w:val="single" w:color="auto" w:sz="4" w:space="0"/>
              <w:right w:val="single" w:color="auto" w:sz="4" w:space="0"/>
            </w:tcBorders>
            <w:vAlign w:val="center"/>
          </w:tcPr>
          <w:p w14:paraId="4B8E15CD">
            <w:pPr>
              <w:widowControl/>
              <w:spacing w:line="280" w:lineRule="exact"/>
              <w:jc w:val="center"/>
              <w:rPr>
                <w:rFonts w:hint="eastAsia" w:ascii="仿宋" w:hAnsi="仿宋" w:eastAsia="仿宋" w:cs="仿宋"/>
                <w:sz w:val="24"/>
                <w:szCs w:val="24"/>
                <w:lang w:val="en-US"/>
              </w:rPr>
            </w:pPr>
            <w:r>
              <w:rPr>
                <w:rFonts w:hint="eastAsia" w:ascii="仿宋" w:hAnsi="仿宋" w:eastAsia="仿宋" w:cs="仿宋"/>
                <w:sz w:val="24"/>
                <w:szCs w:val="24"/>
                <w:lang w:val="en-US" w:eastAsia="zh-CN"/>
              </w:rPr>
              <w:t>云南乾呈新材料科技有限公司</w:t>
            </w:r>
          </w:p>
        </w:tc>
      </w:tr>
      <w:tr w14:paraId="650C7549">
        <w:tblPrEx>
          <w:tblCellMar>
            <w:top w:w="0" w:type="dxa"/>
            <w:left w:w="108" w:type="dxa"/>
            <w:bottom w:w="0" w:type="dxa"/>
            <w:right w:w="108" w:type="dxa"/>
          </w:tblCellMar>
        </w:tblPrEx>
        <w:trPr>
          <w:trHeight w:val="987" w:hRule="atLeast"/>
        </w:trPr>
        <w:tc>
          <w:tcPr>
            <w:tcW w:w="1756" w:type="dxa"/>
            <w:tcBorders>
              <w:top w:val="nil"/>
              <w:left w:val="single" w:color="auto" w:sz="4" w:space="0"/>
              <w:bottom w:val="single" w:color="auto" w:sz="4" w:space="0"/>
              <w:right w:val="single" w:color="auto" w:sz="4" w:space="0"/>
            </w:tcBorders>
            <w:shd w:val="clear" w:color="auto" w:fill="C0C0C0"/>
            <w:vAlign w:val="center"/>
          </w:tcPr>
          <w:p w14:paraId="59CA6384">
            <w:pPr>
              <w:widowControl/>
              <w:spacing w:line="280" w:lineRule="exact"/>
              <w:jc w:val="center"/>
              <w:rPr>
                <w:rFonts w:hint="eastAsia" w:ascii="仿宋" w:hAnsi="仿宋" w:eastAsia="仿宋" w:cs="仿宋"/>
                <w:kern w:val="0"/>
                <w:sz w:val="24"/>
                <w:szCs w:val="24"/>
              </w:rPr>
            </w:pPr>
            <w:r>
              <w:rPr>
                <w:rFonts w:hint="eastAsia" w:ascii="仿宋" w:hAnsi="仿宋" w:eastAsia="仿宋" w:cs="仿宋"/>
                <w:kern w:val="0"/>
                <w:sz w:val="24"/>
                <w:szCs w:val="24"/>
              </w:rPr>
              <w:t>环评文件类型</w:t>
            </w:r>
          </w:p>
        </w:tc>
        <w:tc>
          <w:tcPr>
            <w:tcW w:w="1866" w:type="dxa"/>
            <w:tcBorders>
              <w:top w:val="nil"/>
              <w:left w:val="nil"/>
              <w:bottom w:val="single" w:color="auto" w:sz="4" w:space="0"/>
              <w:right w:val="single" w:color="auto" w:sz="4" w:space="0"/>
            </w:tcBorders>
            <w:shd w:val="clear" w:color="auto" w:fill="auto"/>
            <w:vAlign w:val="center"/>
          </w:tcPr>
          <w:p w14:paraId="1A3286E2">
            <w:pPr>
              <w:widowControl/>
              <w:spacing w:line="280" w:lineRule="exact"/>
              <w:jc w:val="center"/>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报告书</w:t>
            </w:r>
          </w:p>
        </w:tc>
        <w:tc>
          <w:tcPr>
            <w:tcW w:w="1470" w:type="dxa"/>
            <w:tcBorders>
              <w:top w:val="nil"/>
              <w:left w:val="nil"/>
              <w:bottom w:val="single" w:color="auto" w:sz="4" w:space="0"/>
              <w:right w:val="single" w:color="auto" w:sz="4" w:space="0"/>
            </w:tcBorders>
            <w:shd w:val="clear" w:color="auto" w:fill="C0C0C0"/>
            <w:vAlign w:val="center"/>
          </w:tcPr>
          <w:p w14:paraId="3A0E9482">
            <w:pPr>
              <w:widowControl/>
              <w:spacing w:line="280" w:lineRule="exact"/>
              <w:jc w:val="center"/>
              <w:rPr>
                <w:rFonts w:hint="eastAsia" w:ascii="仿宋" w:hAnsi="仿宋" w:eastAsia="仿宋" w:cs="仿宋"/>
                <w:kern w:val="0"/>
                <w:sz w:val="24"/>
                <w:szCs w:val="24"/>
              </w:rPr>
            </w:pPr>
            <w:r>
              <w:rPr>
                <w:rFonts w:hint="eastAsia" w:ascii="仿宋" w:hAnsi="仿宋" w:eastAsia="仿宋" w:cs="仿宋"/>
                <w:kern w:val="0"/>
                <w:sz w:val="24"/>
                <w:szCs w:val="24"/>
                <w:lang w:eastAsia="zh-CN"/>
              </w:rPr>
              <w:t>生态环境影响评价</w:t>
            </w:r>
            <w:r>
              <w:rPr>
                <w:rFonts w:hint="eastAsia" w:ascii="仿宋" w:hAnsi="仿宋" w:eastAsia="仿宋" w:cs="仿宋"/>
                <w:kern w:val="0"/>
                <w:sz w:val="24"/>
                <w:szCs w:val="24"/>
              </w:rPr>
              <w:t>机构</w:t>
            </w:r>
          </w:p>
        </w:tc>
        <w:tc>
          <w:tcPr>
            <w:tcW w:w="4722" w:type="dxa"/>
            <w:gridSpan w:val="3"/>
            <w:tcBorders>
              <w:top w:val="single" w:color="auto" w:sz="4" w:space="0"/>
              <w:left w:val="nil"/>
              <w:bottom w:val="single" w:color="auto" w:sz="4" w:space="0"/>
              <w:right w:val="single" w:color="000000" w:sz="4" w:space="0"/>
            </w:tcBorders>
            <w:vAlign w:val="center"/>
          </w:tcPr>
          <w:p w14:paraId="13529565">
            <w:pPr>
              <w:widowControl/>
              <w:spacing w:line="280" w:lineRule="exact"/>
              <w:jc w:val="center"/>
              <w:rPr>
                <w:rFonts w:hint="eastAsia" w:ascii="仿宋" w:hAnsi="仿宋" w:eastAsia="仿宋" w:cs="仿宋"/>
                <w:kern w:val="0"/>
                <w:sz w:val="24"/>
                <w:szCs w:val="24"/>
                <w:lang w:eastAsia="zh-CN"/>
              </w:rPr>
            </w:pPr>
            <w:r>
              <w:rPr>
                <w:rFonts w:hint="eastAsia" w:ascii="仿宋" w:hAnsi="仿宋" w:eastAsia="仿宋" w:cs="仿宋"/>
                <w:kern w:val="0"/>
                <w:sz w:val="24"/>
                <w:szCs w:val="24"/>
                <w:lang w:eastAsia="zh-CN"/>
              </w:rPr>
              <w:t>云南舫舶环境工程有限公司</w:t>
            </w:r>
          </w:p>
        </w:tc>
      </w:tr>
      <w:tr w14:paraId="3E249CB9">
        <w:tblPrEx>
          <w:tblCellMar>
            <w:top w:w="0" w:type="dxa"/>
            <w:left w:w="108" w:type="dxa"/>
            <w:bottom w:w="0" w:type="dxa"/>
            <w:right w:w="108" w:type="dxa"/>
          </w:tblCellMar>
        </w:tblPrEx>
        <w:trPr>
          <w:trHeight w:val="586" w:hRule="atLeast"/>
        </w:trPr>
        <w:tc>
          <w:tcPr>
            <w:tcW w:w="9814" w:type="dxa"/>
            <w:gridSpan w:val="6"/>
            <w:tcBorders>
              <w:top w:val="single" w:color="auto" w:sz="4" w:space="0"/>
              <w:left w:val="single" w:color="auto" w:sz="4" w:space="0"/>
              <w:bottom w:val="single" w:color="auto" w:sz="4" w:space="0"/>
              <w:right w:val="single" w:color="auto" w:sz="4" w:space="0"/>
            </w:tcBorders>
            <w:shd w:val="clear" w:color="auto" w:fill="C0C0C0"/>
            <w:vAlign w:val="center"/>
          </w:tcPr>
          <w:p w14:paraId="05F24DE0">
            <w:pPr>
              <w:widowControl/>
              <w:spacing w:line="280" w:lineRule="exact"/>
              <w:jc w:val="center"/>
              <w:rPr>
                <w:rFonts w:ascii="宋体"/>
                <w:kern w:val="0"/>
                <w:sz w:val="24"/>
                <w:szCs w:val="24"/>
              </w:rPr>
            </w:pPr>
            <w:r>
              <w:rPr>
                <w:rFonts w:hint="eastAsia" w:ascii="仿宋" w:hAnsi="仿宋" w:eastAsia="仿宋" w:cs="仿宋"/>
                <w:b/>
                <w:bCs/>
                <w:kern w:val="0"/>
                <w:sz w:val="24"/>
                <w:szCs w:val="24"/>
              </w:rPr>
              <w:t>项目概况</w:t>
            </w:r>
          </w:p>
        </w:tc>
      </w:tr>
      <w:tr w14:paraId="465A603B">
        <w:tblPrEx>
          <w:tblCellMar>
            <w:top w:w="0" w:type="dxa"/>
            <w:left w:w="108" w:type="dxa"/>
            <w:bottom w:w="0" w:type="dxa"/>
            <w:right w:w="108" w:type="dxa"/>
          </w:tblCellMar>
        </w:tblPrEx>
        <w:trPr>
          <w:trHeight w:val="711" w:hRule="atLeast"/>
        </w:trPr>
        <w:tc>
          <w:tcPr>
            <w:tcW w:w="9814" w:type="dxa"/>
            <w:gridSpan w:val="6"/>
            <w:tcBorders>
              <w:top w:val="single" w:color="auto" w:sz="4" w:space="0"/>
              <w:left w:val="single" w:color="auto" w:sz="4" w:space="0"/>
              <w:bottom w:val="single" w:color="auto" w:sz="4" w:space="0"/>
              <w:right w:val="single" w:color="auto" w:sz="4" w:space="0"/>
            </w:tcBorders>
            <w:vAlign w:val="center"/>
          </w:tcPr>
          <w:p w14:paraId="46A27226">
            <w:pPr>
              <w:keepNext w:val="0"/>
              <w:keepLines w:val="0"/>
              <w:pageBreakBefore w:val="0"/>
              <w:widowControl/>
              <w:kinsoku/>
              <w:wordWrap/>
              <w:overflowPunct/>
              <w:topLinePunct w:val="0"/>
              <w:autoSpaceDE/>
              <w:autoSpaceDN/>
              <w:bidi w:val="0"/>
              <w:adjustRightInd/>
              <w:snapToGrid/>
              <w:spacing w:line="300" w:lineRule="exact"/>
              <w:ind w:firstLine="480" w:firstLineChars="200"/>
              <w:jc w:val="left"/>
              <w:textAlignment w:val="auto"/>
              <w:rPr>
                <w:rFonts w:hint="eastAsia"/>
              </w:rPr>
            </w:pPr>
            <w:r>
              <w:rPr>
                <w:rFonts w:hint="eastAsia" w:ascii="仿宋" w:hAnsi="仿宋" w:eastAsia="仿宋" w:cs="仿宋"/>
                <w:sz w:val="24"/>
                <w:szCs w:val="24"/>
                <w:lang w:val="en-US" w:eastAsia="zh-CN"/>
              </w:rPr>
              <w:t>项目位于</w:t>
            </w:r>
            <w:r>
              <w:rPr>
                <w:rFonts w:hint="eastAsia" w:ascii="仿宋" w:hAnsi="仿宋" w:eastAsia="仿宋" w:cs="仿宋"/>
                <w:sz w:val="24"/>
                <w:szCs w:val="24"/>
                <w:lang w:val="zh-CN" w:eastAsia="zh-CN"/>
              </w:rPr>
              <w:t>云南马龙产业园区鸡头村片区</w:t>
            </w:r>
            <w:r>
              <w:rPr>
                <w:rFonts w:hint="eastAsia" w:ascii="仿宋" w:hAnsi="仿宋" w:eastAsia="仿宋" w:cs="仿宋"/>
                <w:sz w:val="24"/>
                <w:szCs w:val="24"/>
                <w:lang w:val="en-US" w:eastAsia="zh-CN"/>
              </w:rPr>
              <w:t>，</w:t>
            </w:r>
            <w:r>
              <w:rPr>
                <w:rFonts w:hint="default" w:ascii="仿宋" w:hAnsi="仿宋" w:eastAsia="仿宋" w:cs="仿宋"/>
                <w:sz w:val="24"/>
                <w:szCs w:val="24"/>
                <w:lang w:val="zh-CN" w:eastAsia="zh-CN"/>
              </w:rPr>
              <w:t>一期建设年产100万t的酸连轧联合机组1条，合计年产64万t的智能化高性能连续热镀锌铝镁机组共2条，年产36万t的智能化连续热镀锌机组1条，合计年产20万t的精密钢管生产机组共10条，以及变电站、循环水站、空压机站、废水处理站、净水剂生产车间等其他公辅配套设施；建设高标准化生产车间、原料及产品库房、研发中心、生活中心、道路以及其他相应配套的构建筑物。二期建设合计年产10万t的全自动化高速护栏板等交通设施生产线共3条，以及相应的公辅配套设施；建设高标准化生产车间以及配套的构建筑物</w:t>
            </w:r>
            <w:r>
              <w:rPr>
                <w:rFonts w:hint="eastAsia" w:ascii="仿宋" w:hAnsi="仿宋" w:eastAsia="仿宋" w:cs="仿宋"/>
                <w:sz w:val="24"/>
                <w:szCs w:val="24"/>
                <w:lang w:val="en-US" w:eastAsia="zh-CN"/>
              </w:rPr>
              <w:t>。</w:t>
            </w:r>
            <w:r>
              <w:rPr>
                <w:rFonts w:hint="default" w:ascii="仿宋" w:hAnsi="仿宋" w:eastAsia="仿宋" w:cs="仿宋"/>
                <w:sz w:val="24"/>
                <w:szCs w:val="24"/>
                <w:lang w:val="zh-CN" w:eastAsia="zh-CN"/>
              </w:rPr>
              <w:t>项目总</w:t>
            </w:r>
            <w:r>
              <w:rPr>
                <w:rFonts w:hint="eastAsia" w:ascii="仿宋" w:hAnsi="仿宋" w:eastAsia="仿宋" w:cs="仿宋"/>
                <w:sz w:val="24"/>
                <w:szCs w:val="24"/>
                <w:lang w:val="en-US" w:eastAsia="zh-CN"/>
              </w:rPr>
              <w:t>投</w:t>
            </w:r>
            <w:r>
              <w:rPr>
                <w:rFonts w:hint="default" w:ascii="仿宋" w:hAnsi="仿宋" w:eastAsia="仿宋" w:cs="仿宋"/>
                <w:sz w:val="24"/>
                <w:szCs w:val="24"/>
                <w:lang w:val="zh-CN" w:eastAsia="zh-CN"/>
              </w:rPr>
              <w:t>资</w:t>
            </w:r>
            <w:r>
              <w:rPr>
                <w:rFonts w:hint="default" w:ascii="仿宋" w:hAnsi="仿宋" w:eastAsia="仿宋" w:cs="仿宋"/>
                <w:sz w:val="24"/>
                <w:szCs w:val="24"/>
                <w:lang w:val="en-US" w:eastAsia="zh-CN"/>
              </w:rPr>
              <w:t>100000</w:t>
            </w:r>
            <w:r>
              <w:rPr>
                <w:rFonts w:hint="default" w:ascii="仿宋" w:hAnsi="仿宋" w:eastAsia="仿宋" w:cs="仿宋"/>
                <w:sz w:val="24"/>
                <w:szCs w:val="24"/>
                <w:lang w:val="zh-CN" w:eastAsia="zh-CN"/>
              </w:rPr>
              <w:t>万元，环保投资共</w:t>
            </w:r>
            <w:r>
              <w:rPr>
                <w:rFonts w:hint="default" w:ascii="仿宋" w:hAnsi="仿宋" w:eastAsia="仿宋" w:cs="仿宋"/>
                <w:sz w:val="24"/>
                <w:szCs w:val="24"/>
                <w:lang w:val="en-US" w:eastAsia="zh-CN"/>
              </w:rPr>
              <w:t>2946</w:t>
            </w:r>
            <w:r>
              <w:rPr>
                <w:rFonts w:hint="default" w:ascii="仿宋" w:hAnsi="仿宋" w:eastAsia="仿宋" w:cs="仿宋"/>
                <w:sz w:val="24"/>
                <w:szCs w:val="24"/>
                <w:lang w:val="zh-CN" w:eastAsia="zh-CN"/>
              </w:rPr>
              <w:t>万元，占比</w:t>
            </w:r>
            <w:r>
              <w:rPr>
                <w:rFonts w:hint="default" w:ascii="仿宋" w:hAnsi="仿宋" w:eastAsia="仿宋" w:cs="仿宋"/>
                <w:sz w:val="24"/>
                <w:szCs w:val="24"/>
                <w:lang w:val="en-US" w:eastAsia="zh-CN"/>
              </w:rPr>
              <w:t>2.95%</w:t>
            </w:r>
            <w:r>
              <w:rPr>
                <w:rFonts w:hint="eastAsia" w:ascii="仿宋" w:hAnsi="仿宋" w:eastAsia="仿宋" w:cs="仿宋"/>
                <w:sz w:val="24"/>
                <w:szCs w:val="24"/>
                <w:lang w:val="en-US" w:eastAsia="zh-CN"/>
              </w:rPr>
              <w:t>。</w:t>
            </w:r>
          </w:p>
        </w:tc>
      </w:tr>
      <w:tr w14:paraId="548A335F">
        <w:tblPrEx>
          <w:tblCellMar>
            <w:top w:w="0" w:type="dxa"/>
            <w:left w:w="108" w:type="dxa"/>
            <w:bottom w:w="0" w:type="dxa"/>
            <w:right w:w="108" w:type="dxa"/>
          </w:tblCellMar>
        </w:tblPrEx>
        <w:trPr>
          <w:trHeight w:val="448" w:hRule="atLeast"/>
        </w:trPr>
        <w:tc>
          <w:tcPr>
            <w:tcW w:w="9814" w:type="dxa"/>
            <w:gridSpan w:val="6"/>
            <w:tcBorders>
              <w:top w:val="single" w:color="auto" w:sz="4" w:space="0"/>
              <w:left w:val="single" w:color="auto" w:sz="4" w:space="0"/>
              <w:bottom w:val="single" w:color="auto" w:sz="4" w:space="0"/>
              <w:right w:val="single" w:color="auto" w:sz="4" w:space="0"/>
            </w:tcBorders>
            <w:shd w:val="clear" w:color="auto" w:fill="C0C0C0"/>
            <w:vAlign w:val="center"/>
          </w:tcPr>
          <w:p w14:paraId="0055091D">
            <w:pPr>
              <w:widowControl/>
              <w:spacing w:line="280" w:lineRule="exact"/>
              <w:jc w:val="center"/>
              <w:rPr>
                <w:rFonts w:ascii="宋体"/>
                <w:kern w:val="0"/>
                <w:sz w:val="24"/>
                <w:szCs w:val="24"/>
              </w:rPr>
            </w:pPr>
            <w:r>
              <w:rPr>
                <w:rFonts w:hint="eastAsia" w:ascii="仿宋" w:hAnsi="仿宋" w:eastAsia="仿宋" w:cs="仿宋"/>
                <w:b/>
                <w:bCs/>
                <w:kern w:val="0"/>
                <w:sz w:val="24"/>
                <w:szCs w:val="24"/>
              </w:rPr>
              <w:t>项目主要环境影响</w:t>
            </w:r>
          </w:p>
        </w:tc>
      </w:tr>
      <w:tr w14:paraId="474D666E">
        <w:tblPrEx>
          <w:tblCellMar>
            <w:top w:w="0" w:type="dxa"/>
            <w:left w:w="108" w:type="dxa"/>
            <w:bottom w:w="0" w:type="dxa"/>
            <w:right w:w="108" w:type="dxa"/>
          </w:tblCellMar>
        </w:tblPrEx>
        <w:trPr>
          <w:trHeight w:val="535" w:hRule="atLeast"/>
        </w:trPr>
        <w:tc>
          <w:tcPr>
            <w:tcW w:w="9814" w:type="dxa"/>
            <w:gridSpan w:val="6"/>
            <w:tcBorders>
              <w:top w:val="single" w:color="auto" w:sz="4" w:space="0"/>
              <w:left w:val="single" w:color="auto" w:sz="4" w:space="0"/>
              <w:bottom w:val="single" w:color="auto" w:sz="4" w:space="0"/>
              <w:right w:val="single" w:color="auto" w:sz="4" w:space="0"/>
            </w:tcBorders>
            <w:vAlign w:val="center"/>
          </w:tcPr>
          <w:p w14:paraId="6ADE1246">
            <w:pPr>
              <w:keepNext w:val="0"/>
              <w:keepLines w:val="0"/>
              <w:pageBreakBefore w:val="0"/>
              <w:widowControl w:val="0"/>
              <w:kinsoku/>
              <w:wordWrap/>
              <w:overflowPunct/>
              <w:topLinePunct w:val="0"/>
              <w:autoSpaceDE/>
              <w:autoSpaceDN/>
              <w:bidi w:val="0"/>
              <w:adjustRightInd/>
              <w:snapToGrid/>
              <w:spacing w:line="300" w:lineRule="exact"/>
              <w:textAlignment w:val="auto"/>
              <w:outlineLvl w:val="1"/>
              <w:rPr>
                <w:rFonts w:hint="eastAsia" w:ascii="Times New Roman" w:hAnsi="Times New Roman" w:eastAsia="仿宋" w:cs="Times New Roman"/>
                <w:b/>
                <w:bCs/>
                <w:color w:val="auto"/>
                <w:sz w:val="24"/>
                <w:szCs w:val="24"/>
                <w:lang w:eastAsia="zh-CN"/>
              </w:rPr>
            </w:pPr>
            <w:r>
              <w:rPr>
                <w:rFonts w:hint="default" w:ascii="Times New Roman" w:hAnsi="Times New Roman" w:eastAsia="仿宋" w:cs="Times New Roman"/>
                <w:b/>
                <w:bCs/>
                <w:color w:val="auto"/>
                <w:sz w:val="24"/>
                <w:szCs w:val="24"/>
                <w:lang w:val="en-US" w:eastAsia="zh-CN"/>
              </w:rPr>
              <w:t>1、</w:t>
            </w:r>
            <w:r>
              <w:rPr>
                <w:rFonts w:hint="default" w:ascii="Times New Roman" w:hAnsi="Times New Roman" w:eastAsia="仿宋" w:cs="Times New Roman"/>
                <w:b/>
                <w:bCs/>
                <w:color w:val="auto"/>
                <w:sz w:val="24"/>
                <w:szCs w:val="24"/>
              </w:rPr>
              <w:t>施工期环境</w:t>
            </w:r>
            <w:r>
              <w:rPr>
                <w:rFonts w:hint="eastAsia" w:ascii="Times New Roman" w:hAnsi="Times New Roman" w:eastAsia="仿宋" w:cs="Times New Roman"/>
                <w:b/>
                <w:bCs/>
                <w:color w:val="auto"/>
                <w:sz w:val="24"/>
                <w:szCs w:val="24"/>
                <w:lang w:eastAsia="zh-CN"/>
              </w:rPr>
              <w:t>影响</w:t>
            </w:r>
          </w:p>
          <w:p w14:paraId="3375D065">
            <w:pPr>
              <w:keepNext w:val="0"/>
              <w:keepLines w:val="0"/>
              <w:pageBreakBefore w:val="0"/>
              <w:widowControl w:val="0"/>
              <w:kinsoku/>
              <w:wordWrap/>
              <w:overflowPunct/>
              <w:topLinePunct w:val="0"/>
              <w:autoSpaceDE/>
              <w:autoSpaceDN/>
              <w:bidi w:val="0"/>
              <w:adjustRightInd/>
              <w:snapToGrid/>
              <w:spacing w:line="300" w:lineRule="exact"/>
              <w:ind w:firstLine="480" w:firstLineChars="200"/>
              <w:textAlignment w:val="auto"/>
              <w:rPr>
                <w:rFonts w:hint="default" w:ascii="Times New Roman" w:hAnsi="Times New Roman" w:eastAsia="仿宋" w:cs="Times New Roman"/>
                <w:bCs/>
                <w:color w:val="auto"/>
                <w:kern w:val="0"/>
                <w:sz w:val="24"/>
                <w:szCs w:val="24"/>
              </w:rPr>
            </w:pPr>
            <w:r>
              <w:rPr>
                <w:rFonts w:hint="default" w:ascii="Times New Roman" w:hAnsi="Times New Roman" w:eastAsia="仿宋" w:cs="Times New Roman"/>
                <w:bCs/>
                <w:color w:val="auto"/>
                <w:kern w:val="0"/>
                <w:sz w:val="24"/>
                <w:szCs w:val="24"/>
                <w:lang w:val="en-US" w:eastAsia="zh-CN"/>
              </w:rPr>
              <w:t>包括施工扬尘、施工机械废气、少量的焊接烟尘影响；施工废水和施工人员生活污水的影响；机械噪声、施工作业噪声和车辆噪声的影响；施工期建筑垃圾、生活垃圾影响。</w:t>
            </w:r>
          </w:p>
          <w:p w14:paraId="65A425EA">
            <w:pPr>
              <w:keepNext w:val="0"/>
              <w:keepLines w:val="0"/>
              <w:pageBreakBefore w:val="0"/>
              <w:widowControl w:val="0"/>
              <w:kinsoku/>
              <w:wordWrap/>
              <w:overflowPunct/>
              <w:topLinePunct w:val="0"/>
              <w:autoSpaceDE/>
              <w:autoSpaceDN/>
              <w:bidi w:val="0"/>
              <w:adjustRightInd/>
              <w:snapToGrid/>
              <w:spacing w:line="300" w:lineRule="exact"/>
              <w:textAlignment w:val="auto"/>
              <w:outlineLvl w:val="1"/>
              <w:rPr>
                <w:rFonts w:hint="eastAsia" w:ascii="Times New Roman" w:hAnsi="Times New Roman" w:eastAsia="仿宋" w:cs="Times New Roman"/>
                <w:b/>
                <w:bCs/>
                <w:color w:val="auto"/>
                <w:sz w:val="24"/>
                <w:szCs w:val="24"/>
                <w:lang w:val="en-US" w:eastAsia="zh-CN"/>
              </w:rPr>
            </w:pPr>
            <w:r>
              <w:rPr>
                <w:rFonts w:hint="eastAsia" w:ascii="Times New Roman" w:hAnsi="Times New Roman" w:eastAsia="仿宋" w:cs="Times New Roman"/>
                <w:b/>
                <w:bCs/>
                <w:color w:val="auto"/>
                <w:sz w:val="24"/>
                <w:szCs w:val="24"/>
                <w:lang w:val="en-US" w:eastAsia="zh-CN"/>
              </w:rPr>
              <w:t>2</w:t>
            </w:r>
            <w:r>
              <w:rPr>
                <w:rFonts w:hint="default" w:ascii="Times New Roman" w:hAnsi="Times New Roman" w:eastAsia="仿宋" w:cs="Times New Roman"/>
                <w:b/>
                <w:bCs/>
                <w:color w:val="auto"/>
                <w:sz w:val="24"/>
                <w:szCs w:val="24"/>
                <w:lang w:val="en-US" w:eastAsia="zh-CN"/>
              </w:rPr>
              <w:t>、</w:t>
            </w:r>
            <w:r>
              <w:rPr>
                <w:rFonts w:hint="eastAsia" w:ascii="Times New Roman" w:hAnsi="Times New Roman" w:eastAsia="仿宋" w:cs="Times New Roman"/>
                <w:b/>
                <w:bCs/>
                <w:color w:val="auto"/>
                <w:sz w:val="24"/>
                <w:szCs w:val="24"/>
                <w:lang w:val="en-US" w:eastAsia="zh-CN"/>
              </w:rPr>
              <w:t>运营</w:t>
            </w:r>
            <w:r>
              <w:rPr>
                <w:rFonts w:hint="default" w:ascii="Times New Roman" w:hAnsi="Times New Roman" w:eastAsia="仿宋" w:cs="Times New Roman"/>
                <w:b/>
                <w:bCs/>
                <w:color w:val="auto"/>
                <w:sz w:val="24"/>
                <w:szCs w:val="24"/>
                <w:lang w:val="en-US" w:eastAsia="zh-CN"/>
              </w:rPr>
              <w:t>期环境</w:t>
            </w:r>
            <w:r>
              <w:rPr>
                <w:rFonts w:hint="eastAsia" w:ascii="Times New Roman" w:hAnsi="Times New Roman" w:eastAsia="仿宋" w:cs="Times New Roman"/>
                <w:b/>
                <w:bCs/>
                <w:color w:val="auto"/>
                <w:sz w:val="24"/>
                <w:szCs w:val="24"/>
                <w:lang w:val="en-US" w:eastAsia="zh-CN"/>
              </w:rPr>
              <w:t>影响</w:t>
            </w:r>
          </w:p>
          <w:p w14:paraId="1F0F85A4">
            <w:pPr>
              <w:keepNext w:val="0"/>
              <w:keepLines w:val="0"/>
              <w:pageBreakBefore w:val="0"/>
              <w:widowControl/>
              <w:kinsoku/>
              <w:wordWrap/>
              <w:overflowPunct/>
              <w:topLinePunct w:val="0"/>
              <w:autoSpaceDE/>
              <w:autoSpaceDN/>
              <w:bidi w:val="0"/>
              <w:adjustRightInd/>
              <w:snapToGrid/>
              <w:spacing w:line="300" w:lineRule="exact"/>
              <w:ind w:firstLine="480" w:firstLineChars="200"/>
              <w:jc w:val="left"/>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废气：</w:t>
            </w:r>
            <w:r>
              <w:rPr>
                <w:rFonts w:hint="default" w:ascii="Times New Roman" w:hAnsi="Times New Roman" w:eastAsia="仿宋" w:cs="Times New Roman"/>
                <w:bCs/>
                <w:color w:val="auto"/>
                <w:kern w:val="0"/>
                <w:sz w:val="24"/>
                <w:szCs w:val="24"/>
                <w:lang w:val="en-US" w:eastAsia="zh-CN"/>
              </w:rPr>
              <w:t>包括机械破鳞颗粒物、酸洗及退锌氯化氢、轧制油雾、脱脂碱雾、退火炉及加热炉天然气燃烧废气、焊管焊接烟尘及补锌颗粒物、护栏板热镀锌颗粒物与氨气、储液池及助剂投料废气、污水处理站废气影响</w:t>
            </w:r>
            <w:r>
              <w:rPr>
                <w:rFonts w:hint="eastAsia" w:ascii="Times New Roman" w:hAnsi="Times New Roman" w:eastAsia="仿宋" w:cs="Times New Roman"/>
                <w:bCs/>
                <w:color w:val="auto"/>
                <w:kern w:val="0"/>
                <w:sz w:val="24"/>
                <w:szCs w:val="24"/>
                <w:lang w:val="en-US" w:eastAsia="zh-CN"/>
              </w:rPr>
              <w:t>。</w:t>
            </w:r>
          </w:p>
          <w:p w14:paraId="61CBA6E7">
            <w:pPr>
              <w:keepNext w:val="0"/>
              <w:keepLines w:val="0"/>
              <w:pageBreakBefore w:val="0"/>
              <w:kinsoku/>
              <w:wordWrap/>
              <w:overflowPunct/>
              <w:topLinePunct w:val="0"/>
              <w:autoSpaceDE/>
              <w:autoSpaceDN/>
              <w:bidi w:val="0"/>
              <w:adjustRightInd/>
              <w:snapToGrid/>
              <w:spacing w:line="300" w:lineRule="exact"/>
              <w:ind w:firstLine="480" w:firstLineChars="200"/>
              <w:textAlignment w:val="auto"/>
              <w:rPr>
                <w:rFonts w:hint="eastAsia" w:ascii="仿宋" w:hAnsi="仿宋" w:eastAsia="仿宋" w:cs="仿宋"/>
                <w:sz w:val="24"/>
                <w:szCs w:val="24"/>
                <w:lang w:val="zh-CN" w:eastAsia="zh-CN"/>
              </w:rPr>
            </w:pPr>
            <w:r>
              <w:rPr>
                <w:rFonts w:hint="eastAsia" w:ascii="仿宋" w:hAnsi="仿宋" w:eastAsia="仿宋" w:cs="仿宋"/>
                <w:sz w:val="24"/>
                <w:szCs w:val="24"/>
                <w:lang w:val="en-US" w:eastAsia="zh-CN"/>
              </w:rPr>
              <w:t>废水：</w:t>
            </w:r>
            <w:r>
              <w:rPr>
                <w:rFonts w:hint="default" w:ascii="仿宋" w:hAnsi="仿宋" w:eastAsia="仿宋" w:cs="仿宋"/>
                <w:sz w:val="24"/>
                <w:szCs w:val="24"/>
                <w:lang w:val="en-US" w:eastAsia="zh-CN"/>
              </w:rPr>
              <w:t>酸性废水、含乳化液废水、碱性稀含油废水、光整废水、脱盐浓水、循环冷却机组冷却水</w:t>
            </w:r>
            <w:r>
              <w:rPr>
                <w:rFonts w:hint="eastAsia" w:ascii="仿宋" w:hAnsi="仿宋" w:eastAsia="仿宋" w:cs="仿宋"/>
                <w:sz w:val="24"/>
                <w:szCs w:val="24"/>
                <w:lang w:val="en-US" w:eastAsia="zh-CN"/>
              </w:rPr>
              <w:t>、初期雨水</w:t>
            </w:r>
            <w:r>
              <w:rPr>
                <w:rFonts w:hint="default" w:ascii="仿宋" w:hAnsi="仿宋" w:eastAsia="仿宋" w:cs="仿宋"/>
                <w:sz w:val="24"/>
                <w:szCs w:val="24"/>
                <w:lang w:val="en-US" w:eastAsia="zh-CN"/>
              </w:rPr>
              <w:t>以及员工生活污水等</w:t>
            </w:r>
            <w:r>
              <w:rPr>
                <w:rFonts w:hint="eastAsia" w:ascii="仿宋" w:hAnsi="仿宋" w:eastAsia="仿宋" w:cs="仿宋"/>
                <w:sz w:val="24"/>
                <w:szCs w:val="24"/>
                <w:lang w:val="en-US" w:eastAsia="zh-CN"/>
              </w:rPr>
              <w:t>等影响</w:t>
            </w:r>
            <w:r>
              <w:rPr>
                <w:rFonts w:hint="eastAsia" w:ascii="仿宋" w:hAnsi="仿宋" w:eastAsia="仿宋" w:cs="仿宋"/>
                <w:sz w:val="24"/>
                <w:szCs w:val="24"/>
                <w:lang w:val="zh-CN" w:eastAsia="zh-CN"/>
              </w:rPr>
              <w:t>。</w:t>
            </w:r>
          </w:p>
          <w:p w14:paraId="35275399">
            <w:pPr>
              <w:keepNext w:val="0"/>
              <w:keepLines w:val="0"/>
              <w:pageBreakBefore w:val="0"/>
              <w:kinsoku/>
              <w:wordWrap/>
              <w:overflowPunct/>
              <w:topLinePunct w:val="0"/>
              <w:autoSpaceDE/>
              <w:autoSpaceDN/>
              <w:bidi w:val="0"/>
              <w:adjustRightInd/>
              <w:snapToGrid/>
              <w:spacing w:line="300" w:lineRule="exact"/>
              <w:ind w:firstLine="480" w:firstLineChars="200"/>
              <w:textAlignment w:val="auto"/>
              <w:rPr>
                <w:rFonts w:hint="default" w:ascii="仿宋" w:hAnsi="仿宋" w:eastAsia="仿宋" w:cs="仿宋"/>
                <w:sz w:val="24"/>
                <w:szCs w:val="24"/>
                <w:lang w:val="en-US" w:eastAsia="zh-CN"/>
              </w:rPr>
            </w:pPr>
            <w:r>
              <w:rPr>
                <w:rFonts w:hint="default" w:ascii="仿宋" w:hAnsi="仿宋" w:eastAsia="仿宋" w:cs="仿宋"/>
                <w:sz w:val="24"/>
                <w:szCs w:val="24"/>
                <w:lang w:val="en-US" w:eastAsia="zh-CN"/>
              </w:rPr>
              <w:t xml:space="preserve">噪声：泵类、风机、空气压缩机、冷却塔、轧机、剪切设备等噪声影响。 </w:t>
            </w:r>
          </w:p>
          <w:p w14:paraId="55B7DC89">
            <w:pPr>
              <w:keepNext w:val="0"/>
              <w:keepLines w:val="0"/>
              <w:pageBreakBefore w:val="0"/>
              <w:kinsoku/>
              <w:wordWrap/>
              <w:overflowPunct/>
              <w:topLinePunct w:val="0"/>
              <w:autoSpaceDE/>
              <w:autoSpaceDN/>
              <w:bidi w:val="0"/>
              <w:adjustRightInd/>
              <w:snapToGrid/>
              <w:spacing w:line="300" w:lineRule="exact"/>
              <w:ind w:firstLine="480" w:firstLineChars="200"/>
              <w:textAlignment w:val="auto"/>
              <w:rPr>
                <w:rFonts w:hint="default" w:ascii="仿宋" w:hAnsi="仿宋" w:eastAsia="仿宋" w:cs="仿宋"/>
                <w:sz w:val="24"/>
                <w:szCs w:val="24"/>
                <w:lang w:val="en-US" w:eastAsia="zh-CN"/>
              </w:rPr>
            </w:pPr>
            <w:r>
              <w:rPr>
                <w:rFonts w:hint="default" w:ascii="仿宋" w:hAnsi="仿宋" w:eastAsia="仿宋" w:cs="仿宋"/>
                <w:sz w:val="24"/>
                <w:szCs w:val="24"/>
                <w:lang w:val="en-US" w:eastAsia="zh-CN"/>
              </w:rPr>
              <w:t xml:space="preserve">固废：金属废料、氧化铁皮、废石英砂、废活性炭、废RO膜、化粪池污泥、HW17 表面处理废物、HW08 废矿物油、HW23 含锌废物、HW09 乳化液、HW49 其他废物、HW31 含铅废物、疑似危险废物（锌浮渣、压滤泥饼）、生活垃圾、餐厨油泥等影响。 </w:t>
            </w:r>
          </w:p>
          <w:p w14:paraId="6A2BACD5">
            <w:pPr>
              <w:keepNext w:val="0"/>
              <w:keepLines w:val="0"/>
              <w:pageBreakBefore w:val="0"/>
              <w:kinsoku/>
              <w:wordWrap/>
              <w:overflowPunct/>
              <w:topLinePunct w:val="0"/>
              <w:autoSpaceDE/>
              <w:autoSpaceDN/>
              <w:bidi w:val="0"/>
              <w:adjustRightInd/>
              <w:snapToGrid/>
              <w:spacing w:line="300" w:lineRule="exact"/>
              <w:ind w:firstLine="480" w:firstLineChars="200"/>
              <w:textAlignment w:val="auto"/>
              <w:rPr>
                <w:rFonts w:hint="default" w:ascii="仿宋" w:hAnsi="仿宋" w:eastAsia="仿宋" w:cs="仿宋"/>
                <w:sz w:val="24"/>
                <w:szCs w:val="24"/>
                <w:lang w:val="en-US" w:eastAsia="zh-CN"/>
              </w:rPr>
            </w:pPr>
            <w:r>
              <w:rPr>
                <w:rFonts w:hint="default" w:ascii="仿宋" w:hAnsi="仿宋" w:eastAsia="仿宋" w:cs="仿宋"/>
                <w:sz w:val="24"/>
                <w:szCs w:val="24"/>
                <w:lang w:val="en-US" w:eastAsia="zh-CN"/>
              </w:rPr>
              <w:t xml:space="preserve">项目运行过程对地下水、土壤环境的影响。 </w:t>
            </w:r>
          </w:p>
          <w:p w14:paraId="02AB01F5">
            <w:pPr>
              <w:keepNext w:val="0"/>
              <w:keepLines w:val="0"/>
              <w:pageBreakBefore w:val="0"/>
              <w:kinsoku/>
              <w:wordWrap/>
              <w:overflowPunct/>
              <w:topLinePunct w:val="0"/>
              <w:autoSpaceDE/>
              <w:autoSpaceDN/>
              <w:bidi w:val="0"/>
              <w:adjustRightInd/>
              <w:snapToGrid/>
              <w:spacing w:line="300" w:lineRule="exact"/>
              <w:ind w:firstLine="480" w:firstLineChars="200"/>
              <w:textAlignment w:val="auto"/>
              <w:rPr>
                <w:rFonts w:hint="eastAsia"/>
              </w:rPr>
            </w:pPr>
            <w:r>
              <w:rPr>
                <w:rFonts w:hint="default" w:ascii="仿宋" w:hAnsi="仿宋" w:eastAsia="仿宋" w:cs="仿宋"/>
                <w:sz w:val="24"/>
                <w:szCs w:val="24"/>
                <w:lang w:val="en-US" w:eastAsia="zh-CN"/>
              </w:rPr>
              <w:t>项目运行过程中盐酸、液碱、乳化液、废矿物油、含锌废液等环境风险物质可能导致的环境风险。</w:t>
            </w:r>
          </w:p>
        </w:tc>
      </w:tr>
      <w:tr w14:paraId="5F89E483">
        <w:tblPrEx>
          <w:tblCellMar>
            <w:top w:w="0" w:type="dxa"/>
            <w:left w:w="108" w:type="dxa"/>
            <w:bottom w:w="0" w:type="dxa"/>
            <w:right w:w="108" w:type="dxa"/>
          </w:tblCellMar>
        </w:tblPrEx>
        <w:trPr>
          <w:trHeight w:val="381" w:hRule="atLeast"/>
        </w:trPr>
        <w:tc>
          <w:tcPr>
            <w:tcW w:w="9814" w:type="dxa"/>
            <w:gridSpan w:val="6"/>
            <w:tcBorders>
              <w:top w:val="single" w:color="auto" w:sz="4" w:space="0"/>
              <w:left w:val="single" w:color="auto" w:sz="4" w:space="0"/>
              <w:bottom w:val="single" w:color="auto" w:sz="4" w:space="0"/>
              <w:right w:val="single" w:color="auto" w:sz="4" w:space="0"/>
            </w:tcBorders>
            <w:shd w:val="clear" w:color="auto" w:fill="C0C0C0"/>
            <w:vAlign w:val="center"/>
          </w:tcPr>
          <w:p w14:paraId="4665C5B2">
            <w:pPr>
              <w:widowControl/>
              <w:spacing w:line="280" w:lineRule="exact"/>
              <w:jc w:val="center"/>
              <w:rPr>
                <w:rFonts w:ascii="宋体"/>
                <w:kern w:val="0"/>
                <w:sz w:val="24"/>
                <w:szCs w:val="24"/>
              </w:rPr>
            </w:pPr>
            <w:r>
              <w:rPr>
                <w:rFonts w:hint="eastAsia" w:ascii="仿宋" w:hAnsi="仿宋" w:eastAsia="仿宋" w:cs="仿宋"/>
                <w:b/>
                <w:bCs/>
                <w:kern w:val="0"/>
                <w:sz w:val="24"/>
                <w:szCs w:val="24"/>
              </w:rPr>
              <w:t>项目预防及减轻不良环境影响的对策和措施</w:t>
            </w:r>
          </w:p>
        </w:tc>
      </w:tr>
      <w:tr w14:paraId="4F3E45FE">
        <w:tblPrEx>
          <w:tblCellMar>
            <w:top w:w="0" w:type="dxa"/>
            <w:left w:w="108" w:type="dxa"/>
            <w:bottom w:w="0" w:type="dxa"/>
            <w:right w:w="108" w:type="dxa"/>
          </w:tblCellMar>
        </w:tblPrEx>
        <w:trPr>
          <w:trHeight w:val="2232" w:hRule="atLeast"/>
        </w:trPr>
        <w:tc>
          <w:tcPr>
            <w:tcW w:w="9814" w:type="dxa"/>
            <w:gridSpan w:val="6"/>
            <w:tcBorders>
              <w:top w:val="single" w:color="auto" w:sz="4" w:space="0"/>
              <w:left w:val="single" w:color="auto" w:sz="4" w:space="0"/>
              <w:bottom w:val="single" w:color="auto" w:sz="4" w:space="0"/>
              <w:right w:val="single" w:color="auto" w:sz="4" w:space="0"/>
            </w:tcBorders>
            <w:vAlign w:val="center"/>
          </w:tcPr>
          <w:p w14:paraId="1BB99D2B">
            <w:pPr>
              <w:keepNext w:val="0"/>
              <w:keepLines w:val="0"/>
              <w:pageBreakBefore w:val="0"/>
              <w:widowControl w:val="0"/>
              <w:kinsoku/>
              <w:wordWrap/>
              <w:overflowPunct/>
              <w:topLinePunct w:val="0"/>
              <w:autoSpaceDE/>
              <w:autoSpaceDN/>
              <w:bidi w:val="0"/>
              <w:adjustRightInd/>
              <w:snapToGrid/>
              <w:spacing w:line="300" w:lineRule="exact"/>
              <w:textAlignment w:val="auto"/>
              <w:outlineLvl w:val="1"/>
              <w:rPr>
                <w:rFonts w:hint="default" w:ascii="Times New Roman" w:hAnsi="Times New Roman" w:eastAsia="仿宋" w:cs="Times New Roman"/>
                <w:b/>
                <w:bCs/>
                <w:color w:val="auto"/>
                <w:sz w:val="24"/>
                <w:szCs w:val="24"/>
                <w:lang w:eastAsia="zh-CN"/>
              </w:rPr>
            </w:pPr>
            <w:bookmarkStart w:id="0" w:name="_Toc15213"/>
            <w:bookmarkStart w:id="1" w:name="_Toc30088"/>
            <w:bookmarkStart w:id="2" w:name="_Toc23411"/>
            <w:bookmarkStart w:id="3" w:name="_Toc16165"/>
            <w:r>
              <w:rPr>
                <w:rFonts w:hint="default" w:ascii="Times New Roman" w:hAnsi="Times New Roman" w:eastAsia="仿宋" w:cs="Times New Roman"/>
                <w:b/>
                <w:bCs/>
                <w:color w:val="auto"/>
                <w:sz w:val="24"/>
                <w:szCs w:val="24"/>
                <w:lang w:val="en-US" w:eastAsia="zh-CN"/>
              </w:rPr>
              <w:t>1、</w:t>
            </w:r>
            <w:r>
              <w:rPr>
                <w:rFonts w:hint="default" w:ascii="Times New Roman" w:hAnsi="Times New Roman" w:eastAsia="仿宋" w:cs="Times New Roman"/>
                <w:b/>
                <w:bCs/>
                <w:color w:val="auto"/>
                <w:sz w:val="24"/>
                <w:szCs w:val="24"/>
              </w:rPr>
              <w:t>施工期环境保护措施</w:t>
            </w:r>
            <w:bookmarkEnd w:id="0"/>
            <w:bookmarkEnd w:id="1"/>
            <w:bookmarkEnd w:id="2"/>
            <w:bookmarkEnd w:id="3"/>
          </w:p>
          <w:p w14:paraId="087E9B83">
            <w:pPr>
              <w:keepNext w:val="0"/>
              <w:keepLines w:val="0"/>
              <w:pageBreakBefore w:val="0"/>
              <w:widowControl w:val="0"/>
              <w:kinsoku/>
              <w:wordWrap/>
              <w:overflowPunct/>
              <w:topLinePunct w:val="0"/>
              <w:autoSpaceDE/>
              <w:autoSpaceDN/>
              <w:bidi w:val="0"/>
              <w:adjustRightInd/>
              <w:snapToGrid/>
              <w:spacing w:line="300" w:lineRule="exact"/>
              <w:ind w:firstLine="480" w:firstLineChars="200"/>
              <w:textAlignment w:val="auto"/>
              <w:rPr>
                <w:rFonts w:hint="default" w:ascii="Times New Roman" w:hAnsi="Times New Roman" w:eastAsia="仿宋" w:cs="Times New Roman"/>
                <w:bCs/>
                <w:color w:val="auto"/>
                <w:kern w:val="0"/>
                <w:sz w:val="24"/>
                <w:szCs w:val="24"/>
              </w:rPr>
            </w:pPr>
            <w:r>
              <w:rPr>
                <w:rFonts w:hint="eastAsia" w:ascii="Times New Roman" w:hAnsi="Times New Roman" w:eastAsia="仿宋" w:cs="Times New Roman"/>
                <w:bCs/>
                <w:color w:val="auto"/>
                <w:kern w:val="0"/>
                <w:sz w:val="24"/>
                <w:szCs w:val="24"/>
                <w:lang w:val="en-US" w:eastAsia="zh-CN"/>
              </w:rPr>
              <w:t>（1）</w:t>
            </w:r>
            <w:r>
              <w:rPr>
                <w:rFonts w:hint="default" w:ascii="Times New Roman" w:hAnsi="Times New Roman" w:eastAsia="仿宋" w:cs="Times New Roman"/>
                <w:bCs/>
                <w:color w:val="auto"/>
                <w:kern w:val="0"/>
                <w:sz w:val="24"/>
                <w:szCs w:val="24"/>
                <w:lang w:val="en-US"/>
              </w:rPr>
              <w:t>施工期大气环境污染防治措施</w:t>
            </w:r>
          </w:p>
          <w:p w14:paraId="38C29195">
            <w:pPr>
              <w:keepNext w:val="0"/>
              <w:keepLines w:val="0"/>
              <w:pageBreakBefore w:val="0"/>
              <w:widowControl w:val="0"/>
              <w:kinsoku/>
              <w:wordWrap/>
              <w:overflowPunct/>
              <w:topLinePunct w:val="0"/>
              <w:autoSpaceDE/>
              <w:autoSpaceDN/>
              <w:bidi w:val="0"/>
              <w:adjustRightInd/>
              <w:snapToGrid/>
              <w:spacing w:line="300" w:lineRule="exact"/>
              <w:ind w:firstLine="480" w:firstLineChars="200"/>
              <w:textAlignment w:val="auto"/>
              <w:rPr>
                <w:rFonts w:hint="default" w:ascii="Times New Roman" w:hAnsi="Times New Roman" w:eastAsia="仿宋" w:cs="Times New Roman"/>
                <w:bCs/>
                <w:color w:val="auto"/>
                <w:kern w:val="0"/>
                <w:sz w:val="24"/>
                <w:szCs w:val="24"/>
                <w:lang w:val="en-US" w:eastAsia="zh-CN"/>
              </w:rPr>
            </w:pPr>
            <w:r>
              <w:rPr>
                <w:rFonts w:hint="default" w:ascii="Times New Roman" w:hAnsi="Times New Roman" w:eastAsia="仿宋" w:cs="Times New Roman"/>
                <w:bCs/>
                <w:color w:val="auto"/>
                <w:kern w:val="0"/>
                <w:sz w:val="24"/>
                <w:szCs w:val="24"/>
                <w:lang w:val="en-US" w:eastAsia="zh-CN"/>
              </w:rPr>
              <w:t>1）整个施工期必须成立现场管理机构，设置不少于2名的专职保洁员，严格执行施工扬尘治理实施方案。为防止扬尘污染，晴天应采用雾炮机和洒水车对施工区域进行洒水；</w:t>
            </w:r>
          </w:p>
          <w:p w14:paraId="142C87B3">
            <w:pPr>
              <w:keepNext w:val="0"/>
              <w:keepLines w:val="0"/>
              <w:pageBreakBefore w:val="0"/>
              <w:widowControl w:val="0"/>
              <w:kinsoku/>
              <w:wordWrap/>
              <w:overflowPunct/>
              <w:topLinePunct w:val="0"/>
              <w:autoSpaceDE/>
              <w:autoSpaceDN/>
              <w:bidi w:val="0"/>
              <w:adjustRightInd/>
              <w:snapToGrid/>
              <w:spacing w:line="300" w:lineRule="exact"/>
              <w:ind w:firstLine="480" w:firstLineChars="200"/>
              <w:textAlignment w:val="auto"/>
              <w:rPr>
                <w:rFonts w:hint="default" w:ascii="Times New Roman" w:hAnsi="Times New Roman" w:eastAsia="仿宋" w:cs="Times New Roman"/>
                <w:bCs/>
                <w:color w:val="auto"/>
                <w:kern w:val="0"/>
                <w:sz w:val="24"/>
                <w:szCs w:val="24"/>
                <w:lang w:val="en-US" w:eastAsia="zh-CN"/>
              </w:rPr>
            </w:pPr>
            <w:r>
              <w:rPr>
                <w:rFonts w:hint="default" w:ascii="Times New Roman" w:hAnsi="Times New Roman" w:eastAsia="仿宋" w:cs="Times New Roman"/>
                <w:bCs/>
                <w:color w:val="auto"/>
                <w:kern w:val="0"/>
                <w:sz w:val="24"/>
                <w:szCs w:val="24"/>
                <w:lang w:val="en-US" w:eastAsia="zh-CN"/>
              </w:rPr>
              <w:t>2）项目施工现场在厂界设置高度不低于2.5m围挡，围挡应当做到安全、整洁、美观。安排专人负责围挡的保洁、维护，确保围挡设施整洁，美观；</w:t>
            </w:r>
          </w:p>
          <w:p w14:paraId="590730D1">
            <w:pPr>
              <w:keepNext w:val="0"/>
              <w:keepLines w:val="0"/>
              <w:pageBreakBefore w:val="0"/>
              <w:widowControl w:val="0"/>
              <w:kinsoku/>
              <w:wordWrap/>
              <w:overflowPunct/>
              <w:topLinePunct w:val="0"/>
              <w:autoSpaceDE/>
              <w:autoSpaceDN/>
              <w:bidi w:val="0"/>
              <w:adjustRightInd/>
              <w:snapToGrid/>
              <w:spacing w:line="300" w:lineRule="exact"/>
              <w:ind w:firstLine="480" w:firstLineChars="200"/>
              <w:textAlignment w:val="auto"/>
              <w:rPr>
                <w:rFonts w:hint="default" w:ascii="Times New Roman" w:hAnsi="Times New Roman" w:eastAsia="仿宋" w:cs="Times New Roman"/>
                <w:bCs/>
                <w:color w:val="auto"/>
                <w:kern w:val="0"/>
                <w:sz w:val="24"/>
                <w:szCs w:val="24"/>
                <w:lang w:val="en-US" w:eastAsia="zh-CN"/>
              </w:rPr>
            </w:pPr>
            <w:r>
              <w:rPr>
                <w:rFonts w:hint="default" w:ascii="Times New Roman" w:hAnsi="Times New Roman" w:eastAsia="仿宋" w:cs="Times New Roman"/>
                <w:bCs/>
                <w:color w:val="auto"/>
                <w:kern w:val="0"/>
                <w:sz w:val="24"/>
                <w:szCs w:val="24"/>
                <w:lang w:val="en-US" w:eastAsia="zh-CN"/>
              </w:rPr>
              <w:t>3）土石方开挖时，采取对作业面和土堆喷水的方式，使其保持一定湿度，减少扬尘量。土石方临时堆放、材料堆场应加盖篷布，避免长时间堆存；</w:t>
            </w:r>
          </w:p>
          <w:p w14:paraId="0F0915EA">
            <w:pPr>
              <w:keepNext w:val="0"/>
              <w:keepLines w:val="0"/>
              <w:pageBreakBefore w:val="0"/>
              <w:widowControl w:val="0"/>
              <w:kinsoku/>
              <w:wordWrap/>
              <w:overflowPunct/>
              <w:topLinePunct w:val="0"/>
              <w:autoSpaceDE/>
              <w:autoSpaceDN/>
              <w:bidi w:val="0"/>
              <w:adjustRightInd/>
              <w:snapToGrid/>
              <w:spacing w:line="300" w:lineRule="exact"/>
              <w:ind w:firstLine="480" w:firstLineChars="200"/>
              <w:textAlignment w:val="auto"/>
              <w:rPr>
                <w:rFonts w:hint="default" w:ascii="Times New Roman" w:hAnsi="Times New Roman" w:eastAsia="仿宋" w:cs="Times New Roman"/>
                <w:bCs/>
                <w:color w:val="auto"/>
                <w:kern w:val="0"/>
                <w:sz w:val="24"/>
                <w:szCs w:val="24"/>
                <w:lang w:val="en-US" w:eastAsia="zh-CN"/>
              </w:rPr>
            </w:pPr>
            <w:r>
              <w:rPr>
                <w:rFonts w:hint="default" w:ascii="Times New Roman" w:hAnsi="Times New Roman" w:eastAsia="仿宋" w:cs="Times New Roman"/>
                <w:bCs/>
                <w:color w:val="auto"/>
                <w:kern w:val="0"/>
                <w:sz w:val="24"/>
                <w:szCs w:val="24"/>
                <w:lang w:val="en-US" w:eastAsia="zh-CN"/>
              </w:rPr>
              <w:t>4）项目运输材料、建筑垃圾的车辆应当采用密闭化车辆运输。不具备密闭化运输条件的，应当委托符合密闭化运输要求的单位或个人承运；运输单位和个人应当加强对车辆机械密闭装置的维护确保正常使用，运输途中的物料不得沿途泄漏、散落或者飞扬；</w:t>
            </w:r>
          </w:p>
          <w:p w14:paraId="69F57125">
            <w:pPr>
              <w:keepNext w:val="0"/>
              <w:keepLines w:val="0"/>
              <w:pageBreakBefore w:val="0"/>
              <w:widowControl w:val="0"/>
              <w:kinsoku/>
              <w:wordWrap/>
              <w:overflowPunct/>
              <w:topLinePunct w:val="0"/>
              <w:autoSpaceDE/>
              <w:autoSpaceDN/>
              <w:bidi w:val="0"/>
              <w:adjustRightInd/>
              <w:snapToGrid/>
              <w:spacing w:line="300" w:lineRule="exact"/>
              <w:ind w:firstLine="480" w:firstLineChars="200"/>
              <w:textAlignment w:val="auto"/>
              <w:rPr>
                <w:rFonts w:hint="default" w:ascii="Times New Roman" w:hAnsi="Times New Roman" w:eastAsia="仿宋" w:cs="Times New Roman"/>
                <w:bCs/>
                <w:color w:val="auto"/>
                <w:kern w:val="0"/>
                <w:sz w:val="24"/>
                <w:szCs w:val="24"/>
                <w:lang w:val="en-US" w:eastAsia="zh-CN"/>
              </w:rPr>
            </w:pPr>
            <w:r>
              <w:rPr>
                <w:rFonts w:hint="default" w:ascii="Times New Roman" w:hAnsi="Times New Roman" w:eastAsia="仿宋" w:cs="Times New Roman"/>
                <w:bCs/>
                <w:color w:val="auto"/>
                <w:kern w:val="0"/>
                <w:sz w:val="24"/>
                <w:szCs w:val="24"/>
                <w:lang w:val="en-US" w:eastAsia="zh-CN"/>
              </w:rPr>
              <w:t>5）车辆冲洗。建设工程施工现场出入口处必须设置洗车平台，运输土石方的车辆进出工地，需配置自动冲洗设备。</w:t>
            </w:r>
          </w:p>
          <w:p w14:paraId="7F4D1038">
            <w:pPr>
              <w:keepNext w:val="0"/>
              <w:keepLines w:val="0"/>
              <w:pageBreakBefore w:val="0"/>
              <w:widowControl w:val="0"/>
              <w:kinsoku/>
              <w:wordWrap/>
              <w:overflowPunct/>
              <w:topLinePunct w:val="0"/>
              <w:autoSpaceDE/>
              <w:autoSpaceDN/>
              <w:bidi w:val="0"/>
              <w:adjustRightInd/>
              <w:snapToGrid/>
              <w:spacing w:line="300" w:lineRule="exact"/>
              <w:ind w:firstLine="480" w:firstLineChars="200"/>
              <w:textAlignment w:val="auto"/>
              <w:rPr>
                <w:rFonts w:hint="default" w:ascii="Times New Roman" w:hAnsi="Times New Roman" w:eastAsia="仿宋" w:cs="Times New Roman"/>
                <w:bCs/>
                <w:color w:val="auto"/>
                <w:kern w:val="0"/>
                <w:sz w:val="24"/>
                <w:szCs w:val="24"/>
                <w:lang w:val="en-US" w:eastAsia="zh-CN"/>
              </w:rPr>
            </w:pPr>
            <w:r>
              <w:rPr>
                <w:rFonts w:hint="default" w:ascii="Times New Roman" w:hAnsi="Times New Roman" w:eastAsia="仿宋" w:cs="Times New Roman"/>
                <w:bCs/>
                <w:color w:val="auto"/>
                <w:kern w:val="0"/>
                <w:sz w:val="24"/>
                <w:szCs w:val="24"/>
                <w:lang w:val="en-US" w:eastAsia="zh-CN"/>
              </w:rPr>
              <w:t>6）加强对施工机械使用管理和保养维修，提高机械使用效率，降低燃油机械废气排放。</w:t>
            </w:r>
          </w:p>
          <w:p w14:paraId="45732A4E">
            <w:pPr>
              <w:keepNext w:val="0"/>
              <w:keepLines w:val="0"/>
              <w:pageBreakBefore w:val="0"/>
              <w:widowControl w:val="0"/>
              <w:kinsoku/>
              <w:wordWrap/>
              <w:overflowPunct/>
              <w:topLinePunct w:val="0"/>
              <w:autoSpaceDE/>
              <w:autoSpaceDN/>
              <w:bidi w:val="0"/>
              <w:adjustRightInd/>
              <w:snapToGrid/>
              <w:spacing w:line="300" w:lineRule="exact"/>
              <w:ind w:firstLine="480" w:firstLineChars="200"/>
              <w:textAlignment w:val="auto"/>
              <w:rPr>
                <w:rFonts w:hint="default" w:ascii="Times New Roman" w:hAnsi="Times New Roman" w:eastAsia="仿宋" w:cs="Times New Roman"/>
                <w:bCs/>
                <w:color w:val="auto"/>
                <w:kern w:val="0"/>
                <w:sz w:val="24"/>
                <w:szCs w:val="24"/>
                <w:lang w:val="en-US" w:eastAsia="zh-CN"/>
              </w:rPr>
            </w:pPr>
            <w:r>
              <w:rPr>
                <w:rFonts w:hint="eastAsia" w:ascii="Times New Roman" w:hAnsi="Times New Roman" w:eastAsia="仿宋" w:cs="Times New Roman"/>
                <w:bCs/>
                <w:color w:val="auto"/>
                <w:kern w:val="0"/>
                <w:sz w:val="24"/>
                <w:szCs w:val="24"/>
                <w:lang w:val="en-US" w:eastAsia="zh-CN"/>
              </w:rPr>
              <w:t>（2）</w:t>
            </w:r>
            <w:r>
              <w:rPr>
                <w:rFonts w:hint="default" w:ascii="Times New Roman" w:hAnsi="Times New Roman" w:eastAsia="仿宋" w:cs="Times New Roman"/>
                <w:bCs/>
                <w:color w:val="auto"/>
                <w:kern w:val="0"/>
                <w:sz w:val="24"/>
                <w:szCs w:val="24"/>
                <w:lang w:val="en-US" w:eastAsia="zh-CN"/>
              </w:rPr>
              <w:t>施工期废水污染防治措施</w:t>
            </w:r>
          </w:p>
          <w:p w14:paraId="0A204058">
            <w:pPr>
              <w:keepNext w:val="0"/>
              <w:keepLines w:val="0"/>
              <w:pageBreakBefore w:val="0"/>
              <w:widowControl w:val="0"/>
              <w:kinsoku/>
              <w:wordWrap/>
              <w:overflowPunct/>
              <w:topLinePunct w:val="0"/>
              <w:autoSpaceDE/>
              <w:autoSpaceDN/>
              <w:bidi w:val="0"/>
              <w:adjustRightInd/>
              <w:snapToGrid/>
              <w:spacing w:line="300" w:lineRule="exact"/>
              <w:ind w:firstLine="480" w:firstLineChars="200"/>
              <w:textAlignment w:val="auto"/>
              <w:rPr>
                <w:rFonts w:hint="default" w:ascii="Times New Roman" w:hAnsi="Times New Roman" w:eastAsia="仿宋" w:cs="Times New Roman"/>
                <w:bCs/>
                <w:color w:val="auto"/>
                <w:kern w:val="0"/>
                <w:sz w:val="24"/>
                <w:szCs w:val="24"/>
                <w:lang w:val="en-US" w:eastAsia="zh-CN"/>
              </w:rPr>
            </w:pPr>
            <w:r>
              <w:rPr>
                <w:rFonts w:hint="default" w:ascii="Times New Roman" w:hAnsi="Times New Roman" w:eastAsia="仿宋" w:cs="Times New Roman"/>
                <w:bCs/>
                <w:color w:val="auto"/>
                <w:kern w:val="0"/>
                <w:sz w:val="24"/>
                <w:szCs w:val="24"/>
                <w:lang w:val="en-US" w:eastAsia="zh-CN"/>
              </w:rPr>
              <w:t>1）施工人员生活污水经临时生活污水沉淀池处理后回用于施工进行洒水降尘，不外排；</w:t>
            </w:r>
          </w:p>
          <w:p w14:paraId="049A47DD">
            <w:pPr>
              <w:keepNext w:val="0"/>
              <w:keepLines w:val="0"/>
              <w:pageBreakBefore w:val="0"/>
              <w:widowControl w:val="0"/>
              <w:kinsoku/>
              <w:wordWrap/>
              <w:overflowPunct/>
              <w:topLinePunct w:val="0"/>
              <w:autoSpaceDE/>
              <w:autoSpaceDN/>
              <w:bidi w:val="0"/>
              <w:adjustRightInd/>
              <w:snapToGrid/>
              <w:spacing w:line="300" w:lineRule="exact"/>
              <w:ind w:firstLine="480" w:firstLineChars="200"/>
              <w:textAlignment w:val="auto"/>
              <w:rPr>
                <w:rFonts w:hint="default" w:ascii="Times New Roman" w:hAnsi="Times New Roman" w:eastAsia="仿宋" w:cs="Times New Roman"/>
                <w:bCs/>
                <w:color w:val="auto"/>
                <w:kern w:val="0"/>
                <w:sz w:val="24"/>
                <w:szCs w:val="24"/>
                <w:lang w:val="en-US" w:eastAsia="zh-CN"/>
              </w:rPr>
            </w:pPr>
            <w:r>
              <w:rPr>
                <w:rFonts w:hint="default" w:ascii="Times New Roman" w:hAnsi="Times New Roman" w:eastAsia="仿宋" w:cs="Times New Roman"/>
                <w:bCs/>
                <w:color w:val="auto"/>
                <w:kern w:val="0"/>
                <w:sz w:val="24"/>
                <w:szCs w:val="24"/>
                <w:lang w:val="en-US" w:eastAsia="zh-CN"/>
              </w:rPr>
              <w:t>2）工程施工废水包括混凝土养护废水、设备冲洗废水等通过沉淀池处理后用作项目施工场地洒水降尘，不外排；</w:t>
            </w:r>
          </w:p>
          <w:p w14:paraId="613F7BE1">
            <w:pPr>
              <w:keepNext w:val="0"/>
              <w:keepLines w:val="0"/>
              <w:pageBreakBefore w:val="0"/>
              <w:widowControl w:val="0"/>
              <w:kinsoku/>
              <w:wordWrap/>
              <w:overflowPunct/>
              <w:topLinePunct w:val="0"/>
              <w:autoSpaceDE/>
              <w:autoSpaceDN/>
              <w:bidi w:val="0"/>
              <w:adjustRightInd/>
              <w:snapToGrid/>
              <w:spacing w:line="300" w:lineRule="exact"/>
              <w:ind w:firstLine="480" w:firstLineChars="200"/>
              <w:textAlignment w:val="auto"/>
              <w:rPr>
                <w:rFonts w:hint="default" w:ascii="Times New Roman" w:hAnsi="Times New Roman" w:eastAsia="仿宋" w:cs="Times New Roman"/>
                <w:bCs/>
                <w:color w:val="auto"/>
                <w:kern w:val="0"/>
                <w:sz w:val="24"/>
                <w:szCs w:val="24"/>
                <w:lang w:val="en-US" w:eastAsia="zh-CN"/>
              </w:rPr>
            </w:pPr>
            <w:r>
              <w:rPr>
                <w:rFonts w:hint="default" w:ascii="Times New Roman" w:hAnsi="Times New Roman" w:eastAsia="仿宋" w:cs="Times New Roman"/>
                <w:bCs/>
                <w:color w:val="auto"/>
                <w:kern w:val="0"/>
                <w:sz w:val="24"/>
                <w:szCs w:val="24"/>
                <w:lang w:val="en-US" w:eastAsia="zh-CN"/>
              </w:rPr>
              <w:t>3）在场地设置沉砂池，雨季地表径流经沉砂池沉淀后上清液外排至场地外雨水排水管，</w:t>
            </w:r>
            <w:r>
              <w:rPr>
                <w:rFonts w:hint="eastAsia" w:ascii="Times New Roman" w:hAnsi="Times New Roman" w:eastAsia="仿宋" w:cs="Times New Roman"/>
                <w:bCs/>
                <w:color w:val="auto"/>
                <w:kern w:val="0"/>
                <w:sz w:val="24"/>
                <w:szCs w:val="24"/>
                <w:lang w:val="en-US" w:eastAsia="zh-CN"/>
              </w:rPr>
              <w:t>其他地表</w:t>
            </w:r>
            <w:r>
              <w:rPr>
                <w:rFonts w:hint="default" w:ascii="Times New Roman" w:hAnsi="Times New Roman" w:eastAsia="仿宋" w:cs="Times New Roman"/>
                <w:bCs/>
                <w:color w:val="auto"/>
                <w:kern w:val="0"/>
                <w:sz w:val="24"/>
                <w:szCs w:val="24"/>
                <w:lang w:val="en-US" w:eastAsia="zh-CN"/>
              </w:rPr>
              <w:t>径流用于场地洒水降尘。</w:t>
            </w:r>
          </w:p>
          <w:p w14:paraId="3172E09D">
            <w:pPr>
              <w:keepNext w:val="0"/>
              <w:keepLines w:val="0"/>
              <w:pageBreakBefore w:val="0"/>
              <w:widowControl w:val="0"/>
              <w:kinsoku/>
              <w:wordWrap/>
              <w:overflowPunct/>
              <w:topLinePunct w:val="0"/>
              <w:autoSpaceDE/>
              <w:autoSpaceDN/>
              <w:bidi w:val="0"/>
              <w:adjustRightInd/>
              <w:snapToGrid/>
              <w:spacing w:line="300" w:lineRule="exact"/>
              <w:ind w:firstLine="480" w:firstLineChars="200"/>
              <w:textAlignment w:val="auto"/>
              <w:rPr>
                <w:rFonts w:hint="default" w:ascii="Times New Roman" w:hAnsi="Times New Roman" w:eastAsia="仿宋" w:cs="Times New Roman"/>
                <w:bCs/>
                <w:color w:val="auto"/>
                <w:kern w:val="0"/>
                <w:sz w:val="24"/>
                <w:szCs w:val="24"/>
                <w:lang w:val="en-US" w:eastAsia="zh-CN"/>
              </w:rPr>
            </w:pPr>
            <w:r>
              <w:rPr>
                <w:rFonts w:hint="eastAsia" w:ascii="Times New Roman" w:hAnsi="Times New Roman" w:eastAsia="仿宋" w:cs="Times New Roman"/>
                <w:bCs/>
                <w:color w:val="auto"/>
                <w:kern w:val="0"/>
                <w:sz w:val="24"/>
                <w:szCs w:val="24"/>
                <w:lang w:val="en-US" w:eastAsia="zh-CN"/>
              </w:rPr>
              <w:t>（3）</w:t>
            </w:r>
            <w:r>
              <w:rPr>
                <w:rFonts w:hint="default" w:ascii="Times New Roman" w:hAnsi="Times New Roman" w:eastAsia="仿宋" w:cs="Times New Roman"/>
                <w:bCs/>
                <w:color w:val="auto"/>
                <w:kern w:val="0"/>
                <w:sz w:val="24"/>
                <w:szCs w:val="24"/>
                <w:lang w:val="en-US" w:eastAsia="zh-CN"/>
              </w:rPr>
              <w:t>施工期噪声污染防治措施</w:t>
            </w:r>
          </w:p>
          <w:p w14:paraId="41D16A9D">
            <w:pPr>
              <w:keepNext w:val="0"/>
              <w:keepLines w:val="0"/>
              <w:pageBreakBefore w:val="0"/>
              <w:widowControl w:val="0"/>
              <w:kinsoku/>
              <w:wordWrap/>
              <w:overflowPunct/>
              <w:topLinePunct w:val="0"/>
              <w:autoSpaceDE/>
              <w:autoSpaceDN/>
              <w:bidi w:val="0"/>
              <w:adjustRightInd/>
              <w:snapToGrid/>
              <w:spacing w:line="300" w:lineRule="exact"/>
              <w:ind w:firstLine="480" w:firstLineChars="200"/>
              <w:textAlignment w:val="auto"/>
              <w:rPr>
                <w:rFonts w:hint="default" w:ascii="Times New Roman" w:hAnsi="Times New Roman" w:eastAsia="仿宋" w:cs="Times New Roman"/>
                <w:bCs/>
                <w:color w:val="auto"/>
                <w:kern w:val="0"/>
                <w:sz w:val="24"/>
                <w:szCs w:val="24"/>
                <w:lang w:val="en-US" w:eastAsia="zh-CN"/>
              </w:rPr>
            </w:pPr>
            <w:r>
              <w:rPr>
                <w:rFonts w:hint="default" w:ascii="Times New Roman" w:hAnsi="Times New Roman" w:eastAsia="仿宋" w:cs="Times New Roman"/>
                <w:bCs/>
                <w:color w:val="auto"/>
                <w:kern w:val="0"/>
                <w:sz w:val="24"/>
                <w:szCs w:val="24"/>
                <w:lang w:val="en-US" w:eastAsia="zh-CN"/>
              </w:rPr>
              <w:t>1）提前对施工的时段和范围、内容、责任人、联系电话等内容以张贴公告的形式张贴在项目围墙上；</w:t>
            </w:r>
          </w:p>
          <w:p w14:paraId="01E62AF2">
            <w:pPr>
              <w:keepNext w:val="0"/>
              <w:keepLines w:val="0"/>
              <w:pageBreakBefore w:val="0"/>
              <w:widowControl w:val="0"/>
              <w:kinsoku/>
              <w:wordWrap/>
              <w:overflowPunct/>
              <w:topLinePunct w:val="0"/>
              <w:autoSpaceDE/>
              <w:autoSpaceDN/>
              <w:bidi w:val="0"/>
              <w:adjustRightInd/>
              <w:snapToGrid/>
              <w:spacing w:line="300" w:lineRule="exact"/>
              <w:ind w:firstLine="480" w:firstLineChars="200"/>
              <w:textAlignment w:val="auto"/>
              <w:rPr>
                <w:rFonts w:hint="default" w:ascii="Times New Roman" w:hAnsi="Times New Roman" w:eastAsia="仿宋" w:cs="Times New Roman"/>
                <w:bCs/>
                <w:color w:val="auto"/>
                <w:kern w:val="0"/>
                <w:sz w:val="24"/>
                <w:szCs w:val="24"/>
                <w:lang w:val="en-US" w:eastAsia="zh-CN"/>
              </w:rPr>
            </w:pPr>
            <w:r>
              <w:rPr>
                <w:rFonts w:hint="default" w:ascii="Times New Roman" w:hAnsi="Times New Roman" w:eastAsia="仿宋" w:cs="Times New Roman"/>
                <w:bCs/>
                <w:color w:val="auto"/>
                <w:kern w:val="0"/>
                <w:sz w:val="24"/>
                <w:szCs w:val="24"/>
                <w:lang w:val="en-US" w:eastAsia="zh-CN"/>
              </w:rPr>
              <w:t>2）禁止在中午12:00~14:00和夜间22:00～次日6:00进行施工；</w:t>
            </w:r>
          </w:p>
          <w:p w14:paraId="23A3E4F9">
            <w:pPr>
              <w:keepNext w:val="0"/>
              <w:keepLines w:val="0"/>
              <w:pageBreakBefore w:val="0"/>
              <w:widowControl w:val="0"/>
              <w:kinsoku/>
              <w:wordWrap/>
              <w:overflowPunct/>
              <w:topLinePunct w:val="0"/>
              <w:autoSpaceDE/>
              <w:autoSpaceDN/>
              <w:bidi w:val="0"/>
              <w:adjustRightInd/>
              <w:snapToGrid/>
              <w:spacing w:line="300" w:lineRule="exact"/>
              <w:ind w:firstLine="480" w:firstLineChars="200"/>
              <w:textAlignment w:val="auto"/>
              <w:rPr>
                <w:rFonts w:hint="default" w:ascii="Times New Roman" w:hAnsi="Times New Roman" w:eastAsia="仿宋" w:cs="Times New Roman"/>
                <w:bCs/>
                <w:color w:val="auto"/>
                <w:kern w:val="0"/>
                <w:sz w:val="24"/>
                <w:szCs w:val="24"/>
                <w:lang w:val="en-US" w:eastAsia="zh-CN"/>
              </w:rPr>
            </w:pPr>
            <w:r>
              <w:rPr>
                <w:rFonts w:hint="default" w:ascii="Times New Roman" w:hAnsi="Times New Roman" w:eastAsia="仿宋" w:cs="Times New Roman"/>
                <w:bCs/>
                <w:color w:val="auto"/>
                <w:kern w:val="0"/>
                <w:sz w:val="24"/>
                <w:szCs w:val="24"/>
                <w:lang w:val="en-US" w:eastAsia="zh-CN"/>
              </w:rPr>
              <w:t>3）施工现场在厂界设置高度不低于2.5m围墙，合理布局施工场地，高噪声设备尽量设置在厂区中间，分区施工，避免多台高噪声设备同时运行；</w:t>
            </w:r>
          </w:p>
          <w:p w14:paraId="4BB83C58">
            <w:pPr>
              <w:keepNext w:val="0"/>
              <w:keepLines w:val="0"/>
              <w:pageBreakBefore w:val="0"/>
              <w:widowControl w:val="0"/>
              <w:kinsoku/>
              <w:wordWrap/>
              <w:overflowPunct/>
              <w:topLinePunct w:val="0"/>
              <w:autoSpaceDE/>
              <w:autoSpaceDN/>
              <w:bidi w:val="0"/>
              <w:adjustRightInd/>
              <w:snapToGrid/>
              <w:spacing w:line="300" w:lineRule="exact"/>
              <w:ind w:firstLine="480" w:firstLineChars="200"/>
              <w:textAlignment w:val="auto"/>
              <w:rPr>
                <w:rFonts w:hint="default" w:ascii="Times New Roman" w:hAnsi="Times New Roman" w:eastAsia="仿宋" w:cs="Times New Roman"/>
                <w:bCs/>
                <w:color w:val="auto"/>
                <w:kern w:val="0"/>
                <w:sz w:val="24"/>
                <w:szCs w:val="24"/>
                <w:lang w:val="en-US" w:eastAsia="zh-CN"/>
              </w:rPr>
            </w:pPr>
            <w:r>
              <w:rPr>
                <w:rFonts w:hint="default" w:ascii="Times New Roman" w:hAnsi="Times New Roman" w:eastAsia="仿宋" w:cs="Times New Roman"/>
                <w:bCs/>
                <w:color w:val="auto"/>
                <w:kern w:val="0"/>
                <w:sz w:val="24"/>
                <w:szCs w:val="24"/>
                <w:lang w:val="en-US" w:eastAsia="zh-CN"/>
              </w:rPr>
              <w:t>4）尽量采用低噪声设备进行施工。</w:t>
            </w:r>
          </w:p>
          <w:p w14:paraId="7F3A808D">
            <w:pPr>
              <w:keepNext w:val="0"/>
              <w:keepLines w:val="0"/>
              <w:pageBreakBefore w:val="0"/>
              <w:widowControl w:val="0"/>
              <w:kinsoku/>
              <w:wordWrap/>
              <w:overflowPunct/>
              <w:topLinePunct w:val="0"/>
              <w:autoSpaceDE/>
              <w:autoSpaceDN/>
              <w:bidi w:val="0"/>
              <w:adjustRightInd/>
              <w:snapToGrid/>
              <w:spacing w:line="300" w:lineRule="exact"/>
              <w:ind w:firstLine="480" w:firstLineChars="200"/>
              <w:textAlignment w:val="auto"/>
              <w:rPr>
                <w:rFonts w:hint="default" w:ascii="Times New Roman" w:hAnsi="Times New Roman" w:eastAsia="仿宋" w:cs="Times New Roman"/>
                <w:bCs/>
                <w:color w:val="auto"/>
                <w:kern w:val="0"/>
                <w:sz w:val="24"/>
                <w:szCs w:val="24"/>
                <w:lang w:val="en-US" w:eastAsia="zh-CN"/>
              </w:rPr>
            </w:pPr>
            <w:r>
              <w:rPr>
                <w:rFonts w:hint="eastAsia" w:ascii="Times New Roman" w:hAnsi="Times New Roman" w:eastAsia="仿宋" w:cs="Times New Roman"/>
                <w:bCs/>
                <w:color w:val="auto"/>
                <w:kern w:val="0"/>
                <w:sz w:val="24"/>
                <w:szCs w:val="24"/>
                <w:lang w:val="en-US" w:eastAsia="zh-CN"/>
              </w:rPr>
              <w:t>（4）</w:t>
            </w:r>
            <w:r>
              <w:rPr>
                <w:rFonts w:hint="default" w:ascii="Times New Roman" w:hAnsi="Times New Roman" w:eastAsia="仿宋" w:cs="Times New Roman"/>
                <w:bCs/>
                <w:color w:val="auto"/>
                <w:kern w:val="0"/>
                <w:sz w:val="24"/>
                <w:szCs w:val="24"/>
                <w:lang w:val="en-US" w:eastAsia="zh-CN"/>
              </w:rPr>
              <w:t>施工期固体废物污染防治措施</w:t>
            </w:r>
          </w:p>
          <w:p w14:paraId="5EFCD84C">
            <w:pPr>
              <w:keepNext w:val="0"/>
              <w:keepLines w:val="0"/>
              <w:pageBreakBefore w:val="0"/>
              <w:widowControl w:val="0"/>
              <w:kinsoku/>
              <w:wordWrap/>
              <w:overflowPunct/>
              <w:topLinePunct w:val="0"/>
              <w:autoSpaceDE/>
              <w:autoSpaceDN/>
              <w:bidi w:val="0"/>
              <w:adjustRightInd/>
              <w:snapToGrid/>
              <w:spacing w:line="300" w:lineRule="exact"/>
              <w:ind w:firstLine="480" w:firstLineChars="200"/>
              <w:textAlignment w:val="auto"/>
              <w:rPr>
                <w:rFonts w:hint="default" w:ascii="Times New Roman" w:hAnsi="Times New Roman" w:eastAsia="仿宋" w:cs="Times New Roman"/>
                <w:bCs/>
                <w:color w:val="auto"/>
                <w:kern w:val="0"/>
                <w:sz w:val="24"/>
                <w:szCs w:val="24"/>
                <w:lang w:val="en-US" w:eastAsia="zh-CN"/>
              </w:rPr>
            </w:pPr>
            <w:bookmarkStart w:id="4" w:name="_Toc4086"/>
            <w:bookmarkStart w:id="5" w:name="_Toc14778"/>
            <w:bookmarkStart w:id="6" w:name="_Toc30966"/>
            <w:bookmarkStart w:id="7" w:name="_Toc21727"/>
            <w:r>
              <w:rPr>
                <w:rFonts w:hint="default" w:ascii="Times New Roman" w:hAnsi="Times New Roman" w:eastAsia="仿宋" w:cs="Times New Roman"/>
                <w:bCs/>
                <w:color w:val="auto"/>
                <w:kern w:val="0"/>
                <w:sz w:val="24"/>
                <w:szCs w:val="24"/>
                <w:lang w:val="en-US" w:eastAsia="zh-CN"/>
              </w:rPr>
              <w:t>1）项目开挖的土石方在场地内全部回填。</w:t>
            </w:r>
          </w:p>
          <w:p w14:paraId="7B8BE405">
            <w:pPr>
              <w:keepNext w:val="0"/>
              <w:keepLines w:val="0"/>
              <w:pageBreakBefore w:val="0"/>
              <w:widowControl w:val="0"/>
              <w:kinsoku/>
              <w:wordWrap/>
              <w:overflowPunct/>
              <w:topLinePunct w:val="0"/>
              <w:autoSpaceDE/>
              <w:autoSpaceDN/>
              <w:bidi w:val="0"/>
              <w:adjustRightInd/>
              <w:snapToGrid/>
              <w:spacing w:line="300" w:lineRule="exact"/>
              <w:ind w:firstLine="480" w:firstLineChars="200"/>
              <w:textAlignment w:val="auto"/>
              <w:rPr>
                <w:rFonts w:hint="default" w:ascii="Times New Roman" w:hAnsi="Times New Roman" w:eastAsia="仿宋" w:cs="Times New Roman"/>
                <w:bCs/>
                <w:color w:val="auto"/>
                <w:kern w:val="0"/>
                <w:sz w:val="24"/>
                <w:szCs w:val="24"/>
                <w:lang w:val="en-US" w:eastAsia="zh-CN"/>
              </w:rPr>
            </w:pPr>
            <w:r>
              <w:rPr>
                <w:rFonts w:hint="default" w:ascii="Times New Roman" w:hAnsi="Times New Roman" w:eastAsia="仿宋" w:cs="Times New Roman"/>
                <w:bCs/>
                <w:color w:val="auto"/>
                <w:kern w:val="0"/>
                <w:sz w:val="24"/>
                <w:szCs w:val="24"/>
                <w:lang w:val="en-US" w:eastAsia="zh-CN"/>
              </w:rPr>
              <w:t>2）项目施工期产生的建筑垃圾进行集中处理，分类收集并尽可能地回收再利用，不可回收部分运至指定建筑垃圾消纳场或合规处置场所处置，处置率100%。</w:t>
            </w:r>
          </w:p>
          <w:p w14:paraId="398735D5">
            <w:pPr>
              <w:keepNext w:val="0"/>
              <w:keepLines w:val="0"/>
              <w:pageBreakBefore w:val="0"/>
              <w:widowControl w:val="0"/>
              <w:kinsoku/>
              <w:wordWrap/>
              <w:overflowPunct/>
              <w:topLinePunct w:val="0"/>
              <w:autoSpaceDE/>
              <w:autoSpaceDN/>
              <w:bidi w:val="0"/>
              <w:adjustRightInd/>
              <w:snapToGrid/>
              <w:spacing w:line="300" w:lineRule="exact"/>
              <w:ind w:firstLine="480" w:firstLineChars="200"/>
              <w:textAlignment w:val="auto"/>
              <w:rPr>
                <w:rFonts w:hint="default" w:ascii="Times New Roman" w:hAnsi="Times New Roman" w:eastAsia="仿宋" w:cs="Times New Roman"/>
                <w:bCs/>
                <w:color w:val="auto"/>
                <w:kern w:val="0"/>
                <w:sz w:val="24"/>
                <w:szCs w:val="24"/>
                <w:lang w:val="en-US" w:eastAsia="zh-CN"/>
              </w:rPr>
            </w:pPr>
            <w:r>
              <w:rPr>
                <w:rFonts w:hint="default" w:ascii="Times New Roman" w:hAnsi="Times New Roman" w:eastAsia="仿宋" w:cs="Times New Roman"/>
                <w:bCs/>
                <w:color w:val="auto"/>
                <w:kern w:val="0"/>
                <w:sz w:val="24"/>
                <w:szCs w:val="24"/>
                <w:lang w:val="en-US" w:eastAsia="zh-CN"/>
              </w:rPr>
              <w:t>3）施工人员生活垃圾收集后委托曲靖市马龙区城市管理综合行政执法局统一清运。</w:t>
            </w:r>
          </w:p>
          <w:p w14:paraId="017F1C1E">
            <w:pPr>
              <w:keepNext w:val="0"/>
              <w:keepLines w:val="0"/>
              <w:pageBreakBefore w:val="0"/>
              <w:widowControl w:val="0"/>
              <w:kinsoku/>
              <w:wordWrap/>
              <w:overflowPunct/>
              <w:topLinePunct w:val="0"/>
              <w:autoSpaceDE/>
              <w:autoSpaceDN/>
              <w:bidi w:val="0"/>
              <w:adjustRightInd/>
              <w:snapToGrid/>
              <w:spacing w:line="300" w:lineRule="exact"/>
              <w:textAlignment w:val="auto"/>
              <w:outlineLvl w:val="1"/>
              <w:rPr>
                <w:rFonts w:hint="default" w:ascii="Times New Roman" w:hAnsi="Times New Roman" w:eastAsia="仿宋" w:cs="Times New Roman"/>
                <w:b/>
                <w:bCs/>
                <w:color w:val="auto"/>
                <w:sz w:val="24"/>
                <w:szCs w:val="24"/>
              </w:rPr>
            </w:pPr>
            <w:r>
              <w:rPr>
                <w:rFonts w:hint="default" w:ascii="Times New Roman" w:hAnsi="Times New Roman" w:eastAsia="仿宋" w:cs="Times New Roman"/>
                <w:b/>
                <w:bCs/>
                <w:color w:val="auto"/>
                <w:sz w:val="24"/>
                <w:szCs w:val="24"/>
              </w:rPr>
              <w:t>2</w:t>
            </w:r>
            <w:r>
              <w:rPr>
                <w:rFonts w:hint="eastAsia" w:ascii="Times New Roman" w:hAnsi="Times New Roman" w:eastAsia="仿宋" w:cs="Times New Roman"/>
                <w:b/>
                <w:bCs/>
                <w:color w:val="auto"/>
                <w:sz w:val="24"/>
                <w:szCs w:val="24"/>
                <w:lang w:eastAsia="zh-CN"/>
              </w:rPr>
              <w:t>、</w:t>
            </w:r>
            <w:r>
              <w:rPr>
                <w:rFonts w:hint="default" w:ascii="Times New Roman" w:hAnsi="Times New Roman" w:eastAsia="仿宋" w:cs="Times New Roman"/>
                <w:b/>
                <w:bCs/>
                <w:color w:val="auto"/>
                <w:sz w:val="24"/>
                <w:szCs w:val="24"/>
              </w:rPr>
              <w:t>运营期环境保护措施</w:t>
            </w:r>
            <w:bookmarkEnd w:id="4"/>
            <w:bookmarkEnd w:id="5"/>
            <w:bookmarkEnd w:id="6"/>
            <w:bookmarkEnd w:id="7"/>
            <w:bookmarkStart w:id="8" w:name="_Toc17316"/>
            <w:bookmarkStart w:id="9" w:name="_Toc20996"/>
            <w:bookmarkStart w:id="10" w:name="_Toc28553"/>
            <w:bookmarkStart w:id="11" w:name="_Toc4230"/>
          </w:p>
          <w:bookmarkEnd w:id="8"/>
          <w:bookmarkEnd w:id="9"/>
          <w:bookmarkEnd w:id="10"/>
          <w:bookmarkEnd w:id="11"/>
          <w:p w14:paraId="2D98FC40">
            <w:pPr>
              <w:keepNext w:val="0"/>
              <w:keepLines w:val="0"/>
              <w:pageBreakBefore w:val="0"/>
              <w:widowControl w:val="0"/>
              <w:kinsoku/>
              <w:wordWrap/>
              <w:overflowPunct/>
              <w:topLinePunct w:val="0"/>
              <w:autoSpaceDE/>
              <w:autoSpaceDN/>
              <w:bidi w:val="0"/>
              <w:adjustRightInd/>
              <w:snapToGrid/>
              <w:spacing w:line="300" w:lineRule="exact"/>
              <w:ind w:firstLine="480" w:firstLineChars="200"/>
              <w:textAlignment w:val="auto"/>
              <w:rPr>
                <w:rFonts w:hint="default" w:ascii="Times New Roman" w:hAnsi="Times New Roman" w:eastAsia="仿宋" w:cs="Times New Roman"/>
                <w:bCs/>
                <w:color w:val="auto"/>
                <w:kern w:val="0"/>
                <w:sz w:val="24"/>
                <w:szCs w:val="24"/>
                <w:lang w:val="en-US" w:eastAsia="zh-CN"/>
              </w:rPr>
            </w:pPr>
            <w:r>
              <w:rPr>
                <w:rFonts w:hint="eastAsia" w:ascii="Times New Roman" w:hAnsi="Times New Roman" w:eastAsia="仿宋" w:cs="Times New Roman"/>
                <w:bCs/>
                <w:color w:val="auto"/>
                <w:kern w:val="0"/>
                <w:sz w:val="24"/>
                <w:szCs w:val="24"/>
                <w:lang w:val="en-US" w:eastAsia="zh-CN"/>
              </w:rPr>
              <w:t>（1）大气污染物</w:t>
            </w:r>
            <w:r>
              <w:rPr>
                <w:rFonts w:hint="default" w:ascii="Times New Roman" w:hAnsi="Times New Roman" w:eastAsia="仿宋" w:cs="Times New Roman"/>
                <w:bCs/>
                <w:color w:val="auto"/>
                <w:kern w:val="0"/>
                <w:sz w:val="24"/>
                <w:szCs w:val="24"/>
                <w:lang w:val="en-US" w:eastAsia="zh-CN"/>
              </w:rPr>
              <w:t>防治措施</w:t>
            </w:r>
          </w:p>
          <w:p w14:paraId="5B6C873A">
            <w:pPr>
              <w:keepNext w:val="0"/>
              <w:keepLines w:val="0"/>
              <w:pageBreakBefore w:val="0"/>
              <w:widowControl w:val="0"/>
              <w:kinsoku/>
              <w:wordWrap/>
              <w:overflowPunct/>
              <w:topLinePunct w:val="0"/>
              <w:autoSpaceDE/>
              <w:autoSpaceDN/>
              <w:bidi w:val="0"/>
              <w:adjustRightInd/>
              <w:snapToGrid/>
              <w:spacing w:line="300" w:lineRule="exact"/>
              <w:ind w:firstLine="480" w:firstLineChars="200"/>
              <w:textAlignment w:val="auto"/>
              <w:rPr>
                <w:rFonts w:hint="default" w:ascii="Times New Roman" w:hAnsi="Times New Roman" w:eastAsia="仿宋" w:cs="Times New Roman"/>
                <w:bCs/>
                <w:color w:val="auto"/>
                <w:kern w:val="0"/>
                <w:sz w:val="24"/>
                <w:szCs w:val="24"/>
                <w:lang w:val="en-US" w:eastAsia="zh-CN"/>
              </w:rPr>
            </w:pPr>
            <w:r>
              <w:rPr>
                <w:rFonts w:hint="default" w:ascii="Times New Roman" w:hAnsi="Times New Roman" w:eastAsia="仿宋" w:cs="Times New Roman"/>
                <w:bCs/>
                <w:color w:val="auto"/>
                <w:kern w:val="0"/>
                <w:sz w:val="24"/>
                <w:szCs w:val="24"/>
                <w:lang w:val="en-US" w:eastAsia="zh-CN"/>
              </w:rPr>
              <w:t>1）机械破鳞过程中会产生颗粒物，经集气罩收集进入布袋除尘器处理后由23m高（DA001）排气筒排放；2）酸洗、盐酸酸罐、盐酸配置、漂洗产生氯化氢集气后进入两级串联碱洗喷淋塔净化后由23m高（DA002）排气筒排放；3）轧制过程中产生的油雾（以非甲烷总烃计），经集气罩收集进入油雾分离器净化后由23m高（DA003）排气筒排放；4）镀锌/锌铝镁脱脂过程中产生的碱雾（以 NaOH 计）集气后进入水洗喷淋塔处理后由23m高（DA004-DA006）排气筒排放；5）镀锌/锌铝镁机组退火炉燃用天然气并采用低氮燃烧，燃烧废气经余热回收后由23m高（DA007-DA009）排气筒排放；6）焊管机组焊接烟尘及补锌颗粒物，经集气罩收集进入水洗喷淋塔处理后由23m高（DA010-DA015）排气筒排放；7）退锌、酸洗、盐酸酸罐、水洗产生氯化氢集气后进入两级串联碱洗喷淋塔净化后由25m高（DA016）排气筒排放；8）护栏板热镀锌加热炉燃用天然气采取低氮燃烧措施，燃烧废气由23m高（DA017）排气筒排放；9）护栏板热镀锌产生的颗粒物、氨气收集后经布袋除尘处理后由25m高（DA018）排气筒排放；10）储液池、反应釜产生的氯化氢经集气后进入两级串联碱洗喷淋塔净化；助剂投料、拆包产生颗粒物单独收集进入布袋除尘器处理，两股废气合并由 25m 高 DA019 排气筒排放；11）锅炉房锅炉燃用天然气采取低氮燃烧措施，燃烧废气由23m高（DA020）排气筒排放；12）污水处理站产生的废气集气后经碱洗塔+水洗塔+活性炭吸附装置处理后由25m高（DA021）排气筒排放；13）生产车间密闭+定期清扫，仅在车间设置少量通风换气扇，减少无组织排放量。</w:t>
            </w:r>
          </w:p>
          <w:p w14:paraId="24FEA262">
            <w:pPr>
              <w:keepNext w:val="0"/>
              <w:keepLines w:val="0"/>
              <w:pageBreakBefore w:val="0"/>
              <w:widowControl w:val="0"/>
              <w:kinsoku/>
              <w:wordWrap/>
              <w:overflowPunct/>
              <w:topLinePunct w:val="0"/>
              <w:autoSpaceDE/>
              <w:autoSpaceDN/>
              <w:bidi w:val="0"/>
              <w:adjustRightInd/>
              <w:snapToGrid/>
              <w:spacing w:line="300" w:lineRule="exact"/>
              <w:ind w:firstLine="480" w:firstLineChars="200"/>
              <w:textAlignment w:val="auto"/>
              <w:rPr>
                <w:rFonts w:hint="eastAsia" w:ascii="Times New Roman" w:hAnsi="Times New Roman" w:eastAsia="仿宋" w:cs="Times New Roman"/>
                <w:bCs/>
                <w:color w:val="auto"/>
                <w:kern w:val="0"/>
                <w:sz w:val="24"/>
                <w:szCs w:val="24"/>
                <w:lang w:val="en-US" w:eastAsia="zh-CN"/>
              </w:rPr>
            </w:pPr>
            <w:r>
              <w:rPr>
                <w:rFonts w:hint="eastAsia" w:ascii="Times New Roman" w:hAnsi="Times New Roman" w:eastAsia="仿宋" w:cs="Times New Roman"/>
                <w:bCs/>
                <w:color w:val="auto"/>
                <w:kern w:val="0"/>
                <w:sz w:val="24"/>
                <w:szCs w:val="24"/>
                <w:lang w:val="en-US" w:eastAsia="zh-CN"/>
              </w:rPr>
              <w:t>（2）废水污染防治措施</w:t>
            </w:r>
          </w:p>
          <w:p w14:paraId="0812EFDD">
            <w:pPr>
              <w:keepNext w:val="0"/>
              <w:keepLines w:val="0"/>
              <w:pageBreakBefore w:val="0"/>
              <w:widowControl w:val="0"/>
              <w:kinsoku/>
              <w:wordWrap/>
              <w:overflowPunct/>
              <w:topLinePunct w:val="0"/>
              <w:autoSpaceDE/>
              <w:autoSpaceDN/>
              <w:bidi w:val="0"/>
              <w:adjustRightInd/>
              <w:snapToGrid/>
              <w:spacing w:line="300" w:lineRule="exact"/>
              <w:ind w:firstLine="480" w:firstLineChars="200"/>
              <w:textAlignment w:val="auto"/>
              <w:rPr>
                <w:rFonts w:hint="default" w:ascii="Times New Roman" w:hAnsi="Times New Roman" w:eastAsia="仿宋" w:cs="Times New Roman"/>
                <w:bCs/>
                <w:color w:val="auto"/>
                <w:kern w:val="0"/>
                <w:sz w:val="24"/>
                <w:szCs w:val="24"/>
                <w:lang w:val="en-US" w:eastAsia="zh-CN"/>
              </w:rPr>
            </w:pPr>
            <w:r>
              <w:rPr>
                <w:rFonts w:hint="default" w:ascii="Times New Roman" w:hAnsi="Times New Roman" w:eastAsia="仿宋" w:cs="Times New Roman"/>
                <w:bCs/>
                <w:color w:val="auto"/>
                <w:kern w:val="0"/>
                <w:sz w:val="24"/>
                <w:szCs w:val="24"/>
                <w:lang w:val="en-US" w:eastAsia="zh-CN"/>
              </w:rPr>
              <w:t>厂区设有污水处理站对废水进行分质处理，分别设置酸性废水处理系统、</w:t>
            </w:r>
            <w:r>
              <w:rPr>
                <w:rFonts w:hint="eastAsia" w:ascii="Times New Roman" w:hAnsi="Times New Roman" w:eastAsia="仿宋" w:cs="Times New Roman"/>
                <w:bCs/>
                <w:color w:val="auto"/>
                <w:kern w:val="0"/>
                <w:sz w:val="24"/>
                <w:szCs w:val="24"/>
                <w:lang w:val="en-US" w:eastAsia="zh-CN"/>
              </w:rPr>
              <w:t>含乳化液废水处理系统</w:t>
            </w:r>
            <w:r>
              <w:rPr>
                <w:rFonts w:hint="default" w:ascii="Times New Roman" w:hAnsi="Times New Roman" w:eastAsia="仿宋" w:cs="Times New Roman"/>
                <w:bCs/>
                <w:color w:val="auto"/>
                <w:kern w:val="0"/>
                <w:sz w:val="24"/>
                <w:szCs w:val="24"/>
                <w:lang w:val="en-US" w:eastAsia="zh-CN"/>
              </w:rPr>
              <w:t>、碱性稀含油废水处理系统、废水零排放处理系统、护栏板机组废水处理系统，各类废水分别进入各自处理系统处理，其中一期酸性废水经处理达标后全部厂内回用，二期护栏板机组废水处理达标后全部厂内回用；其余生产废水经处理达标后全部输送至园区呈钢高炉冲渣池，作为其高炉冲渣工序生产补水。项目生产废水全程不接入市政污水管网、不进入园区污水处理厂，实现生产废水园区零外排。生活污水排入马龙区工业园区鸡头村片区东北部污水处理厂。</w:t>
            </w:r>
            <w:r>
              <w:rPr>
                <w:rFonts w:hint="eastAsia" w:ascii="Times New Roman" w:hAnsi="Times New Roman" w:eastAsia="仿宋" w:cs="Times New Roman"/>
                <w:bCs/>
                <w:color w:val="auto"/>
                <w:kern w:val="0"/>
                <w:sz w:val="24"/>
                <w:szCs w:val="24"/>
                <w:lang w:val="en-US" w:eastAsia="zh-CN"/>
              </w:rPr>
              <w:t>1）</w:t>
            </w:r>
            <w:r>
              <w:rPr>
                <w:rFonts w:hint="default" w:ascii="Times New Roman" w:hAnsi="Times New Roman" w:eastAsia="仿宋" w:cs="Times New Roman"/>
                <w:bCs/>
                <w:color w:val="auto"/>
                <w:kern w:val="0"/>
                <w:sz w:val="24"/>
                <w:szCs w:val="24"/>
                <w:lang w:val="en-US" w:eastAsia="zh-CN"/>
              </w:rPr>
              <w:t>酸性废水处理系统用于连续酸洗机组酸洗工序漂洗废水、两级碱液喷淋酸雾吸收塔废水、净水剂清洗废水，上述酸性废水进入酸性废水处理系统处理，设计处理规模 40m</w:t>
            </w:r>
            <w:r>
              <w:rPr>
                <w:rFonts w:hint="default" w:ascii="Times New Roman" w:hAnsi="Times New Roman" w:eastAsia="仿宋" w:cs="Times New Roman"/>
                <w:bCs/>
                <w:color w:val="auto"/>
                <w:kern w:val="0"/>
                <w:sz w:val="24"/>
                <w:szCs w:val="24"/>
                <w:vertAlign w:val="superscript"/>
                <w:lang w:val="en-US" w:eastAsia="zh-CN"/>
              </w:rPr>
              <w:t>3</w:t>
            </w:r>
            <w:r>
              <w:rPr>
                <w:rFonts w:hint="default" w:ascii="Times New Roman" w:hAnsi="Times New Roman" w:eastAsia="仿宋" w:cs="Times New Roman"/>
                <w:bCs/>
                <w:color w:val="auto"/>
                <w:kern w:val="0"/>
                <w:sz w:val="24"/>
                <w:szCs w:val="24"/>
                <w:lang w:val="en-US" w:eastAsia="zh-CN"/>
              </w:rPr>
              <w:t>/h，预处理后进入废水零排放系统处理达标后回用。</w:t>
            </w:r>
            <w:r>
              <w:rPr>
                <w:rFonts w:hint="eastAsia" w:ascii="Times New Roman" w:hAnsi="Times New Roman" w:eastAsia="仿宋" w:cs="Times New Roman"/>
                <w:bCs/>
                <w:color w:val="auto"/>
                <w:kern w:val="0"/>
                <w:sz w:val="24"/>
                <w:szCs w:val="24"/>
                <w:lang w:val="en-US" w:eastAsia="zh-CN"/>
              </w:rPr>
              <w:t>2）含乳化液废水处理系统</w:t>
            </w:r>
            <w:r>
              <w:rPr>
                <w:rFonts w:hint="default" w:ascii="Times New Roman" w:hAnsi="Times New Roman" w:eastAsia="仿宋" w:cs="Times New Roman"/>
                <w:bCs/>
                <w:color w:val="auto"/>
                <w:kern w:val="0"/>
                <w:sz w:val="24"/>
                <w:szCs w:val="24"/>
                <w:lang w:val="en-US" w:eastAsia="zh-CN"/>
              </w:rPr>
              <w:t>设计处理规模 5m</w:t>
            </w:r>
            <w:r>
              <w:rPr>
                <w:rFonts w:hint="default" w:ascii="Times New Roman" w:hAnsi="Times New Roman" w:eastAsia="仿宋" w:cs="Times New Roman"/>
                <w:bCs/>
                <w:color w:val="auto"/>
                <w:kern w:val="0"/>
                <w:sz w:val="24"/>
                <w:szCs w:val="24"/>
                <w:vertAlign w:val="superscript"/>
                <w:lang w:val="en-US" w:eastAsia="zh-CN"/>
              </w:rPr>
              <w:t>3</w:t>
            </w:r>
            <w:r>
              <w:rPr>
                <w:rFonts w:hint="default" w:ascii="Times New Roman" w:hAnsi="Times New Roman" w:eastAsia="仿宋" w:cs="Times New Roman"/>
                <w:bCs/>
                <w:color w:val="auto"/>
                <w:kern w:val="0"/>
                <w:sz w:val="24"/>
                <w:szCs w:val="24"/>
                <w:lang w:val="en-US" w:eastAsia="zh-CN"/>
              </w:rPr>
              <w:t>/h，用于处理冷轧工序含乳化液废水，经废水储存池均质 + 隔油 + 一体化乳化液处理装置处理后，出水进入碱性稀含油废水处理系统进一步处理。</w:t>
            </w:r>
            <w:r>
              <w:rPr>
                <w:rFonts w:hint="eastAsia" w:ascii="Times New Roman" w:hAnsi="Times New Roman" w:eastAsia="仿宋" w:cs="Times New Roman"/>
                <w:bCs/>
                <w:color w:val="auto"/>
                <w:kern w:val="0"/>
                <w:sz w:val="24"/>
                <w:szCs w:val="24"/>
                <w:lang w:val="en-US" w:eastAsia="zh-CN"/>
              </w:rPr>
              <w:t>3）</w:t>
            </w:r>
            <w:r>
              <w:rPr>
                <w:rFonts w:hint="default" w:ascii="Times New Roman" w:hAnsi="Times New Roman" w:eastAsia="仿宋" w:cs="Times New Roman"/>
                <w:bCs/>
                <w:color w:val="auto"/>
                <w:kern w:val="0"/>
                <w:sz w:val="24"/>
                <w:szCs w:val="24"/>
                <w:lang w:val="en-US" w:eastAsia="zh-CN"/>
              </w:rPr>
              <w:t>碱性稀含油废水处理系统用于处理</w:t>
            </w:r>
            <w:r>
              <w:rPr>
                <w:rFonts w:hint="eastAsia" w:ascii="Times New Roman" w:hAnsi="Times New Roman" w:eastAsia="仿宋" w:cs="Times New Roman"/>
                <w:bCs/>
                <w:color w:val="auto"/>
                <w:kern w:val="0"/>
                <w:sz w:val="24"/>
                <w:szCs w:val="24"/>
                <w:lang w:val="en-US" w:eastAsia="zh-CN"/>
              </w:rPr>
              <w:t>含乳化液废水处理系统</w:t>
            </w:r>
            <w:r>
              <w:rPr>
                <w:rFonts w:hint="default" w:ascii="Times New Roman" w:hAnsi="Times New Roman" w:eastAsia="仿宋" w:cs="Times New Roman"/>
                <w:bCs/>
                <w:color w:val="auto"/>
                <w:kern w:val="0"/>
                <w:sz w:val="24"/>
                <w:szCs w:val="24"/>
                <w:lang w:val="en-US" w:eastAsia="zh-CN"/>
              </w:rPr>
              <w:t>出水、热镀锌/镀锌铝镁系统脱脂、水洗等工序产生的碱性废水、地坪冲洗水、碱雾吸收塔废水、光整废水、初期雨水等，设计处理规模 35m</w:t>
            </w:r>
            <w:r>
              <w:rPr>
                <w:rFonts w:hint="default" w:ascii="Times New Roman" w:hAnsi="Times New Roman" w:eastAsia="仿宋" w:cs="Times New Roman"/>
                <w:bCs/>
                <w:color w:val="auto"/>
                <w:kern w:val="0"/>
                <w:sz w:val="24"/>
                <w:szCs w:val="24"/>
                <w:vertAlign w:val="superscript"/>
                <w:lang w:val="en-US" w:eastAsia="zh-CN"/>
              </w:rPr>
              <w:t>3</w:t>
            </w:r>
            <w:r>
              <w:rPr>
                <w:rFonts w:hint="default" w:ascii="Times New Roman" w:hAnsi="Times New Roman" w:eastAsia="仿宋" w:cs="Times New Roman"/>
                <w:bCs/>
                <w:color w:val="auto"/>
                <w:kern w:val="0"/>
                <w:sz w:val="24"/>
                <w:szCs w:val="24"/>
                <w:lang w:val="en-US" w:eastAsia="zh-CN"/>
              </w:rPr>
              <w:t>/h，采取中和+沉淀+气浮+水解酸化+生化处理+混凝沉淀+过滤工艺，处理后满足《污水综合排放标准》（GB8978-1996）</w:t>
            </w:r>
            <w:r>
              <w:rPr>
                <w:rFonts w:hint="eastAsia" w:ascii="Times New Roman" w:hAnsi="Times New Roman" w:eastAsia="仿宋" w:cs="Times New Roman"/>
                <w:bCs/>
                <w:color w:val="auto"/>
                <w:kern w:val="0"/>
                <w:sz w:val="24"/>
                <w:szCs w:val="24"/>
                <w:lang w:val="en-US" w:eastAsia="zh-CN"/>
              </w:rPr>
              <w:t>一</w:t>
            </w:r>
            <w:r>
              <w:rPr>
                <w:rFonts w:hint="default" w:ascii="Times New Roman" w:hAnsi="Times New Roman" w:eastAsia="仿宋" w:cs="Times New Roman"/>
                <w:bCs/>
                <w:color w:val="auto"/>
                <w:kern w:val="0"/>
                <w:sz w:val="24"/>
                <w:szCs w:val="24"/>
                <w:lang w:val="en-US" w:eastAsia="zh-CN"/>
              </w:rPr>
              <w:t>级标准要求后由排口 DW001 排入呈钢利用。</w:t>
            </w:r>
            <w:r>
              <w:rPr>
                <w:rFonts w:hint="eastAsia" w:ascii="Times New Roman" w:hAnsi="Times New Roman" w:eastAsia="仿宋" w:cs="Times New Roman"/>
                <w:bCs/>
                <w:color w:val="auto"/>
                <w:kern w:val="0"/>
                <w:sz w:val="24"/>
                <w:szCs w:val="24"/>
                <w:lang w:val="en-US" w:eastAsia="zh-CN"/>
              </w:rPr>
              <w:t>4）</w:t>
            </w:r>
            <w:r>
              <w:rPr>
                <w:rFonts w:hint="default" w:ascii="Times New Roman" w:hAnsi="Times New Roman" w:eastAsia="仿宋" w:cs="Times New Roman"/>
                <w:bCs/>
                <w:color w:val="auto"/>
                <w:kern w:val="0"/>
                <w:sz w:val="24"/>
                <w:szCs w:val="24"/>
                <w:lang w:val="en-US" w:eastAsia="zh-CN"/>
              </w:rPr>
              <w:t>废水零排放系统的处理工艺为超滤系统+脱盐系统+浓水预处理+化学软化反应系统+电膜系统，处理规模为20m</w:t>
            </w:r>
            <w:r>
              <w:rPr>
                <w:rFonts w:hint="default" w:ascii="Times New Roman" w:hAnsi="Times New Roman" w:eastAsia="仿宋" w:cs="Times New Roman"/>
                <w:bCs/>
                <w:color w:val="auto"/>
                <w:kern w:val="0"/>
                <w:sz w:val="24"/>
                <w:szCs w:val="24"/>
                <w:vertAlign w:val="superscript"/>
                <w:lang w:val="en-US" w:eastAsia="zh-CN"/>
              </w:rPr>
              <w:t>3</w:t>
            </w:r>
            <w:r>
              <w:rPr>
                <w:rFonts w:hint="default" w:ascii="Times New Roman" w:hAnsi="Times New Roman" w:eastAsia="仿宋" w:cs="Times New Roman"/>
                <w:bCs/>
                <w:color w:val="auto"/>
                <w:kern w:val="0"/>
                <w:sz w:val="24"/>
                <w:szCs w:val="24"/>
                <w:lang w:val="en-US" w:eastAsia="zh-CN"/>
              </w:rPr>
              <w:t>/h。废水零排放处理系统用于处理一期酸性废水，处理后产生的淡水回用于生产，浓水回用于地面清洗用水。</w:t>
            </w:r>
            <w:r>
              <w:rPr>
                <w:rFonts w:hint="eastAsia" w:ascii="Times New Roman" w:hAnsi="Times New Roman" w:eastAsia="仿宋" w:cs="Times New Roman"/>
                <w:bCs/>
                <w:color w:val="auto"/>
                <w:kern w:val="0"/>
                <w:sz w:val="24"/>
                <w:szCs w:val="24"/>
                <w:lang w:val="en-US" w:eastAsia="zh-CN"/>
              </w:rPr>
              <w:t>5）</w:t>
            </w:r>
            <w:r>
              <w:rPr>
                <w:rFonts w:hint="default" w:ascii="Times New Roman" w:hAnsi="Times New Roman" w:eastAsia="仿宋" w:cs="Times New Roman"/>
                <w:bCs/>
                <w:color w:val="auto"/>
                <w:kern w:val="0"/>
                <w:sz w:val="24"/>
                <w:szCs w:val="24"/>
                <w:lang w:val="en-US" w:eastAsia="zh-CN"/>
              </w:rPr>
              <w:t>循环冷却机组排污水、脱盐水机组设有单独排水管网将污水由排口 DW001 排入呈钢利用。</w:t>
            </w:r>
            <w:r>
              <w:rPr>
                <w:rFonts w:hint="eastAsia" w:ascii="Times New Roman" w:hAnsi="Times New Roman" w:eastAsia="仿宋" w:cs="Times New Roman"/>
                <w:bCs/>
                <w:color w:val="auto"/>
                <w:kern w:val="0"/>
                <w:sz w:val="24"/>
                <w:szCs w:val="24"/>
                <w:lang w:val="en-US" w:eastAsia="zh-CN"/>
              </w:rPr>
              <w:t>6）</w:t>
            </w:r>
            <w:r>
              <w:rPr>
                <w:rFonts w:hint="default" w:ascii="Times New Roman" w:hAnsi="Times New Roman" w:eastAsia="仿宋" w:cs="Times New Roman"/>
                <w:bCs/>
                <w:color w:val="auto"/>
                <w:kern w:val="0"/>
                <w:sz w:val="24"/>
                <w:szCs w:val="24"/>
                <w:lang w:val="en-US" w:eastAsia="zh-CN"/>
              </w:rPr>
              <w:t>护栏板机组废水处理系统的处理工艺为调节+曝气催化氧化除铁+混凝+固液分离，处理规模为80m</w:t>
            </w:r>
            <w:r>
              <w:rPr>
                <w:rFonts w:hint="default" w:ascii="Times New Roman" w:hAnsi="Times New Roman" w:eastAsia="仿宋" w:cs="Times New Roman"/>
                <w:bCs/>
                <w:color w:val="auto"/>
                <w:kern w:val="0"/>
                <w:sz w:val="24"/>
                <w:szCs w:val="24"/>
                <w:vertAlign w:val="superscript"/>
                <w:lang w:val="en-US" w:eastAsia="zh-CN"/>
              </w:rPr>
              <w:t>3</w:t>
            </w:r>
            <w:r>
              <w:rPr>
                <w:rFonts w:hint="default" w:ascii="Times New Roman" w:hAnsi="Times New Roman" w:eastAsia="仿宋" w:cs="Times New Roman"/>
                <w:bCs/>
                <w:color w:val="auto"/>
                <w:kern w:val="0"/>
                <w:sz w:val="24"/>
                <w:szCs w:val="24"/>
                <w:lang w:val="en-US" w:eastAsia="zh-CN"/>
              </w:rPr>
              <w:t>/d。护栏板机组废水处理系统主要用于处理护栏板酸洗后的漂洗废水及少量的地面清洁废水，处理后的水回用于护栏板机组生产工序及地面清洁用水。</w:t>
            </w:r>
            <w:r>
              <w:rPr>
                <w:rFonts w:hint="eastAsia" w:ascii="Times New Roman" w:hAnsi="Times New Roman" w:eastAsia="仿宋" w:cs="Times New Roman"/>
                <w:bCs/>
                <w:color w:val="auto"/>
                <w:kern w:val="0"/>
                <w:sz w:val="24"/>
                <w:szCs w:val="24"/>
                <w:lang w:val="en-US" w:eastAsia="zh-CN"/>
              </w:rPr>
              <w:t>7）</w:t>
            </w:r>
            <w:r>
              <w:rPr>
                <w:rFonts w:hint="default" w:ascii="Times New Roman" w:hAnsi="Times New Roman" w:eastAsia="仿宋" w:cs="Times New Roman"/>
                <w:bCs/>
                <w:color w:val="auto"/>
                <w:kern w:val="0"/>
                <w:sz w:val="24"/>
                <w:szCs w:val="24"/>
                <w:lang w:val="en-US" w:eastAsia="zh-CN"/>
              </w:rPr>
              <w:t>厂区厂房屋面洁净雨水通过雨水斗、雨水立管收集后直接接入厂区雨水管网外排；生产区域地面设置截水沟，配套初期雨水收集池，降雨初期15min污染雨水全部收集至沉淀池沉淀后进入稀含油废水处理系统处理，后期洁净雨水切换阀门直接外排园区雨水管网</w:t>
            </w:r>
            <w:r>
              <w:rPr>
                <w:rFonts w:hint="eastAsia" w:ascii="Times New Roman" w:hAnsi="Times New Roman" w:eastAsia="仿宋" w:cs="Times New Roman"/>
                <w:bCs/>
                <w:color w:val="auto"/>
                <w:kern w:val="0"/>
                <w:sz w:val="24"/>
                <w:szCs w:val="24"/>
                <w:lang w:val="en-US" w:eastAsia="zh-CN"/>
              </w:rPr>
              <w:t>；8）</w:t>
            </w:r>
            <w:r>
              <w:rPr>
                <w:rFonts w:hint="default" w:ascii="Times New Roman" w:hAnsi="Times New Roman" w:eastAsia="仿宋" w:cs="Times New Roman"/>
                <w:bCs/>
                <w:color w:val="auto"/>
                <w:kern w:val="0"/>
                <w:sz w:val="24"/>
                <w:szCs w:val="24"/>
                <w:lang w:val="en-US" w:eastAsia="zh-CN"/>
              </w:rPr>
              <w:t>生活污水设有单独排水管网，食堂含油污水经隔油池（容积不小于1m</w:t>
            </w:r>
            <w:r>
              <w:rPr>
                <w:rFonts w:hint="default" w:ascii="Times New Roman" w:hAnsi="Times New Roman" w:eastAsia="仿宋" w:cs="Times New Roman"/>
                <w:bCs/>
                <w:color w:val="auto"/>
                <w:kern w:val="0"/>
                <w:sz w:val="24"/>
                <w:szCs w:val="24"/>
                <w:vertAlign w:val="superscript"/>
                <w:lang w:val="en-US" w:eastAsia="zh-CN"/>
              </w:rPr>
              <w:t>3</w:t>
            </w:r>
            <w:r>
              <w:rPr>
                <w:rFonts w:hint="default" w:ascii="Times New Roman" w:hAnsi="Times New Roman" w:eastAsia="仿宋" w:cs="Times New Roman"/>
                <w:bCs/>
                <w:color w:val="auto"/>
                <w:kern w:val="0"/>
                <w:sz w:val="24"/>
                <w:szCs w:val="24"/>
                <w:lang w:val="en-US" w:eastAsia="zh-CN"/>
              </w:rPr>
              <w:t>）处理后，与其他生活污水一起进入化粪池（容积不小于22m</w:t>
            </w:r>
            <w:r>
              <w:rPr>
                <w:rFonts w:hint="default" w:ascii="Times New Roman" w:hAnsi="Times New Roman" w:eastAsia="仿宋" w:cs="Times New Roman"/>
                <w:bCs/>
                <w:color w:val="auto"/>
                <w:kern w:val="0"/>
                <w:sz w:val="24"/>
                <w:szCs w:val="24"/>
                <w:vertAlign w:val="superscript"/>
                <w:lang w:val="en-US" w:eastAsia="zh-CN"/>
              </w:rPr>
              <w:t>3</w:t>
            </w:r>
            <w:r>
              <w:rPr>
                <w:rFonts w:hint="default" w:ascii="Times New Roman" w:hAnsi="Times New Roman" w:eastAsia="仿宋" w:cs="Times New Roman"/>
                <w:bCs/>
                <w:color w:val="auto"/>
                <w:kern w:val="0"/>
                <w:sz w:val="24"/>
                <w:szCs w:val="24"/>
                <w:lang w:val="en-US" w:eastAsia="zh-CN"/>
              </w:rPr>
              <w:t>）处理，生活污水经化粪池处理后满足《污水综合排放标准》（GB8978-1996）三级标准要求后，通过市政污水管网进入鸡头村片区东北部污水处理。</w:t>
            </w:r>
          </w:p>
          <w:p w14:paraId="08CD7B91">
            <w:pPr>
              <w:keepNext w:val="0"/>
              <w:keepLines w:val="0"/>
              <w:pageBreakBefore w:val="0"/>
              <w:widowControl w:val="0"/>
              <w:kinsoku/>
              <w:wordWrap/>
              <w:overflowPunct/>
              <w:topLinePunct w:val="0"/>
              <w:autoSpaceDE/>
              <w:autoSpaceDN/>
              <w:bidi w:val="0"/>
              <w:adjustRightInd/>
              <w:snapToGrid/>
              <w:spacing w:line="300" w:lineRule="exact"/>
              <w:ind w:firstLine="480" w:firstLineChars="200"/>
              <w:textAlignment w:val="auto"/>
              <w:rPr>
                <w:rFonts w:hint="default" w:ascii="Times New Roman" w:hAnsi="Times New Roman" w:eastAsia="仿宋" w:cs="Times New Roman"/>
                <w:bCs/>
                <w:color w:val="auto"/>
                <w:kern w:val="0"/>
                <w:sz w:val="24"/>
                <w:szCs w:val="24"/>
                <w:lang w:val="en-US" w:eastAsia="zh-CN"/>
              </w:rPr>
            </w:pPr>
            <w:r>
              <w:rPr>
                <w:rFonts w:hint="eastAsia" w:ascii="Times New Roman" w:hAnsi="Times New Roman" w:eastAsia="仿宋" w:cs="Times New Roman"/>
                <w:bCs/>
                <w:color w:val="auto"/>
                <w:kern w:val="0"/>
                <w:sz w:val="24"/>
                <w:szCs w:val="24"/>
                <w:lang w:val="en-US" w:eastAsia="zh-CN"/>
              </w:rPr>
              <w:t>（3）噪声污染防治措施</w:t>
            </w:r>
          </w:p>
          <w:p w14:paraId="179C145A">
            <w:pPr>
              <w:keepNext w:val="0"/>
              <w:keepLines w:val="0"/>
              <w:pageBreakBefore w:val="0"/>
              <w:widowControl w:val="0"/>
              <w:kinsoku/>
              <w:wordWrap/>
              <w:overflowPunct/>
              <w:topLinePunct w:val="0"/>
              <w:autoSpaceDE/>
              <w:autoSpaceDN/>
              <w:bidi w:val="0"/>
              <w:adjustRightInd/>
              <w:snapToGrid/>
              <w:spacing w:line="300" w:lineRule="exact"/>
              <w:ind w:firstLine="480" w:firstLineChars="200"/>
              <w:textAlignment w:val="auto"/>
              <w:rPr>
                <w:rFonts w:hint="default" w:ascii="Times New Roman" w:hAnsi="Times New Roman" w:eastAsia="仿宋" w:cs="Times New Roman"/>
                <w:bCs/>
                <w:color w:val="auto"/>
                <w:kern w:val="0"/>
                <w:sz w:val="24"/>
                <w:szCs w:val="24"/>
                <w:lang w:val="en-US" w:eastAsia="zh-CN"/>
              </w:rPr>
            </w:pPr>
            <w:r>
              <w:rPr>
                <w:rFonts w:hint="default" w:ascii="Times New Roman" w:hAnsi="Times New Roman" w:eastAsia="仿宋" w:cs="Times New Roman"/>
                <w:bCs/>
                <w:color w:val="auto"/>
                <w:kern w:val="0"/>
                <w:sz w:val="24"/>
                <w:szCs w:val="24"/>
                <w:lang w:val="en-US" w:eastAsia="zh-CN"/>
              </w:rPr>
              <w:t>项目从源头、传播途径采取综合噪声防控措施：优先选用低噪声型号轧机、剪切设备、风机、水泵、冷却塔等生产设施，从源头控制噪声产生；各类机械设备、风机、水泵设置独立减振基础及减振垫，风机进出口增设柔性软连接，减弱振动传递；冷轧、镀锌、制管、净水剂等高噪声生产设备布置于封闭厂房内，</w:t>
            </w:r>
            <w:r>
              <w:rPr>
                <w:rFonts w:hint="eastAsia" w:ascii="Times New Roman" w:hAnsi="Times New Roman" w:eastAsia="仿宋" w:cs="Times New Roman"/>
                <w:bCs/>
                <w:color w:val="auto"/>
                <w:kern w:val="0"/>
                <w:sz w:val="24"/>
                <w:szCs w:val="24"/>
                <w:lang w:val="en-US" w:eastAsia="zh-CN"/>
              </w:rPr>
              <w:t>利用</w:t>
            </w:r>
            <w:r>
              <w:rPr>
                <w:rFonts w:hint="default" w:ascii="Times New Roman" w:hAnsi="Times New Roman" w:eastAsia="仿宋" w:cs="Times New Roman"/>
                <w:bCs/>
                <w:color w:val="auto"/>
                <w:kern w:val="0"/>
                <w:sz w:val="24"/>
                <w:szCs w:val="24"/>
                <w:lang w:val="en-US" w:eastAsia="zh-CN"/>
              </w:rPr>
              <w:t>厂房围护结构实现隔声降噪；所有引风机、烘干风机、曝气风机配套安装消声器，削减空气动力性噪声；污水站提升泵、冷却塔等室外噪声设备优化平面布局，尽量远离厂界及环境敏感目标，厂界设置绿化隔离带，利用距离衰减与植被阻滞进一步降低噪声对外环境影响。采取上述措施后，项目厂界噪声可满足排放标准要求。</w:t>
            </w:r>
          </w:p>
          <w:p w14:paraId="2A00D39B">
            <w:pPr>
              <w:keepNext w:val="0"/>
              <w:keepLines w:val="0"/>
              <w:pageBreakBefore w:val="0"/>
              <w:widowControl w:val="0"/>
              <w:kinsoku/>
              <w:wordWrap/>
              <w:overflowPunct/>
              <w:topLinePunct w:val="0"/>
              <w:autoSpaceDE/>
              <w:autoSpaceDN/>
              <w:bidi w:val="0"/>
              <w:adjustRightInd/>
              <w:snapToGrid/>
              <w:spacing w:line="300" w:lineRule="exact"/>
              <w:ind w:firstLine="480" w:firstLineChars="200"/>
              <w:textAlignment w:val="auto"/>
              <w:rPr>
                <w:rFonts w:hint="default" w:ascii="Times New Roman" w:hAnsi="Times New Roman" w:eastAsia="仿宋" w:cs="Times New Roman"/>
                <w:bCs/>
                <w:color w:val="auto"/>
                <w:kern w:val="0"/>
                <w:sz w:val="24"/>
                <w:szCs w:val="24"/>
                <w:lang w:val="en-US" w:eastAsia="zh-CN"/>
              </w:rPr>
            </w:pPr>
            <w:r>
              <w:rPr>
                <w:rFonts w:hint="eastAsia" w:ascii="Times New Roman" w:hAnsi="Times New Roman" w:eastAsia="仿宋" w:cs="Times New Roman"/>
                <w:bCs/>
                <w:color w:val="auto"/>
                <w:kern w:val="0"/>
                <w:sz w:val="24"/>
                <w:szCs w:val="24"/>
                <w:lang w:val="en-US" w:eastAsia="zh-CN"/>
              </w:rPr>
              <w:t>（4）固废污染防治措施</w:t>
            </w:r>
          </w:p>
          <w:p w14:paraId="0849A304">
            <w:pPr>
              <w:keepNext w:val="0"/>
              <w:keepLines w:val="0"/>
              <w:pageBreakBefore w:val="0"/>
              <w:widowControl w:val="0"/>
              <w:kinsoku/>
              <w:wordWrap/>
              <w:overflowPunct/>
              <w:topLinePunct w:val="0"/>
              <w:autoSpaceDE/>
              <w:autoSpaceDN/>
              <w:bidi w:val="0"/>
              <w:adjustRightInd/>
              <w:snapToGrid/>
              <w:spacing w:line="300" w:lineRule="exact"/>
              <w:ind w:firstLine="480" w:firstLineChars="200"/>
              <w:textAlignment w:val="auto"/>
              <w:rPr>
                <w:rFonts w:hint="default" w:ascii="Times New Roman" w:hAnsi="Times New Roman" w:eastAsia="仿宋" w:cs="Times New Roman"/>
                <w:bCs/>
                <w:color w:val="auto"/>
                <w:kern w:val="0"/>
                <w:sz w:val="24"/>
                <w:szCs w:val="24"/>
                <w:lang w:val="en-US" w:eastAsia="zh-CN"/>
              </w:rPr>
            </w:pPr>
            <w:r>
              <w:rPr>
                <w:rFonts w:hint="default" w:ascii="Times New Roman" w:hAnsi="Times New Roman" w:eastAsia="仿宋" w:cs="Times New Roman"/>
                <w:bCs/>
                <w:color w:val="auto"/>
                <w:kern w:val="0"/>
                <w:sz w:val="24"/>
                <w:szCs w:val="24"/>
                <w:lang w:val="en-US" w:eastAsia="zh-CN"/>
              </w:rPr>
              <w:t>一般工业固废</w:t>
            </w:r>
            <w:r>
              <w:rPr>
                <w:rFonts w:hint="eastAsia" w:ascii="Times New Roman" w:hAnsi="Times New Roman" w:eastAsia="仿宋" w:cs="Times New Roman"/>
                <w:bCs/>
                <w:color w:val="auto"/>
                <w:kern w:val="0"/>
                <w:sz w:val="24"/>
                <w:szCs w:val="24"/>
                <w:lang w:val="en-US" w:eastAsia="zh-CN"/>
              </w:rPr>
              <w:t>主要为</w:t>
            </w:r>
            <w:r>
              <w:rPr>
                <w:rFonts w:hint="default" w:ascii="Times New Roman" w:hAnsi="Times New Roman" w:eastAsia="仿宋" w:cs="Times New Roman"/>
                <w:bCs/>
                <w:color w:val="auto"/>
                <w:kern w:val="0"/>
                <w:sz w:val="24"/>
                <w:szCs w:val="24"/>
                <w:lang w:val="en-US" w:eastAsia="zh-CN"/>
              </w:rPr>
              <w:t>金属废料、氧化铁皮、废石英砂、废活性炭、废 RO 膜、化粪池污泥</w:t>
            </w:r>
            <w:r>
              <w:rPr>
                <w:rFonts w:hint="eastAsia" w:ascii="Times New Roman" w:hAnsi="Times New Roman" w:eastAsia="仿宋" w:cs="Times New Roman"/>
                <w:bCs/>
                <w:color w:val="auto"/>
                <w:kern w:val="0"/>
                <w:sz w:val="24"/>
                <w:szCs w:val="24"/>
                <w:lang w:val="en-US" w:eastAsia="zh-CN"/>
              </w:rPr>
              <w:t>，</w:t>
            </w:r>
            <w:r>
              <w:rPr>
                <w:rFonts w:hint="default" w:ascii="Times New Roman" w:hAnsi="Times New Roman" w:eastAsia="仿宋" w:cs="Times New Roman"/>
                <w:bCs/>
                <w:color w:val="auto"/>
                <w:kern w:val="0"/>
                <w:sz w:val="24"/>
                <w:szCs w:val="24"/>
                <w:lang w:val="en-US" w:eastAsia="zh-CN"/>
              </w:rPr>
              <w:t>危险废物</w:t>
            </w:r>
            <w:r>
              <w:rPr>
                <w:rFonts w:hint="eastAsia" w:ascii="Times New Roman" w:hAnsi="Times New Roman" w:eastAsia="仿宋" w:cs="Times New Roman"/>
                <w:bCs/>
                <w:color w:val="auto"/>
                <w:kern w:val="0"/>
                <w:sz w:val="24"/>
                <w:szCs w:val="24"/>
                <w:lang w:val="en-US" w:eastAsia="zh-CN"/>
              </w:rPr>
              <w:t>主要为</w:t>
            </w:r>
            <w:r>
              <w:rPr>
                <w:rFonts w:hint="default" w:ascii="Times New Roman" w:hAnsi="Times New Roman" w:eastAsia="仿宋" w:cs="Times New Roman"/>
                <w:bCs/>
                <w:color w:val="auto"/>
                <w:kern w:val="0"/>
                <w:sz w:val="24"/>
                <w:szCs w:val="24"/>
                <w:lang w:val="en-US" w:eastAsia="zh-CN"/>
              </w:rPr>
              <w:t>HW17 表面处理废物、HW08 废矿物油、HW23 含锌废物、HW09 乳化液、HW49 其他废物、HW31 含铅废物、疑似危险废物（锌浮渣、压滤泥饼）</w:t>
            </w:r>
            <w:r>
              <w:rPr>
                <w:rFonts w:hint="eastAsia" w:ascii="Times New Roman" w:hAnsi="Times New Roman" w:eastAsia="仿宋" w:cs="Times New Roman"/>
                <w:bCs/>
                <w:color w:val="auto"/>
                <w:kern w:val="0"/>
                <w:sz w:val="24"/>
                <w:szCs w:val="24"/>
                <w:lang w:val="en-US" w:eastAsia="zh-CN"/>
              </w:rPr>
              <w:t>，还有</w:t>
            </w:r>
            <w:r>
              <w:rPr>
                <w:rFonts w:hint="default" w:ascii="Times New Roman" w:hAnsi="Times New Roman" w:eastAsia="仿宋" w:cs="Times New Roman"/>
                <w:bCs/>
                <w:color w:val="auto"/>
                <w:kern w:val="0"/>
                <w:sz w:val="24"/>
                <w:szCs w:val="24"/>
                <w:lang w:val="en-US" w:eastAsia="zh-CN"/>
              </w:rPr>
              <w:t>生活垃圾、餐厨油泥；一般工业固废分区存放于 642.29m² 一般工业固废暂存间，化粪池污泥委托单位定期清掏处置，一般固废外售综合利用；设置</w:t>
            </w:r>
            <w:r>
              <w:rPr>
                <w:rFonts w:hint="eastAsia" w:ascii="Times New Roman" w:hAnsi="Times New Roman" w:eastAsia="仿宋" w:cs="Times New Roman"/>
                <w:bCs/>
                <w:color w:val="auto"/>
                <w:kern w:val="0"/>
                <w:sz w:val="24"/>
                <w:szCs w:val="24"/>
                <w:lang w:val="en-US" w:eastAsia="zh-CN"/>
              </w:rPr>
              <w:t>一座</w:t>
            </w:r>
            <w:r>
              <w:rPr>
                <w:rFonts w:hint="default" w:ascii="Times New Roman" w:hAnsi="Times New Roman" w:eastAsia="仿宋" w:cs="Times New Roman"/>
                <w:bCs/>
                <w:color w:val="auto"/>
                <w:kern w:val="0"/>
                <w:sz w:val="24"/>
                <w:szCs w:val="24"/>
                <w:lang w:val="en-US" w:eastAsia="zh-CN"/>
              </w:rPr>
              <w:t>156.6m²危险废物暂存间及 40m³ 事故油池，部分危废在压滤区防渗密闭就地临时存放，其余危废分区暂存于危废暂存间，由</w:t>
            </w:r>
            <w:r>
              <w:rPr>
                <w:rFonts w:hint="eastAsia" w:ascii="Times New Roman" w:hAnsi="Times New Roman" w:eastAsia="仿宋" w:cs="Times New Roman"/>
                <w:bCs/>
                <w:color w:val="auto"/>
                <w:kern w:val="0"/>
                <w:sz w:val="24"/>
                <w:szCs w:val="24"/>
                <w:lang w:val="en-US" w:eastAsia="zh-CN"/>
              </w:rPr>
              <w:t>有</w:t>
            </w:r>
            <w:r>
              <w:rPr>
                <w:rFonts w:hint="default" w:ascii="Times New Roman" w:hAnsi="Times New Roman" w:eastAsia="仿宋" w:cs="Times New Roman"/>
                <w:bCs/>
                <w:color w:val="auto"/>
                <w:kern w:val="0"/>
                <w:sz w:val="24"/>
                <w:szCs w:val="24"/>
                <w:lang w:val="en-US" w:eastAsia="zh-CN"/>
              </w:rPr>
              <w:t>资质单位清运处置；锌浮渣、压滤泥饼单独分区密闭防渗存放，待危险特性鉴别；生活垃圾由当地城管部门清运，餐厨油泥委托厨余处理单位处置。</w:t>
            </w:r>
          </w:p>
          <w:p w14:paraId="3D6D4823">
            <w:pPr>
              <w:keepNext w:val="0"/>
              <w:keepLines w:val="0"/>
              <w:pageBreakBefore w:val="0"/>
              <w:widowControl w:val="0"/>
              <w:kinsoku/>
              <w:wordWrap/>
              <w:overflowPunct/>
              <w:topLinePunct w:val="0"/>
              <w:autoSpaceDE/>
              <w:autoSpaceDN/>
              <w:bidi w:val="0"/>
              <w:adjustRightInd/>
              <w:snapToGrid/>
              <w:spacing w:line="300" w:lineRule="exact"/>
              <w:ind w:firstLine="480" w:firstLineChars="200"/>
              <w:textAlignment w:val="auto"/>
              <w:rPr>
                <w:rFonts w:hint="default" w:ascii="Times New Roman" w:hAnsi="Times New Roman" w:eastAsia="仿宋" w:cs="Times New Roman"/>
                <w:bCs/>
                <w:color w:val="auto"/>
                <w:kern w:val="0"/>
                <w:sz w:val="24"/>
                <w:szCs w:val="24"/>
                <w:lang w:val="en-US" w:eastAsia="zh-CN"/>
              </w:rPr>
            </w:pPr>
            <w:r>
              <w:rPr>
                <w:rFonts w:hint="eastAsia" w:ascii="Times New Roman" w:hAnsi="Times New Roman" w:eastAsia="仿宋" w:cs="Times New Roman"/>
                <w:bCs/>
                <w:color w:val="auto"/>
                <w:kern w:val="0"/>
                <w:sz w:val="24"/>
                <w:szCs w:val="24"/>
                <w:lang w:val="en-US" w:eastAsia="zh-CN"/>
              </w:rPr>
              <w:t>（5）地下水、土壤污染防治措施</w:t>
            </w:r>
          </w:p>
          <w:p w14:paraId="1ABD3949">
            <w:pPr>
              <w:keepNext w:val="0"/>
              <w:keepLines w:val="0"/>
              <w:pageBreakBefore w:val="0"/>
              <w:widowControl w:val="0"/>
              <w:kinsoku/>
              <w:wordWrap/>
              <w:overflowPunct/>
              <w:topLinePunct w:val="0"/>
              <w:autoSpaceDE/>
              <w:autoSpaceDN/>
              <w:bidi w:val="0"/>
              <w:adjustRightInd/>
              <w:snapToGrid/>
              <w:spacing w:line="300" w:lineRule="exact"/>
              <w:ind w:firstLine="480" w:firstLineChars="200"/>
              <w:textAlignment w:val="auto"/>
              <w:rPr>
                <w:rFonts w:hint="default" w:ascii="Times New Roman" w:hAnsi="Times New Roman" w:eastAsia="仿宋" w:cs="Times New Roman"/>
                <w:bCs/>
                <w:color w:val="auto"/>
                <w:kern w:val="0"/>
                <w:sz w:val="24"/>
                <w:szCs w:val="24"/>
                <w:lang w:val="en-US" w:eastAsia="zh-CN"/>
              </w:rPr>
            </w:pPr>
            <w:r>
              <w:rPr>
                <w:rFonts w:hint="default" w:ascii="Times New Roman" w:hAnsi="Times New Roman" w:eastAsia="仿宋" w:cs="Times New Roman"/>
                <w:bCs/>
                <w:color w:val="auto"/>
                <w:kern w:val="0"/>
                <w:sz w:val="24"/>
                <w:szCs w:val="24"/>
                <w:lang w:val="en-US" w:eastAsia="zh-CN"/>
              </w:rPr>
              <w:t>1）源头控制措施</w:t>
            </w:r>
          </w:p>
          <w:p w14:paraId="0890BD0D">
            <w:pPr>
              <w:keepNext w:val="0"/>
              <w:keepLines w:val="0"/>
              <w:pageBreakBefore w:val="0"/>
              <w:widowControl w:val="0"/>
              <w:kinsoku/>
              <w:wordWrap/>
              <w:overflowPunct/>
              <w:topLinePunct w:val="0"/>
              <w:autoSpaceDE/>
              <w:autoSpaceDN/>
              <w:bidi w:val="0"/>
              <w:adjustRightInd/>
              <w:snapToGrid/>
              <w:spacing w:line="300" w:lineRule="exact"/>
              <w:ind w:firstLine="480" w:firstLineChars="200"/>
              <w:textAlignment w:val="auto"/>
              <w:rPr>
                <w:rFonts w:hint="default" w:ascii="Times New Roman" w:hAnsi="Times New Roman" w:eastAsia="仿宋" w:cs="Times New Roman"/>
                <w:bCs/>
                <w:color w:val="auto"/>
                <w:kern w:val="0"/>
                <w:sz w:val="24"/>
                <w:szCs w:val="24"/>
                <w:lang w:val="en-US" w:eastAsia="zh-CN"/>
              </w:rPr>
            </w:pPr>
            <w:r>
              <w:rPr>
                <w:rFonts w:hint="default" w:ascii="Times New Roman" w:hAnsi="Times New Roman" w:eastAsia="仿宋" w:cs="Times New Roman"/>
                <w:bCs/>
                <w:color w:val="auto"/>
                <w:kern w:val="0"/>
                <w:sz w:val="24"/>
                <w:szCs w:val="24"/>
                <w:lang w:val="en-US" w:eastAsia="zh-CN"/>
              </w:rPr>
              <w:t>在工艺、管道、设备、污水储存及处理构筑物采取相应措施，防止和降低污染物跑、冒、滴、漏，将污染物泄漏的概率降到最低程度；管线敷设尽量采用“可视化” 原则，即管道尽可能地上或架空敷设，做到污染物“早发现、早处理”</w:t>
            </w:r>
          </w:p>
          <w:p w14:paraId="7C87BDDE">
            <w:pPr>
              <w:keepNext w:val="0"/>
              <w:keepLines w:val="0"/>
              <w:pageBreakBefore w:val="0"/>
              <w:widowControl w:val="0"/>
              <w:kinsoku/>
              <w:wordWrap/>
              <w:overflowPunct/>
              <w:topLinePunct w:val="0"/>
              <w:autoSpaceDE/>
              <w:autoSpaceDN/>
              <w:bidi w:val="0"/>
              <w:adjustRightInd/>
              <w:snapToGrid/>
              <w:spacing w:line="300" w:lineRule="exact"/>
              <w:ind w:firstLine="480" w:firstLineChars="200"/>
              <w:textAlignment w:val="auto"/>
              <w:rPr>
                <w:rFonts w:hint="default" w:ascii="Times New Roman" w:hAnsi="Times New Roman" w:eastAsia="仿宋" w:cs="Times New Roman"/>
                <w:bCs/>
                <w:color w:val="auto"/>
                <w:kern w:val="0"/>
                <w:sz w:val="24"/>
                <w:szCs w:val="24"/>
                <w:lang w:val="en-US" w:eastAsia="zh-CN"/>
              </w:rPr>
            </w:pPr>
            <w:r>
              <w:rPr>
                <w:rFonts w:hint="default" w:ascii="Times New Roman" w:hAnsi="Times New Roman" w:eastAsia="仿宋" w:cs="Times New Roman"/>
                <w:bCs/>
                <w:color w:val="auto"/>
                <w:kern w:val="0"/>
                <w:sz w:val="24"/>
                <w:szCs w:val="24"/>
                <w:lang w:val="en-US" w:eastAsia="zh-CN"/>
              </w:rPr>
              <w:t>2）分区防治措施</w:t>
            </w:r>
          </w:p>
          <w:p w14:paraId="5ABDFCDB">
            <w:pPr>
              <w:keepNext w:val="0"/>
              <w:keepLines w:val="0"/>
              <w:pageBreakBefore w:val="0"/>
              <w:widowControl w:val="0"/>
              <w:kinsoku/>
              <w:wordWrap/>
              <w:overflowPunct/>
              <w:topLinePunct w:val="0"/>
              <w:autoSpaceDE/>
              <w:autoSpaceDN/>
              <w:bidi w:val="0"/>
              <w:adjustRightInd/>
              <w:snapToGrid/>
              <w:spacing w:line="300" w:lineRule="exact"/>
              <w:ind w:firstLine="480" w:firstLineChars="200"/>
              <w:textAlignment w:val="auto"/>
              <w:rPr>
                <w:rFonts w:hint="default" w:ascii="Times New Roman" w:hAnsi="Times New Roman" w:eastAsia="仿宋" w:cs="Times New Roman"/>
                <w:bCs/>
                <w:color w:val="auto"/>
                <w:kern w:val="0"/>
                <w:sz w:val="24"/>
                <w:szCs w:val="24"/>
                <w:lang w:val="en-US" w:eastAsia="zh-CN"/>
              </w:rPr>
            </w:pPr>
            <w:r>
              <w:rPr>
                <w:rFonts w:hint="default" w:ascii="Times New Roman" w:hAnsi="Times New Roman" w:eastAsia="仿宋" w:cs="Times New Roman"/>
                <w:bCs/>
                <w:color w:val="auto"/>
                <w:kern w:val="0"/>
                <w:sz w:val="24"/>
                <w:szCs w:val="24"/>
                <w:lang w:val="en-US" w:eastAsia="zh-CN"/>
              </w:rPr>
              <w:t>冷轧生产线酸洗漂洗区域、脱脂区域、轧制含油区域、乳化液车间、油雾净化区域、碱洗喷淋塔；护栏板生产线退锌、酸洗、水洗、助镀区域及热镀锌；配套净水剂生产车间整套生产区域；各类盐酸储罐、液碱罐、助剂区、循环酸罐、废酸储罐、储液池（暂存废酸）及储罐防火堤/围堰；危废暂存间全域地面；污水处理站酸性废水处理系统、废乳化液处理系统、碱性稀含油废水处理系统、废水零排放处理系统、事故应急池、初期雨水收集池池体底板与壁板；污泥处理区地面及相连排污管道；各罐区基础、生产地坑、废液收集管沟</w:t>
            </w:r>
            <w:r>
              <w:rPr>
                <w:rFonts w:hint="eastAsia" w:ascii="Times New Roman" w:hAnsi="Times New Roman" w:eastAsia="仿宋" w:cs="Times New Roman"/>
                <w:bCs/>
                <w:color w:val="auto"/>
                <w:kern w:val="0"/>
                <w:sz w:val="24"/>
                <w:szCs w:val="24"/>
                <w:lang w:val="en-US" w:eastAsia="zh-CN"/>
              </w:rPr>
              <w:t>、变电站集油坑及事故油池</w:t>
            </w:r>
            <w:r>
              <w:rPr>
                <w:rFonts w:hint="default" w:ascii="Times New Roman" w:hAnsi="Times New Roman" w:eastAsia="仿宋" w:cs="Times New Roman"/>
                <w:bCs/>
                <w:color w:val="auto"/>
                <w:kern w:val="0"/>
                <w:sz w:val="24"/>
                <w:szCs w:val="24"/>
                <w:lang w:val="en-US" w:eastAsia="zh-CN"/>
              </w:rPr>
              <w:t>等</w:t>
            </w:r>
            <w:r>
              <w:rPr>
                <w:rFonts w:hint="eastAsia" w:ascii="Times New Roman" w:hAnsi="Times New Roman" w:eastAsia="仿宋" w:cs="Times New Roman"/>
                <w:bCs/>
                <w:color w:val="auto"/>
                <w:kern w:val="0"/>
                <w:sz w:val="24"/>
                <w:szCs w:val="24"/>
                <w:lang w:val="en-US" w:eastAsia="zh-CN"/>
              </w:rPr>
              <w:t>为</w:t>
            </w:r>
            <w:r>
              <w:rPr>
                <w:rFonts w:hint="default" w:ascii="Times New Roman" w:hAnsi="Times New Roman" w:eastAsia="仿宋" w:cs="Times New Roman"/>
                <w:bCs/>
                <w:color w:val="auto"/>
                <w:kern w:val="0"/>
                <w:sz w:val="24"/>
                <w:szCs w:val="24"/>
                <w:lang w:val="en-US" w:eastAsia="zh-CN"/>
              </w:rPr>
              <w:t>重点防渗区，防渗要求：等效黏土防渗层Mb≥6.0m，K≤1×10</w:t>
            </w:r>
            <w:r>
              <w:rPr>
                <w:rFonts w:hint="default" w:ascii="Times New Roman" w:hAnsi="Times New Roman" w:eastAsia="仿宋" w:cs="Times New Roman"/>
                <w:bCs/>
                <w:color w:val="auto"/>
                <w:kern w:val="0"/>
                <w:sz w:val="24"/>
                <w:szCs w:val="24"/>
                <w:vertAlign w:val="superscript"/>
                <w:lang w:val="en-US" w:eastAsia="zh-CN"/>
              </w:rPr>
              <w:t>-7</w:t>
            </w:r>
            <w:r>
              <w:rPr>
                <w:rFonts w:hint="default" w:ascii="Times New Roman" w:hAnsi="Times New Roman" w:eastAsia="仿宋" w:cs="Times New Roman"/>
                <w:bCs/>
                <w:color w:val="auto"/>
                <w:kern w:val="0"/>
                <w:sz w:val="24"/>
                <w:szCs w:val="24"/>
                <w:lang w:val="en-US" w:eastAsia="zh-CN"/>
              </w:rPr>
              <w:t>cm/s。其中危废贮存间须按照《危险废物贮存污染控制标准》（GB18597</w:t>
            </w:r>
            <w:r>
              <w:rPr>
                <w:rFonts w:hint="eastAsia" w:ascii="Times New Roman" w:hAnsi="Times New Roman" w:eastAsia="仿宋" w:cs="Times New Roman"/>
                <w:bCs/>
                <w:color w:val="auto"/>
                <w:kern w:val="0"/>
                <w:sz w:val="24"/>
                <w:szCs w:val="24"/>
                <w:lang w:val="en-US" w:eastAsia="zh-CN"/>
              </w:rPr>
              <w:t>-</w:t>
            </w:r>
            <w:r>
              <w:rPr>
                <w:rFonts w:hint="default" w:ascii="Times New Roman" w:hAnsi="Times New Roman" w:eastAsia="仿宋" w:cs="Times New Roman"/>
                <w:bCs/>
                <w:color w:val="auto"/>
                <w:kern w:val="0"/>
                <w:sz w:val="24"/>
                <w:szCs w:val="24"/>
                <w:lang w:val="en-US" w:eastAsia="zh-CN"/>
              </w:rPr>
              <w:t>2023）要求进行防渗，防渗层为至少1m黏土层（渗透系数≤10</w:t>
            </w:r>
            <w:r>
              <w:rPr>
                <w:rFonts w:hint="default" w:ascii="Times New Roman" w:hAnsi="Times New Roman" w:eastAsia="仿宋" w:cs="Times New Roman"/>
                <w:bCs/>
                <w:color w:val="auto"/>
                <w:kern w:val="0"/>
                <w:sz w:val="24"/>
                <w:szCs w:val="24"/>
                <w:vertAlign w:val="superscript"/>
                <w:lang w:val="en-US" w:eastAsia="zh-CN"/>
              </w:rPr>
              <w:t>-7</w:t>
            </w:r>
            <w:r>
              <w:rPr>
                <w:rFonts w:hint="default" w:ascii="Times New Roman" w:hAnsi="Times New Roman" w:eastAsia="仿宋" w:cs="Times New Roman"/>
                <w:bCs/>
                <w:color w:val="auto"/>
                <w:kern w:val="0"/>
                <w:sz w:val="24"/>
                <w:szCs w:val="24"/>
                <w:lang w:val="en-US" w:eastAsia="zh-CN"/>
              </w:rPr>
              <w:t>cm/s）或2mm厚的高密度聚乙烯膜等其他人工材料（渗透系数≤10</w:t>
            </w:r>
            <w:r>
              <w:rPr>
                <w:rFonts w:hint="default" w:ascii="Times New Roman" w:hAnsi="Times New Roman" w:eastAsia="仿宋" w:cs="Times New Roman"/>
                <w:bCs/>
                <w:color w:val="auto"/>
                <w:kern w:val="0"/>
                <w:sz w:val="24"/>
                <w:szCs w:val="24"/>
                <w:vertAlign w:val="superscript"/>
                <w:lang w:val="en-US" w:eastAsia="zh-CN"/>
              </w:rPr>
              <w:t>-10</w:t>
            </w:r>
            <w:r>
              <w:rPr>
                <w:rFonts w:hint="default" w:ascii="Times New Roman" w:hAnsi="Times New Roman" w:eastAsia="仿宋" w:cs="Times New Roman"/>
                <w:bCs/>
                <w:color w:val="auto"/>
                <w:kern w:val="0"/>
                <w:sz w:val="24"/>
                <w:szCs w:val="24"/>
                <w:lang w:val="en-US" w:eastAsia="zh-CN"/>
              </w:rPr>
              <w:t>cm/s）</w:t>
            </w:r>
            <w:r>
              <w:rPr>
                <w:rFonts w:hint="eastAsia" w:ascii="Times New Roman" w:hAnsi="Times New Roman" w:eastAsia="仿宋" w:cs="Times New Roman"/>
                <w:bCs/>
                <w:color w:val="auto"/>
                <w:kern w:val="0"/>
                <w:sz w:val="24"/>
                <w:szCs w:val="24"/>
                <w:lang w:val="en-US" w:eastAsia="zh-CN"/>
              </w:rPr>
              <w:t>。生产厂房扣除重点防渗区（包括生产区、原料堆放区、成品堆放区等）、一般固废暂存间、变电站、化粪池、隔油池等为</w:t>
            </w:r>
            <w:r>
              <w:rPr>
                <w:rFonts w:hint="default" w:ascii="Times New Roman" w:hAnsi="Times New Roman" w:eastAsia="仿宋" w:cs="Times New Roman"/>
                <w:bCs/>
                <w:color w:val="auto"/>
                <w:kern w:val="0"/>
                <w:sz w:val="24"/>
                <w:szCs w:val="24"/>
                <w:lang w:val="en-US" w:eastAsia="zh-CN"/>
              </w:rPr>
              <w:t>一般防渗区，防渗要求：等效黏土防渗层Mb≥1.5m、K≤10</w:t>
            </w:r>
            <w:r>
              <w:rPr>
                <w:rFonts w:hint="default" w:ascii="Times New Roman" w:hAnsi="Times New Roman" w:eastAsia="仿宋" w:cs="Times New Roman"/>
                <w:bCs/>
                <w:color w:val="auto"/>
                <w:kern w:val="0"/>
                <w:sz w:val="24"/>
                <w:szCs w:val="24"/>
                <w:vertAlign w:val="superscript"/>
                <w:lang w:val="en-US" w:eastAsia="zh-CN"/>
              </w:rPr>
              <w:t>-7</w:t>
            </w:r>
            <w:r>
              <w:rPr>
                <w:rFonts w:hint="default" w:ascii="Times New Roman" w:hAnsi="Times New Roman" w:eastAsia="仿宋" w:cs="Times New Roman"/>
                <w:bCs/>
                <w:color w:val="auto"/>
                <w:kern w:val="0"/>
                <w:sz w:val="24"/>
                <w:szCs w:val="24"/>
                <w:lang w:val="en-US" w:eastAsia="zh-CN"/>
              </w:rPr>
              <w:t>cm/s。原料堆场、消防泵房/循环/脱盐水站、成品库、锅炉房、办公楼、宿舍楼、门卫、变电站等</w:t>
            </w:r>
            <w:r>
              <w:rPr>
                <w:rFonts w:hint="eastAsia" w:ascii="Times New Roman" w:hAnsi="Times New Roman" w:eastAsia="仿宋" w:cs="Times New Roman"/>
                <w:bCs/>
                <w:color w:val="auto"/>
                <w:kern w:val="0"/>
                <w:sz w:val="24"/>
                <w:szCs w:val="24"/>
                <w:lang w:val="en-US" w:eastAsia="zh-CN"/>
              </w:rPr>
              <w:t>为简单防渗区，进行一般</w:t>
            </w:r>
            <w:r>
              <w:rPr>
                <w:rFonts w:hint="default" w:ascii="Times New Roman" w:hAnsi="Times New Roman" w:eastAsia="仿宋" w:cs="Times New Roman"/>
                <w:bCs/>
                <w:color w:val="auto"/>
                <w:kern w:val="0"/>
                <w:sz w:val="24"/>
                <w:szCs w:val="24"/>
                <w:lang w:val="en-US" w:eastAsia="zh-CN"/>
              </w:rPr>
              <w:t>地面硬化处理。</w:t>
            </w:r>
          </w:p>
          <w:p w14:paraId="2F629CFA">
            <w:pPr>
              <w:keepNext w:val="0"/>
              <w:keepLines w:val="0"/>
              <w:pageBreakBefore w:val="0"/>
              <w:widowControl w:val="0"/>
              <w:kinsoku/>
              <w:wordWrap/>
              <w:overflowPunct/>
              <w:topLinePunct w:val="0"/>
              <w:autoSpaceDE/>
              <w:autoSpaceDN/>
              <w:bidi w:val="0"/>
              <w:adjustRightInd/>
              <w:snapToGrid/>
              <w:spacing w:line="300" w:lineRule="exact"/>
              <w:ind w:firstLine="480" w:firstLineChars="200"/>
              <w:textAlignment w:val="auto"/>
              <w:rPr>
                <w:rFonts w:hint="default" w:ascii="Times New Roman" w:hAnsi="Times New Roman" w:eastAsia="仿宋" w:cs="Times New Roman"/>
                <w:bCs/>
                <w:color w:val="auto"/>
                <w:kern w:val="0"/>
                <w:sz w:val="24"/>
                <w:szCs w:val="24"/>
                <w:lang w:val="en-US" w:eastAsia="zh-CN"/>
              </w:rPr>
            </w:pPr>
            <w:r>
              <w:rPr>
                <w:rFonts w:hint="eastAsia" w:ascii="Times New Roman" w:hAnsi="Times New Roman" w:eastAsia="仿宋" w:cs="Times New Roman"/>
                <w:bCs/>
                <w:color w:val="auto"/>
                <w:kern w:val="0"/>
                <w:sz w:val="24"/>
                <w:szCs w:val="24"/>
                <w:lang w:val="en-US" w:eastAsia="zh-CN"/>
              </w:rPr>
              <w:t>3）跟踪监测：</w:t>
            </w:r>
            <w:r>
              <w:rPr>
                <w:rFonts w:hint="default" w:ascii="Times New Roman" w:hAnsi="Times New Roman" w:eastAsia="仿宋" w:cs="Times New Roman"/>
                <w:bCs/>
                <w:color w:val="auto"/>
                <w:kern w:val="0"/>
                <w:sz w:val="24"/>
                <w:szCs w:val="24"/>
                <w:lang w:val="en-US" w:eastAsia="zh-CN"/>
              </w:rPr>
              <w:t>地下水跟踪监测：布设三口水井，项目区西北侧监测井（地下水流向上游，作为地下水背景对照点）、污水处理站西北侧（场内监控点，监控厂区内部地下水状况）、污水处理站东南侧（地下水下游方向，污染扩散监控点，重点监控污水处理设施渗漏风险），设置 3 口监测井进行跟踪监测和对受污染的土壤包气带进行监测，应急响应。</w:t>
            </w:r>
          </w:p>
          <w:p w14:paraId="598F8F60">
            <w:pPr>
              <w:keepNext w:val="0"/>
              <w:keepLines w:val="0"/>
              <w:pageBreakBefore w:val="0"/>
              <w:widowControl w:val="0"/>
              <w:kinsoku/>
              <w:wordWrap/>
              <w:overflowPunct/>
              <w:topLinePunct w:val="0"/>
              <w:autoSpaceDE/>
              <w:autoSpaceDN/>
              <w:bidi w:val="0"/>
              <w:adjustRightInd/>
              <w:snapToGrid/>
              <w:spacing w:line="300" w:lineRule="exact"/>
              <w:ind w:firstLine="480" w:firstLineChars="200"/>
              <w:textAlignment w:val="auto"/>
              <w:rPr>
                <w:rFonts w:hint="eastAsia" w:ascii="Times New Roman" w:hAnsi="Times New Roman" w:eastAsia="仿宋" w:cs="Times New Roman"/>
                <w:bCs/>
                <w:color w:val="auto"/>
                <w:kern w:val="0"/>
                <w:sz w:val="24"/>
                <w:szCs w:val="24"/>
                <w:lang w:val="en-US" w:eastAsia="zh-CN"/>
              </w:rPr>
            </w:pPr>
            <w:r>
              <w:rPr>
                <w:rFonts w:hint="eastAsia" w:ascii="Times New Roman" w:hAnsi="Times New Roman" w:eastAsia="仿宋" w:cs="Times New Roman"/>
                <w:bCs/>
                <w:color w:val="auto"/>
                <w:kern w:val="0"/>
                <w:sz w:val="24"/>
                <w:szCs w:val="24"/>
                <w:lang w:val="en-US" w:eastAsia="zh-CN"/>
              </w:rPr>
              <w:t>4）采取应急处理措施。</w:t>
            </w:r>
          </w:p>
          <w:p w14:paraId="739E988D">
            <w:pPr>
              <w:keepNext w:val="0"/>
              <w:keepLines w:val="0"/>
              <w:pageBreakBefore w:val="0"/>
              <w:widowControl w:val="0"/>
              <w:kinsoku/>
              <w:wordWrap/>
              <w:overflowPunct/>
              <w:topLinePunct w:val="0"/>
              <w:autoSpaceDE/>
              <w:autoSpaceDN/>
              <w:bidi w:val="0"/>
              <w:adjustRightInd/>
              <w:snapToGrid/>
              <w:spacing w:line="300" w:lineRule="exact"/>
              <w:ind w:firstLine="480" w:firstLineChars="200"/>
              <w:textAlignment w:val="auto"/>
              <w:rPr>
                <w:rFonts w:hint="eastAsia" w:ascii="Times New Roman" w:hAnsi="Times New Roman" w:eastAsia="仿宋" w:cs="Times New Roman"/>
                <w:bCs/>
                <w:color w:val="auto"/>
                <w:kern w:val="0"/>
                <w:sz w:val="24"/>
                <w:szCs w:val="24"/>
                <w:lang w:val="en-US" w:eastAsia="zh-CN"/>
              </w:rPr>
            </w:pPr>
            <w:r>
              <w:rPr>
                <w:rFonts w:hint="eastAsia" w:ascii="Times New Roman" w:hAnsi="Times New Roman" w:eastAsia="仿宋" w:cs="Times New Roman"/>
                <w:bCs/>
                <w:color w:val="auto"/>
                <w:kern w:val="0"/>
                <w:sz w:val="24"/>
                <w:szCs w:val="24"/>
                <w:lang w:val="en-US" w:eastAsia="zh-CN"/>
              </w:rPr>
              <w:t>（6）环境风险防控措施</w:t>
            </w:r>
          </w:p>
          <w:p w14:paraId="678506BB">
            <w:pPr>
              <w:keepNext w:val="0"/>
              <w:keepLines w:val="0"/>
              <w:pageBreakBefore w:val="0"/>
              <w:widowControl w:val="0"/>
              <w:kinsoku/>
              <w:wordWrap/>
              <w:overflowPunct/>
              <w:topLinePunct w:val="0"/>
              <w:autoSpaceDE/>
              <w:autoSpaceDN/>
              <w:bidi w:val="0"/>
              <w:adjustRightInd/>
              <w:snapToGrid/>
              <w:spacing w:line="300" w:lineRule="exact"/>
              <w:ind w:firstLine="480" w:firstLineChars="200"/>
              <w:textAlignment w:val="auto"/>
              <w:rPr>
                <w:rFonts w:hint="default" w:ascii="Times New Roman" w:hAnsi="Times New Roman" w:eastAsia="仿宋" w:cs="Times New Roman"/>
                <w:bCs/>
                <w:color w:val="auto"/>
                <w:kern w:val="0"/>
                <w:sz w:val="21"/>
                <w:szCs w:val="21"/>
                <w:lang w:val="en-US" w:eastAsia="zh-CN"/>
              </w:rPr>
            </w:pPr>
            <w:r>
              <w:rPr>
                <w:rFonts w:hint="eastAsia" w:ascii="Times New Roman" w:hAnsi="Times New Roman" w:eastAsia="仿宋" w:cs="Times New Roman"/>
                <w:bCs/>
                <w:color w:val="auto"/>
                <w:kern w:val="0"/>
                <w:sz w:val="24"/>
                <w:szCs w:val="24"/>
                <w:lang w:val="en-US" w:eastAsia="zh-CN"/>
              </w:rPr>
              <w:t>包括废气风险防范（储罐、管线防腐密封，管道地上可视化敷设，布设有毒、可燃气体报警装置，配套物料、燃气紧急切断阀，配备泄漏、火灾应急处置器材）、事故废水三级防控（一级：车间截排水沟、罐区围堰、集液池原位拦截；二级：全厂截排水管网、935m³ 事故应急池、200m³ 初期雨水池、管网切换阀收集事故废水；三级：雨水排放口应急闸、实体围墙兜底阻隔）、地下水风险防控（源头控制、分区防渗，布设上游、场内、下游 3 口监测井，开展地下水及包气带监测、应急响应）、应急预案修订备案及定期应急演练措施。</w:t>
            </w:r>
          </w:p>
        </w:tc>
      </w:tr>
      <w:tr w14:paraId="20B8909A">
        <w:tblPrEx>
          <w:tblCellMar>
            <w:top w:w="0" w:type="dxa"/>
            <w:left w:w="108" w:type="dxa"/>
            <w:bottom w:w="0" w:type="dxa"/>
            <w:right w:w="108" w:type="dxa"/>
          </w:tblCellMar>
        </w:tblPrEx>
        <w:trPr>
          <w:trHeight w:val="386" w:hRule="atLeast"/>
        </w:trPr>
        <w:tc>
          <w:tcPr>
            <w:tcW w:w="9814" w:type="dxa"/>
            <w:gridSpan w:val="6"/>
            <w:tcBorders>
              <w:top w:val="single" w:color="auto" w:sz="4" w:space="0"/>
              <w:left w:val="single" w:color="auto" w:sz="4" w:space="0"/>
              <w:bottom w:val="single" w:color="auto" w:sz="4" w:space="0"/>
              <w:right w:val="single" w:color="auto" w:sz="4" w:space="0"/>
            </w:tcBorders>
            <w:shd w:val="clear" w:color="auto" w:fill="C0C0C0"/>
            <w:vAlign w:val="center"/>
          </w:tcPr>
          <w:p w14:paraId="0181A82B">
            <w:pPr>
              <w:widowControl/>
              <w:spacing w:line="280" w:lineRule="exact"/>
              <w:jc w:val="center"/>
              <w:rPr>
                <w:rFonts w:ascii="宋体"/>
                <w:kern w:val="0"/>
                <w:sz w:val="24"/>
                <w:szCs w:val="24"/>
              </w:rPr>
            </w:pPr>
            <w:r>
              <w:rPr>
                <w:rFonts w:hint="eastAsia" w:ascii="仿宋" w:hAnsi="仿宋" w:eastAsia="仿宋" w:cs="仿宋"/>
                <w:b/>
                <w:bCs/>
                <w:kern w:val="0"/>
                <w:sz w:val="24"/>
                <w:szCs w:val="24"/>
              </w:rPr>
              <w:t>公众参与情况</w:t>
            </w:r>
          </w:p>
        </w:tc>
      </w:tr>
      <w:tr w14:paraId="68135AEE">
        <w:tblPrEx>
          <w:tblCellMar>
            <w:top w:w="0" w:type="dxa"/>
            <w:left w:w="108" w:type="dxa"/>
            <w:bottom w:w="0" w:type="dxa"/>
            <w:right w:w="108" w:type="dxa"/>
          </w:tblCellMar>
        </w:tblPrEx>
        <w:trPr>
          <w:trHeight w:val="374" w:hRule="atLeast"/>
        </w:trPr>
        <w:tc>
          <w:tcPr>
            <w:tcW w:w="9814" w:type="dxa"/>
            <w:gridSpan w:val="6"/>
            <w:tcBorders>
              <w:top w:val="single" w:color="auto" w:sz="4" w:space="0"/>
              <w:left w:val="single" w:color="auto" w:sz="4" w:space="0"/>
              <w:bottom w:val="single" w:color="auto" w:sz="4" w:space="0"/>
              <w:right w:val="single" w:color="auto" w:sz="4" w:space="0"/>
            </w:tcBorders>
            <w:vAlign w:val="center"/>
          </w:tcPr>
          <w:p w14:paraId="2423AC77">
            <w:pPr>
              <w:keepNext w:val="0"/>
              <w:keepLines w:val="0"/>
              <w:pageBreakBefore w:val="0"/>
              <w:widowControl w:val="0"/>
              <w:kinsoku/>
              <w:wordWrap/>
              <w:overflowPunct/>
              <w:topLinePunct w:val="0"/>
              <w:autoSpaceDE/>
              <w:autoSpaceDN/>
              <w:bidi w:val="0"/>
              <w:adjustRightInd/>
              <w:snapToGrid/>
              <w:spacing w:line="300" w:lineRule="exact"/>
              <w:ind w:firstLine="480" w:firstLineChars="200"/>
              <w:textAlignment w:val="auto"/>
              <w:rPr>
                <w:rFonts w:hint="eastAsia" w:ascii="Times New Roman" w:hAnsi="Times New Roman" w:eastAsia="仿宋" w:cs="Times New Roman"/>
                <w:bCs/>
                <w:color w:val="auto"/>
                <w:kern w:val="0"/>
                <w:sz w:val="24"/>
                <w:szCs w:val="24"/>
                <w:lang w:val="en-US" w:eastAsia="zh-CN"/>
              </w:rPr>
            </w:pPr>
            <w:r>
              <w:rPr>
                <w:rFonts w:hint="eastAsia" w:ascii="Times New Roman" w:hAnsi="Times New Roman" w:eastAsia="仿宋" w:cs="Times New Roman"/>
                <w:bCs/>
                <w:color w:val="auto"/>
                <w:kern w:val="0"/>
                <w:sz w:val="24"/>
                <w:szCs w:val="24"/>
                <w:lang w:val="en-US" w:eastAsia="zh-CN"/>
              </w:rPr>
              <w:t>云南乾呈新材料科技有限公司按照《环境影响评价公众参与办法》（生态环境部令第 4 号）开展本项目公众参与工作：第一次网络公示于 2026 年 4 月 27 日在曲靖论坛发布；征求意见稿公示时间为 2026 年 7 月 21 日至 8 月 3 日，在廖家田及项目现场开展现场公示，同步在曲靖论坛、曲靖日报进行公示，公示时长均为 10 个工作日。公示期间未收到邮件、电话及书面反馈意见。建设单位向廖家田、盛家田、鸡头村居民，以及曲靖市马龙区鸡头村街道综合执法队、廖家田社区居委会、盛家田社区居委会、曲靖恒圣石墨有限公司、曲靖市储备粮管理有限公司、云南滇东军粮供应有限公司等单位发放公众参与调查表；对环保类意见予以采纳并落实污染防治措施，就业带动、基础设施完善等诉求不属于环评范畴，不予采纳，建议由地方政府统筹推进。</w:t>
            </w:r>
          </w:p>
          <w:p w14:paraId="6F2AD1EB">
            <w:pPr>
              <w:keepNext w:val="0"/>
              <w:keepLines w:val="0"/>
              <w:pageBreakBefore w:val="0"/>
              <w:widowControl w:val="0"/>
              <w:kinsoku/>
              <w:wordWrap/>
              <w:overflowPunct/>
              <w:topLinePunct w:val="0"/>
              <w:autoSpaceDE/>
              <w:autoSpaceDN/>
              <w:bidi w:val="0"/>
              <w:adjustRightInd/>
              <w:snapToGrid/>
              <w:spacing w:line="300" w:lineRule="exact"/>
              <w:ind w:firstLine="480" w:firstLineChars="200"/>
              <w:textAlignment w:val="auto"/>
            </w:pPr>
            <w:r>
              <w:rPr>
                <w:rFonts w:hint="eastAsia" w:ascii="Times New Roman" w:hAnsi="Times New Roman" w:eastAsia="仿宋" w:cs="Times New Roman"/>
                <w:bCs/>
                <w:color w:val="auto"/>
                <w:kern w:val="0"/>
                <w:sz w:val="24"/>
                <w:szCs w:val="24"/>
                <w:lang w:val="en-US" w:eastAsia="zh-CN"/>
              </w:rPr>
              <w:t>报批前，建设单位于 2026 年 10 月 12 日在曲靖论坛公开拟报批的《年产 110 万吨绿色高性能金属新材料生产基地项目生态环境影响报告书》及公众参与说明，保障公众环境保护知情权、参与权、表达权和监督权。</w:t>
            </w:r>
          </w:p>
        </w:tc>
      </w:tr>
      <w:tr w14:paraId="7B2EF36E">
        <w:tblPrEx>
          <w:tblCellMar>
            <w:top w:w="0" w:type="dxa"/>
            <w:left w:w="108" w:type="dxa"/>
            <w:bottom w:w="0" w:type="dxa"/>
            <w:right w:w="108" w:type="dxa"/>
          </w:tblCellMar>
        </w:tblPrEx>
        <w:trPr>
          <w:trHeight w:val="780" w:hRule="atLeast"/>
        </w:trPr>
        <w:tc>
          <w:tcPr>
            <w:tcW w:w="3622" w:type="dxa"/>
            <w:gridSpan w:val="2"/>
            <w:tcBorders>
              <w:top w:val="single" w:color="auto" w:sz="4" w:space="0"/>
              <w:left w:val="single" w:color="auto" w:sz="4" w:space="0"/>
              <w:bottom w:val="single" w:color="auto" w:sz="4" w:space="0"/>
              <w:right w:val="single" w:color="auto" w:sz="4" w:space="0"/>
            </w:tcBorders>
            <w:shd w:val="clear" w:color="auto" w:fill="C0C0C0"/>
            <w:vAlign w:val="center"/>
          </w:tcPr>
          <w:p w14:paraId="61CEF4CC">
            <w:pPr>
              <w:widowControl/>
              <w:spacing w:line="280" w:lineRule="exact"/>
              <w:jc w:val="center"/>
              <w:rPr>
                <w:rFonts w:ascii="宋体"/>
                <w:kern w:val="0"/>
                <w:sz w:val="24"/>
                <w:szCs w:val="24"/>
              </w:rPr>
            </w:pPr>
            <w:r>
              <w:rPr>
                <w:rFonts w:hint="eastAsia" w:ascii="仿宋" w:hAnsi="仿宋" w:eastAsia="仿宋" w:cs="仿宋"/>
                <w:b/>
                <w:bCs/>
                <w:kern w:val="0"/>
                <w:sz w:val="24"/>
                <w:szCs w:val="24"/>
              </w:rPr>
              <w:t>建设单位或地方政府所作出的相关承诺文件</w:t>
            </w:r>
          </w:p>
        </w:tc>
        <w:tc>
          <w:tcPr>
            <w:tcW w:w="6192" w:type="dxa"/>
            <w:gridSpan w:val="4"/>
            <w:tcBorders>
              <w:top w:val="single" w:color="auto" w:sz="4" w:space="0"/>
              <w:left w:val="nil"/>
              <w:bottom w:val="single" w:color="auto" w:sz="4" w:space="0"/>
              <w:right w:val="single" w:color="auto" w:sz="4" w:space="0"/>
            </w:tcBorders>
            <w:vAlign w:val="center"/>
          </w:tcPr>
          <w:p w14:paraId="7E01DF9D">
            <w:pPr>
              <w:widowControl/>
              <w:spacing w:line="280" w:lineRule="exact"/>
              <w:ind w:firstLine="480" w:firstLineChars="200"/>
              <w:jc w:val="both"/>
              <w:rPr>
                <w:rFonts w:hint="eastAsia" w:eastAsia="仿宋"/>
                <w:lang w:val="en-US" w:eastAsia="zh-CN"/>
              </w:rPr>
            </w:pPr>
            <w:r>
              <w:rPr>
                <w:rFonts w:hint="eastAsia" w:ascii="仿宋" w:hAnsi="仿宋" w:eastAsia="仿宋" w:cs="仿宋"/>
                <w:sz w:val="24"/>
                <w:szCs w:val="24"/>
                <w:lang w:val="en-US" w:eastAsia="zh-CN"/>
              </w:rPr>
              <w:t>信息公开承诺书。</w:t>
            </w:r>
          </w:p>
        </w:tc>
      </w:tr>
      <w:tr w14:paraId="0CF63BF9">
        <w:tblPrEx>
          <w:tblCellMar>
            <w:top w:w="0" w:type="dxa"/>
            <w:left w:w="108" w:type="dxa"/>
            <w:bottom w:w="0" w:type="dxa"/>
            <w:right w:w="108" w:type="dxa"/>
          </w:tblCellMar>
        </w:tblPrEx>
        <w:trPr>
          <w:trHeight w:val="570" w:hRule="atLeast"/>
        </w:trPr>
        <w:tc>
          <w:tcPr>
            <w:tcW w:w="9814" w:type="dxa"/>
            <w:gridSpan w:val="6"/>
            <w:tcBorders>
              <w:top w:val="single" w:color="auto" w:sz="4" w:space="0"/>
              <w:left w:val="nil"/>
              <w:bottom w:val="nil"/>
              <w:right w:val="nil"/>
            </w:tcBorders>
            <w:vAlign w:val="center"/>
          </w:tcPr>
          <w:p w14:paraId="63D49715">
            <w:pPr>
              <w:widowControl/>
              <w:spacing w:line="280" w:lineRule="exact"/>
              <w:jc w:val="left"/>
              <w:rPr>
                <w:rFonts w:ascii="宋体"/>
                <w:kern w:val="0"/>
                <w:sz w:val="24"/>
                <w:szCs w:val="24"/>
              </w:rPr>
            </w:pPr>
            <w:r>
              <w:rPr>
                <w:rFonts w:hint="eastAsia" w:ascii="仿宋" w:hAnsi="仿宋" w:eastAsia="仿宋" w:cs="仿宋"/>
                <w:kern w:val="0"/>
                <w:sz w:val="24"/>
                <w:szCs w:val="24"/>
              </w:rPr>
              <w:t>注:项目概况、项目主要环境影响、项目预防及减轻不良环境影响的对策和措施、公众参与情况、建设单位或地方政府所作出的相关承诺文件部分由建设单位填写。公众反馈意见联系方式部分由行政审批机关填写。</w:t>
            </w:r>
          </w:p>
        </w:tc>
      </w:tr>
    </w:tbl>
    <w:p w14:paraId="55A5EC79">
      <w:pPr>
        <w:rPr>
          <w:color w:val="FF0000"/>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altName w:val="Arial Unicode MS"/>
    <w:panose1 w:val="02000000000000000000"/>
    <w:charset w:val="86"/>
    <w:family w:val="script"/>
    <w:pitch w:val="default"/>
    <w:sig w:usb0="00000000" w:usb1="0000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embedRegular r:id="rId1" w:fontKey="{6901E38A-D3A5-4A86-8BF5-B403E3F7F89C}"/>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BiYzQ1NDY1YjQ0MjBjMWNmZDQyYjE1NzJjMWYwMDcifQ=="/>
  </w:docVars>
  <w:rsids>
    <w:rsidRoot w:val="392E2078"/>
    <w:rsid w:val="0007389C"/>
    <w:rsid w:val="00150BE9"/>
    <w:rsid w:val="00156B39"/>
    <w:rsid w:val="001A0782"/>
    <w:rsid w:val="001A6B62"/>
    <w:rsid w:val="001B3A2B"/>
    <w:rsid w:val="001F034E"/>
    <w:rsid w:val="001F679B"/>
    <w:rsid w:val="00294DBA"/>
    <w:rsid w:val="002B6C2D"/>
    <w:rsid w:val="002C62B4"/>
    <w:rsid w:val="00322D57"/>
    <w:rsid w:val="00327286"/>
    <w:rsid w:val="00330F90"/>
    <w:rsid w:val="00335349"/>
    <w:rsid w:val="003C1AD7"/>
    <w:rsid w:val="003C4CF8"/>
    <w:rsid w:val="003C6F96"/>
    <w:rsid w:val="003E6693"/>
    <w:rsid w:val="00473C47"/>
    <w:rsid w:val="00485878"/>
    <w:rsid w:val="004A6061"/>
    <w:rsid w:val="004D701F"/>
    <w:rsid w:val="004E159E"/>
    <w:rsid w:val="005010C4"/>
    <w:rsid w:val="005107E1"/>
    <w:rsid w:val="005370B8"/>
    <w:rsid w:val="00542698"/>
    <w:rsid w:val="005A0DCF"/>
    <w:rsid w:val="005B283A"/>
    <w:rsid w:val="0060088D"/>
    <w:rsid w:val="0061485D"/>
    <w:rsid w:val="0062265A"/>
    <w:rsid w:val="006C6412"/>
    <w:rsid w:val="006D5270"/>
    <w:rsid w:val="006E4B40"/>
    <w:rsid w:val="006E5771"/>
    <w:rsid w:val="00702618"/>
    <w:rsid w:val="00705F2D"/>
    <w:rsid w:val="00773626"/>
    <w:rsid w:val="007A0516"/>
    <w:rsid w:val="007C11E2"/>
    <w:rsid w:val="0081762D"/>
    <w:rsid w:val="00833B43"/>
    <w:rsid w:val="00841044"/>
    <w:rsid w:val="00863CCD"/>
    <w:rsid w:val="00871427"/>
    <w:rsid w:val="00872120"/>
    <w:rsid w:val="00873527"/>
    <w:rsid w:val="008A3643"/>
    <w:rsid w:val="008A7183"/>
    <w:rsid w:val="008C224E"/>
    <w:rsid w:val="008C796D"/>
    <w:rsid w:val="008C7996"/>
    <w:rsid w:val="008C7D47"/>
    <w:rsid w:val="008D6010"/>
    <w:rsid w:val="00906E2D"/>
    <w:rsid w:val="009B5EE1"/>
    <w:rsid w:val="009D1793"/>
    <w:rsid w:val="009D3485"/>
    <w:rsid w:val="009D5CDC"/>
    <w:rsid w:val="00A560A2"/>
    <w:rsid w:val="00A7390A"/>
    <w:rsid w:val="00A752B3"/>
    <w:rsid w:val="00A84CD0"/>
    <w:rsid w:val="00AA08DA"/>
    <w:rsid w:val="00B22E4F"/>
    <w:rsid w:val="00B4670A"/>
    <w:rsid w:val="00B547C9"/>
    <w:rsid w:val="00B55F2A"/>
    <w:rsid w:val="00BA1007"/>
    <w:rsid w:val="00BA59BE"/>
    <w:rsid w:val="00BA7231"/>
    <w:rsid w:val="00BC32D8"/>
    <w:rsid w:val="00BD0857"/>
    <w:rsid w:val="00BD1407"/>
    <w:rsid w:val="00C36231"/>
    <w:rsid w:val="00C71183"/>
    <w:rsid w:val="00C96052"/>
    <w:rsid w:val="00CC1BB9"/>
    <w:rsid w:val="00CD2BAA"/>
    <w:rsid w:val="00CD608E"/>
    <w:rsid w:val="00D233CF"/>
    <w:rsid w:val="00DA65D2"/>
    <w:rsid w:val="00DC4E67"/>
    <w:rsid w:val="00DC7CEE"/>
    <w:rsid w:val="00E46C95"/>
    <w:rsid w:val="00E90C9E"/>
    <w:rsid w:val="00ED0EFF"/>
    <w:rsid w:val="00EE1F18"/>
    <w:rsid w:val="00EE5CE6"/>
    <w:rsid w:val="00F530BA"/>
    <w:rsid w:val="00F86E32"/>
    <w:rsid w:val="00FD24C7"/>
    <w:rsid w:val="00FD5740"/>
    <w:rsid w:val="00FF23D3"/>
    <w:rsid w:val="013830D2"/>
    <w:rsid w:val="01437794"/>
    <w:rsid w:val="02F4218D"/>
    <w:rsid w:val="03344A05"/>
    <w:rsid w:val="05275651"/>
    <w:rsid w:val="05B86C53"/>
    <w:rsid w:val="07A53F59"/>
    <w:rsid w:val="081E3E37"/>
    <w:rsid w:val="0870623F"/>
    <w:rsid w:val="0BD775A9"/>
    <w:rsid w:val="0E7539A2"/>
    <w:rsid w:val="13B34670"/>
    <w:rsid w:val="175C524E"/>
    <w:rsid w:val="17FC2877"/>
    <w:rsid w:val="1A3C46BC"/>
    <w:rsid w:val="1B020E5E"/>
    <w:rsid w:val="1C8733A0"/>
    <w:rsid w:val="201D4921"/>
    <w:rsid w:val="20547DB6"/>
    <w:rsid w:val="21602F6F"/>
    <w:rsid w:val="21DD5A71"/>
    <w:rsid w:val="22862C6A"/>
    <w:rsid w:val="245D4345"/>
    <w:rsid w:val="24694EB2"/>
    <w:rsid w:val="25502092"/>
    <w:rsid w:val="292F5527"/>
    <w:rsid w:val="2B002CE4"/>
    <w:rsid w:val="2CA10B4F"/>
    <w:rsid w:val="2CAD1D69"/>
    <w:rsid w:val="2EE11733"/>
    <w:rsid w:val="2F923676"/>
    <w:rsid w:val="2FC57EA9"/>
    <w:rsid w:val="301D5EC7"/>
    <w:rsid w:val="33682ACB"/>
    <w:rsid w:val="34185686"/>
    <w:rsid w:val="35313D1A"/>
    <w:rsid w:val="38002C65"/>
    <w:rsid w:val="392E2078"/>
    <w:rsid w:val="39984AC7"/>
    <w:rsid w:val="3B020811"/>
    <w:rsid w:val="3B1810C5"/>
    <w:rsid w:val="3B2E26FF"/>
    <w:rsid w:val="3C272C37"/>
    <w:rsid w:val="3D932D93"/>
    <w:rsid w:val="3D9C18A1"/>
    <w:rsid w:val="3EDD372A"/>
    <w:rsid w:val="4155672C"/>
    <w:rsid w:val="415D42F2"/>
    <w:rsid w:val="426C2071"/>
    <w:rsid w:val="428461A5"/>
    <w:rsid w:val="43BD5ED1"/>
    <w:rsid w:val="449625B7"/>
    <w:rsid w:val="449B5142"/>
    <w:rsid w:val="45BD33BC"/>
    <w:rsid w:val="462F6647"/>
    <w:rsid w:val="47F24AD5"/>
    <w:rsid w:val="4866291F"/>
    <w:rsid w:val="4B402719"/>
    <w:rsid w:val="4B9C7ABA"/>
    <w:rsid w:val="4C985FBF"/>
    <w:rsid w:val="4D2F5EED"/>
    <w:rsid w:val="4DC60339"/>
    <w:rsid w:val="4E3A4B0F"/>
    <w:rsid w:val="4EC40453"/>
    <w:rsid w:val="4F7B2ACC"/>
    <w:rsid w:val="50153BC8"/>
    <w:rsid w:val="51E81108"/>
    <w:rsid w:val="52385E17"/>
    <w:rsid w:val="54752240"/>
    <w:rsid w:val="555D267C"/>
    <w:rsid w:val="5653575C"/>
    <w:rsid w:val="577942AD"/>
    <w:rsid w:val="58FF0EBE"/>
    <w:rsid w:val="5998453C"/>
    <w:rsid w:val="5A834766"/>
    <w:rsid w:val="5BED57C7"/>
    <w:rsid w:val="5D2E69AB"/>
    <w:rsid w:val="5DCC4393"/>
    <w:rsid w:val="5E951367"/>
    <w:rsid w:val="5F257633"/>
    <w:rsid w:val="60EA0DC0"/>
    <w:rsid w:val="614E3CA3"/>
    <w:rsid w:val="64CE0A00"/>
    <w:rsid w:val="656376E2"/>
    <w:rsid w:val="66336F03"/>
    <w:rsid w:val="66B00A67"/>
    <w:rsid w:val="6AB93F9D"/>
    <w:rsid w:val="6B5D7B2E"/>
    <w:rsid w:val="6C8A7DA4"/>
    <w:rsid w:val="6FFE60F2"/>
    <w:rsid w:val="714078D6"/>
    <w:rsid w:val="715F713D"/>
    <w:rsid w:val="747E39E9"/>
    <w:rsid w:val="74857523"/>
    <w:rsid w:val="77533B6A"/>
    <w:rsid w:val="78CD4DAD"/>
    <w:rsid w:val="79377A43"/>
    <w:rsid w:val="79CC62C5"/>
    <w:rsid w:val="79EF4D86"/>
    <w:rsid w:val="7A0F229F"/>
    <w:rsid w:val="7E5F22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方正仿宋_GBK" w:cs="Times New Roman"/>
      <w:kern w:val="32"/>
      <w:sz w:val="32"/>
      <w:szCs w:val="32"/>
      <w:lang w:val="en-US" w:eastAsia="zh-CN" w:bidi="ar-SA"/>
    </w:rPr>
  </w:style>
  <w:style w:type="paragraph" w:styleId="4">
    <w:name w:val="heading 2"/>
    <w:basedOn w:val="1"/>
    <w:next w:val="1"/>
    <w:link w:val="26"/>
    <w:qFormat/>
    <w:uiPriority w:val="0"/>
    <w:pPr>
      <w:tabs>
        <w:tab w:val="left" w:pos="5882"/>
      </w:tabs>
      <w:adjustRightInd w:val="0"/>
      <w:snapToGrid w:val="0"/>
      <w:spacing w:beforeLines="50"/>
      <w:jc w:val="left"/>
      <w:outlineLvl w:val="1"/>
    </w:pPr>
    <w:rPr>
      <w:rFonts w:ascii="Times New Roman" w:hAnsi="Times New Roman" w:eastAsia="宋体"/>
      <w:b/>
      <w:kern w:val="0"/>
      <w:sz w:val="24"/>
      <w:szCs w:val="24"/>
    </w:rPr>
  </w:style>
  <w:style w:type="paragraph" w:styleId="5">
    <w:name w:val="heading 3"/>
    <w:basedOn w:val="1"/>
    <w:next w:val="1"/>
    <w:link w:val="21"/>
    <w:qFormat/>
    <w:uiPriority w:val="0"/>
    <w:pPr>
      <w:topLinePunct/>
      <w:spacing w:before="120" w:line="480" w:lineRule="exact"/>
      <w:outlineLvl w:val="2"/>
    </w:pPr>
    <w:rPr>
      <w:rFonts w:ascii="Times New Roman" w:hAnsi="Times New Roman" w:eastAsia="楷体_GB2312"/>
      <w:b/>
      <w:bCs/>
      <w:color w:val="000000"/>
      <w:kern w:val="2"/>
      <w:sz w:val="28"/>
      <w:szCs w:val="28"/>
    </w:rPr>
  </w:style>
  <w:style w:type="paragraph" w:styleId="6">
    <w:name w:val="heading 4"/>
    <w:basedOn w:val="1"/>
    <w:next w:val="1"/>
    <w:link w:val="24"/>
    <w:qFormat/>
    <w:uiPriority w:val="0"/>
    <w:pPr>
      <w:keepNext/>
      <w:keepLines/>
      <w:spacing w:before="280" w:after="290" w:line="376" w:lineRule="auto"/>
      <w:outlineLvl w:val="3"/>
    </w:pPr>
    <w:rPr>
      <w:rFonts w:ascii="Arial" w:hAnsi="Arial" w:eastAsia="黑体"/>
      <w:b/>
      <w:bCs/>
      <w:kern w:val="2"/>
      <w:sz w:val="28"/>
      <w:szCs w:val="28"/>
    </w:rPr>
  </w:style>
  <w:style w:type="character" w:default="1" w:styleId="14">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3"/>
    <w:qFormat/>
    <w:uiPriority w:val="1"/>
    <w:rPr>
      <w:sz w:val="24"/>
      <w:szCs w:val="24"/>
    </w:rPr>
  </w:style>
  <w:style w:type="paragraph" w:customStyle="1" w:styleId="3">
    <w:name w:val="明显引用1"/>
    <w:next w:val="1"/>
    <w:qFormat/>
    <w:uiPriority w:val="0"/>
    <w:pPr>
      <w:wordWrap w:val="0"/>
      <w:spacing w:before="360" w:after="360"/>
      <w:ind w:left="950" w:right="950"/>
      <w:jc w:val="center"/>
    </w:pPr>
    <w:rPr>
      <w:rFonts w:ascii="Times New Roman" w:hAnsi="Times New Roman" w:eastAsia="宋体" w:cs="Times New Roman"/>
      <w:i/>
      <w:sz w:val="21"/>
      <w:lang w:val="en-US" w:eastAsia="zh-CN" w:bidi="ar-SA"/>
    </w:rPr>
  </w:style>
  <w:style w:type="paragraph" w:styleId="7">
    <w:name w:val="annotation text"/>
    <w:basedOn w:val="1"/>
    <w:semiHidden/>
    <w:qFormat/>
    <w:uiPriority w:val="0"/>
    <w:pPr>
      <w:jc w:val="left"/>
    </w:pPr>
    <w:rPr>
      <w:kern w:val="0"/>
      <w:sz w:val="24"/>
      <w:szCs w:val="20"/>
    </w:rPr>
  </w:style>
  <w:style w:type="paragraph" w:styleId="8">
    <w:name w:val="Plain Text"/>
    <w:basedOn w:val="1"/>
    <w:qFormat/>
    <w:uiPriority w:val="0"/>
    <w:rPr>
      <w:rFonts w:ascii="宋体"/>
      <w:snapToGrid w:val="0"/>
      <w:kern w:val="0"/>
      <w:szCs w:val="20"/>
    </w:rPr>
  </w:style>
  <w:style w:type="paragraph" w:styleId="9">
    <w:name w:val="footer"/>
    <w:basedOn w:val="1"/>
    <w:link w:val="25"/>
    <w:qFormat/>
    <w:uiPriority w:val="0"/>
    <w:pPr>
      <w:tabs>
        <w:tab w:val="center" w:pos="4153"/>
        <w:tab w:val="right" w:pos="8306"/>
      </w:tabs>
      <w:snapToGrid w:val="0"/>
      <w:jc w:val="left"/>
    </w:pPr>
    <w:rPr>
      <w:sz w:val="18"/>
      <w:szCs w:val="18"/>
    </w:rPr>
  </w:style>
  <w:style w:type="paragraph" w:styleId="10">
    <w:name w:val="header"/>
    <w:basedOn w:val="1"/>
    <w:link w:val="23"/>
    <w:qFormat/>
    <w:uiPriority w:val="0"/>
    <w:pPr>
      <w:pBdr>
        <w:bottom w:val="single" w:color="auto" w:sz="6" w:space="1"/>
      </w:pBdr>
      <w:tabs>
        <w:tab w:val="center" w:pos="4153"/>
        <w:tab w:val="right" w:pos="8306"/>
      </w:tabs>
      <w:snapToGrid w:val="0"/>
      <w:jc w:val="center"/>
    </w:pPr>
    <w:rPr>
      <w:sz w:val="18"/>
      <w:szCs w:val="18"/>
    </w:rPr>
  </w:style>
  <w:style w:type="paragraph" w:styleId="11">
    <w:name w:val="Normal (Web)"/>
    <w:basedOn w:val="1"/>
    <w:qFormat/>
    <w:uiPriority w:val="0"/>
    <w:pPr>
      <w:jc w:val="left"/>
    </w:pPr>
    <w:rPr>
      <w:rFonts w:eastAsia="宋体"/>
      <w:kern w:val="0"/>
      <w:sz w:val="24"/>
    </w:rPr>
  </w:style>
  <w:style w:type="paragraph" w:styleId="12">
    <w:name w:val="Title"/>
    <w:basedOn w:val="1"/>
    <w:qFormat/>
    <w:uiPriority w:val="0"/>
    <w:pPr>
      <w:adjustRightInd w:val="0"/>
      <w:snapToGrid w:val="0"/>
      <w:spacing w:before="240" w:after="60" w:line="360" w:lineRule="auto"/>
      <w:ind w:firstLine="200" w:firstLineChars="200"/>
      <w:jc w:val="center"/>
      <w:outlineLvl w:val="0"/>
    </w:pPr>
    <w:rPr>
      <w:rFonts w:ascii="Cambria" w:hAnsi="Cambria"/>
      <w:b/>
      <w:bCs/>
    </w:rPr>
  </w:style>
  <w:style w:type="character" w:styleId="15">
    <w:name w:val="Strong"/>
    <w:basedOn w:val="14"/>
    <w:qFormat/>
    <w:uiPriority w:val="0"/>
    <w:rPr>
      <w:b/>
    </w:rPr>
  </w:style>
  <w:style w:type="character" w:styleId="16">
    <w:name w:val="annotation reference"/>
    <w:basedOn w:val="14"/>
    <w:qFormat/>
    <w:uiPriority w:val="0"/>
    <w:rPr>
      <w:sz w:val="21"/>
      <w:szCs w:val="21"/>
    </w:rPr>
  </w:style>
  <w:style w:type="paragraph" w:customStyle="1" w:styleId="17">
    <w:name w:val="Default"/>
    <w:basedOn w:val="18"/>
    <w:next w:val="2"/>
    <w:qFormat/>
    <w:uiPriority w:val="99"/>
    <w:pPr>
      <w:widowControl w:val="0"/>
      <w:autoSpaceDE w:val="0"/>
      <w:autoSpaceDN w:val="0"/>
      <w:adjustRightInd w:val="0"/>
    </w:pPr>
    <w:rPr>
      <w:rFonts w:ascii="宋体" w:cs="宋体"/>
      <w:color w:val="000000"/>
      <w:sz w:val="24"/>
      <w:szCs w:val="24"/>
      <w:lang w:val="en-US" w:eastAsia="zh-CN" w:bidi="ar-SA"/>
    </w:rPr>
  </w:style>
  <w:style w:type="paragraph" w:customStyle="1" w:styleId="18">
    <w:name w:val="纯文本1"/>
    <w:basedOn w:val="1"/>
    <w:qFormat/>
    <w:uiPriority w:val="0"/>
    <w:pPr>
      <w:suppressAutoHyphens/>
    </w:pPr>
    <w:rPr>
      <w:rFonts w:ascii="宋体" w:hAnsi="宋体" w:eastAsia="宋体" w:cs="Times New Roman"/>
      <w:kern w:val="1"/>
      <w:sz w:val="28"/>
      <w:lang w:eastAsia="ar-SA"/>
    </w:rPr>
  </w:style>
  <w:style w:type="paragraph" w:customStyle="1" w:styleId="19">
    <w:name w:val="Normal Indent1"/>
    <w:basedOn w:val="1"/>
    <w:next w:val="1"/>
    <w:qFormat/>
    <w:uiPriority w:val="99"/>
    <w:pPr>
      <w:ind w:firstLine="420"/>
    </w:pPr>
  </w:style>
  <w:style w:type="paragraph" w:customStyle="1" w:styleId="20">
    <w:name w:val="正本文字"/>
    <w:basedOn w:val="1"/>
    <w:autoRedefine/>
    <w:qFormat/>
    <w:uiPriority w:val="0"/>
    <w:pPr>
      <w:adjustRightInd w:val="0"/>
      <w:snapToGrid w:val="0"/>
      <w:spacing w:line="360" w:lineRule="auto"/>
      <w:ind w:firstLine="480" w:firstLineChars="200"/>
      <w:jc w:val="left"/>
    </w:pPr>
    <w:rPr>
      <w:rFonts w:cs="宋体"/>
      <w:kern w:val="18"/>
      <w:sz w:val="24"/>
    </w:rPr>
  </w:style>
  <w:style w:type="character" w:customStyle="1" w:styleId="21">
    <w:name w:val="标题 3 字符"/>
    <w:link w:val="5"/>
    <w:qFormat/>
    <w:uiPriority w:val="0"/>
    <w:rPr>
      <w:rFonts w:eastAsia="楷体_GB2312"/>
      <w:b/>
      <w:bCs/>
      <w:color w:val="000000"/>
      <w:kern w:val="2"/>
      <w:sz w:val="28"/>
      <w:szCs w:val="28"/>
    </w:rPr>
  </w:style>
  <w:style w:type="character" w:customStyle="1" w:styleId="22">
    <w:name w:val="标题 3 Char"/>
    <w:semiHidden/>
    <w:qFormat/>
    <w:uiPriority w:val="0"/>
    <w:rPr>
      <w:rFonts w:ascii="Calibri" w:hAnsi="Calibri" w:eastAsia="方正仿宋_GBK"/>
      <w:b/>
      <w:bCs/>
      <w:kern w:val="32"/>
      <w:sz w:val="32"/>
      <w:szCs w:val="32"/>
    </w:rPr>
  </w:style>
  <w:style w:type="character" w:customStyle="1" w:styleId="23">
    <w:name w:val="页眉 字符"/>
    <w:link w:val="10"/>
    <w:qFormat/>
    <w:uiPriority w:val="0"/>
    <w:rPr>
      <w:rFonts w:ascii="Calibri" w:hAnsi="Calibri" w:eastAsia="方正仿宋_GBK"/>
      <w:kern w:val="32"/>
      <w:sz w:val="18"/>
      <w:szCs w:val="18"/>
    </w:rPr>
  </w:style>
  <w:style w:type="character" w:customStyle="1" w:styleId="24">
    <w:name w:val="标题 4 字符"/>
    <w:link w:val="6"/>
    <w:qFormat/>
    <w:uiPriority w:val="0"/>
    <w:rPr>
      <w:rFonts w:ascii="Arial" w:hAnsi="Arial" w:eastAsia="黑体"/>
      <w:b/>
      <w:bCs/>
      <w:kern w:val="2"/>
      <w:sz w:val="28"/>
      <w:szCs w:val="28"/>
    </w:rPr>
  </w:style>
  <w:style w:type="character" w:customStyle="1" w:styleId="25">
    <w:name w:val="页脚 字符"/>
    <w:link w:val="9"/>
    <w:qFormat/>
    <w:uiPriority w:val="0"/>
    <w:rPr>
      <w:rFonts w:ascii="Calibri" w:hAnsi="Calibri" w:eastAsia="方正仿宋_GBK"/>
      <w:kern w:val="32"/>
      <w:sz w:val="18"/>
      <w:szCs w:val="18"/>
    </w:rPr>
  </w:style>
  <w:style w:type="character" w:customStyle="1" w:styleId="26">
    <w:name w:val="标题 2 字符"/>
    <w:link w:val="4"/>
    <w:qFormat/>
    <w:uiPriority w:val="0"/>
    <w:rPr>
      <w:rFonts w:eastAsia="宋体"/>
      <w:b/>
      <w:sz w:val="24"/>
      <w:szCs w:val="24"/>
    </w:rPr>
  </w:style>
  <w:style w:type="character" w:customStyle="1" w:styleId="27">
    <w:name w:val="标题 4 Char"/>
    <w:semiHidden/>
    <w:qFormat/>
    <w:uiPriority w:val="0"/>
    <w:rPr>
      <w:rFonts w:ascii="Cambria" w:hAnsi="Cambria" w:eastAsia="宋体" w:cs="Times New Roman"/>
      <w:b/>
      <w:bCs/>
      <w:kern w:val="32"/>
      <w:sz w:val="28"/>
      <w:szCs w:val="28"/>
    </w:rPr>
  </w:style>
  <w:style w:type="character" w:customStyle="1" w:styleId="28">
    <w:name w:val="正文 旺源文字段落 Char"/>
    <w:link w:val="29"/>
    <w:qFormat/>
    <w:uiPriority w:val="0"/>
    <w:rPr>
      <w:rFonts w:ascii="宋体" w:hAnsi="宋体" w:cs="宋体"/>
      <w:kern w:val="24"/>
      <w:sz w:val="24"/>
      <w:szCs w:val="24"/>
    </w:rPr>
  </w:style>
  <w:style w:type="paragraph" w:customStyle="1" w:styleId="29">
    <w:name w:val="正文 旺源文字段落"/>
    <w:basedOn w:val="1"/>
    <w:link w:val="28"/>
    <w:qFormat/>
    <w:uiPriority w:val="0"/>
    <w:pPr>
      <w:spacing w:line="500" w:lineRule="exact"/>
      <w:ind w:firstLine="420"/>
    </w:pPr>
    <w:rPr>
      <w:rFonts w:ascii="宋体" w:hAnsi="宋体" w:eastAsia="宋体"/>
      <w:kern w:val="24"/>
      <w:sz w:val="24"/>
      <w:szCs w:val="24"/>
    </w:rPr>
  </w:style>
  <w:style w:type="paragraph" w:customStyle="1" w:styleId="30">
    <w:name w:val="LH样式"/>
    <w:basedOn w:val="1"/>
    <w:qFormat/>
    <w:uiPriority w:val="0"/>
    <w:pPr>
      <w:spacing w:line="480" w:lineRule="exact"/>
      <w:ind w:firstLine="520" w:firstLineChars="200"/>
    </w:pPr>
    <w:rPr>
      <w:rFonts w:ascii="Times New Roman" w:hAnsi="Times New Roman" w:eastAsia="宋体"/>
      <w:color w:val="00B0F0"/>
      <w:kern w:val="2"/>
      <w:sz w:val="26"/>
      <w:szCs w:val="26"/>
    </w:rPr>
  </w:style>
  <w:style w:type="paragraph" w:customStyle="1" w:styleId="31">
    <w:name w:val="正文2"/>
    <w:basedOn w:val="1"/>
    <w:qFormat/>
    <w:uiPriority w:val="0"/>
    <w:pPr>
      <w:spacing w:line="360" w:lineRule="auto"/>
      <w:ind w:firstLine="200" w:firstLineChars="200"/>
    </w:pPr>
    <w:rPr>
      <w:rFonts w:ascii="Times New Roman" w:hAnsi="Times New Roman" w:eastAsia="宋体"/>
      <w:sz w:val="24"/>
      <w:szCs w:val="20"/>
    </w:rPr>
  </w:style>
  <w:style w:type="paragraph" w:customStyle="1" w:styleId="32">
    <w:name w:val="Table Text"/>
    <w:basedOn w:val="1"/>
    <w:semiHidden/>
    <w:qFormat/>
    <w:uiPriority w:val="0"/>
    <w:rPr>
      <w:rFonts w:ascii="宋体" w:hAnsi="宋体" w:eastAsia="宋体" w:cs="宋体"/>
      <w:sz w:val="21"/>
      <w:szCs w:val="21"/>
      <w:lang w:val="en-US" w:eastAsia="en-US" w:bidi="ar-SA"/>
    </w:rPr>
  </w:style>
  <w:style w:type="paragraph" w:customStyle="1" w:styleId="33">
    <w:name w:val="H正文"/>
    <w:basedOn w:val="1"/>
    <w:qFormat/>
    <w:uiPriority w:val="0"/>
    <w:pPr>
      <w:adjustRightInd w:val="0"/>
      <w:spacing w:line="400" w:lineRule="exact"/>
      <w:ind w:firstLine="200" w:firstLineChars="200"/>
      <w:textAlignment w:val="baseline"/>
    </w:pPr>
    <w:rPr>
      <w:rFonts w:ascii="Times New Roman" w:hAnsi="Times New Roman" w:eastAsia="宋体"/>
      <w:snapToGrid w:val="0"/>
      <w:spacing w:val="6"/>
      <w:kern w:val="2"/>
      <w:sz w:val="21"/>
      <w:szCs w:val="24"/>
    </w:rPr>
  </w:style>
  <w:style w:type="paragraph" w:customStyle="1" w:styleId="34">
    <w:name w:val="正缩1"/>
    <w:basedOn w:val="1"/>
    <w:qFormat/>
    <w:uiPriority w:val="0"/>
    <w:pPr>
      <w:adjustRightInd w:val="0"/>
      <w:snapToGrid w:val="0"/>
      <w:spacing w:line="500" w:lineRule="exact"/>
      <w:ind w:firstLine="567"/>
    </w:pPr>
    <w:rPr>
      <w:rFonts w:ascii="Times New Roman" w:eastAsia="仿宋_GB2312"/>
      <w:color w:val="000000"/>
      <w:kern w:val="2"/>
      <w:sz w:val="28"/>
    </w:rPr>
  </w:style>
  <w:style w:type="paragraph" w:customStyle="1" w:styleId="35">
    <w:name w:val="【正文】"/>
    <w:basedOn w:val="1"/>
    <w:qFormat/>
    <w:uiPriority w:val="0"/>
    <w:rPr>
      <w:rFonts w:cs="宋体"/>
    </w:rPr>
  </w:style>
  <w:style w:type="paragraph" w:customStyle="1" w:styleId="36">
    <w:name w:val="报告书正文"/>
    <w:basedOn w:val="1"/>
    <w:qFormat/>
    <w:uiPriority w:val="0"/>
    <w:pPr>
      <w:adjustRightInd w:val="0"/>
      <w:spacing w:line="360" w:lineRule="auto"/>
      <w:ind w:firstLine="420" w:firstLineChars="200"/>
      <w:textAlignment w:val="baseline"/>
    </w:pPr>
    <w:rPr>
      <w:kern w:val="0"/>
      <w:sz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china</Company>
  <Pages>5</Pages>
  <Words>5052</Words>
  <Characters>5382</Characters>
  <Lines>97</Lines>
  <Paragraphs>85</Paragraphs>
  <TotalTime>20</TotalTime>
  <ScaleCrop>false</ScaleCrop>
  <LinksUpToDate>false</LinksUpToDate>
  <CharactersWithSpaces>5427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2019-10-22T09:39:00Z</dcterms:created>
  <dc:creator>lenovo</dc:creator>
  <cp:lastModifiedBy>郭丽娜</cp:lastModifiedBy>
  <cp:lastPrinted>2016-09-13T11:08:00Z</cp:lastPrinted>
  <dcterms:modified xsi:type="dcterms:W3CDTF">2026-11-03T06:39:09Z</dcterms:modified>
  <dc:title>曲靖市环境保护局</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4CA858D059FF4083A3626DE3C4385F4C_13</vt:lpwstr>
  </property>
  <property fmtid="{D5CDD505-2E9C-101B-9397-08002B2CF9AE}" pid="4" name="KSOTemplateDocerSaveRecord">
    <vt:lpwstr>eyJoZGlkIjoiYTA0OTFiNTllN2E3YTc2MDc5ZTIwYTg0ZjFlZjFlMWQiLCJ1c2VySWQiOiIzNzMyMDUyODEifQ==</vt:lpwstr>
  </property>
</Properties>
</file>