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6CF29330">
        <w:tblPrEx>
          <w:tblCellMar>
            <w:top w:w="0" w:type="dxa"/>
            <w:left w:w="108" w:type="dxa"/>
            <w:bottom w:w="0" w:type="dxa"/>
            <w:right w:w="108" w:type="dxa"/>
          </w:tblCellMar>
        </w:tblPrEx>
        <w:trPr>
          <w:trHeight w:val="950"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7E1CF093">
            <w:pPr>
              <w:widowControl/>
              <w:spacing w:line="280" w:lineRule="exact"/>
              <w:jc w:val="left"/>
              <w:rPr>
                <w:rFonts w:ascii="宋体"/>
                <w:kern w:val="0"/>
                <w:sz w:val="24"/>
                <w:szCs w:val="24"/>
              </w:rPr>
            </w:pPr>
            <w:bookmarkStart w:id="0" w:name="_GoBack"/>
            <w:bookmarkEnd w:id="0"/>
            <w:r>
              <w:rPr>
                <w:rFonts w:hint="eastAsia" w:ascii="宋体"/>
                <w:sz w:val="24"/>
                <w:szCs w:val="24"/>
              </w:rPr>
              <w:t xml:space="preserve"> </w:t>
            </w:r>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7A33B157">
            <w:pPr>
              <w:widowControl/>
              <w:spacing w:line="280" w:lineRule="exact"/>
              <w:jc w:val="left"/>
              <w:rPr>
                <w:rFonts w:hint="eastAsia" w:ascii="Times New Roman" w:hAnsi="Times New Roman"/>
                <w:sz w:val="24"/>
                <w:szCs w:val="24"/>
              </w:rPr>
            </w:pPr>
            <w:r>
              <w:rPr>
                <w:rFonts w:hint="eastAsia" w:ascii="Times New Roman" w:hAnsi="Times New Roman" w:eastAsia="宋体" w:cs="Times New Roman"/>
                <w:color w:val="000000"/>
                <w:spacing w:val="0"/>
                <w:sz w:val="24"/>
                <w:highlight w:val="none"/>
                <w:lang w:val="en-US" w:eastAsia="zh-CN"/>
              </w:rPr>
              <w:t>220kV益湖输变电工程</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47597ACA">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79B3562B">
            <w:pPr>
              <w:widowControl/>
              <w:spacing w:line="280" w:lineRule="exact"/>
              <w:jc w:val="left"/>
              <w:rPr>
                <w:rFonts w:hint="eastAsia" w:ascii="Times New Roman" w:hAnsi="Times New Roman" w:eastAsia="宋体"/>
                <w:sz w:val="24"/>
                <w:szCs w:val="24"/>
                <w:lang w:eastAsia="zh-CN"/>
              </w:rPr>
            </w:pPr>
            <w:r>
              <w:rPr>
                <w:rFonts w:hint="eastAsia" w:ascii="Times New Roman" w:hAnsi="Times New Roman" w:eastAsia="宋体" w:cs="Times New Roman"/>
                <w:color w:val="000000"/>
                <w:spacing w:val="0"/>
                <w:sz w:val="24"/>
                <w:highlight w:val="none"/>
                <w:lang w:val="en-US" w:eastAsia="zh-CN"/>
              </w:rPr>
              <w:t>沾益区花山街道、白水镇境内</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029EC65A">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4E697D7B">
            <w:pPr>
              <w:widowControl/>
              <w:spacing w:line="280" w:lineRule="exact"/>
              <w:jc w:val="center"/>
              <w:rPr>
                <w:rFonts w:hint="eastAsia" w:ascii="Times New Roman" w:hAnsi="Times New Roman"/>
                <w:sz w:val="24"/>
                <w:szCs w:val="24"/>
              </w:rPr>
            </w:pPr>
            <w:r>
              <w:rPr>
                <w:rFonts w:hint="eastAsia" w:ascii="Times New Roman" w:hAnsi="Times New Roman" w:eastAsia="宋体" w:cs="Times New Roman"/>
                <w:color w:val="000000"/>
                <w:spacing w:val="0"/>
                <w:sz w:val="24"/>
                <w:highlight w:val="none"/>
                <w:lang w:val="en-US" w:eastAsia="zh-CN"/>
              </w:rPr>
              <w:t>云南电网有限责任公司曲靖供电局</w:t>
            </w:r>
          </w:p>
        </w:tc>
      </w:tr>
      <w:tr w14:paraId="44FB3BD7">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46CC5380">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0A65489D">
            <w:pPr>
              <w:widowControl/>
              <w:spacing w:line="280" w:lineRule="exact"/>
              <w:jc w:val="center"/>
              <w:rPr>
                <w:rFonts w:ascii="宋体" w:hAnsi="宋体" w:eastAsia="宋体" w:cs="华文仿宋"/>
                <w:kern w:val="0"/>
                <w:sz w:val="24"/>
                <w:szCs w:val="24"/>
              </w:rPr>
            </w:pPr>
            <w:r>
              <w:rPr>
                <w:rFonts w:hint="eastAsia" w:ascii="Times New Roman" w:hAnsi="Times New Roman" w:eastAsia="宋体" w:cs="Times New Roman"/>
                <w:caps w:val="0"/>
                <w:color w:val="000000"/>
                <w:spacing w:val="0"/>
                <w:kern w:val="0"/>
                <w:sz w:val="24"/>
                <w:szCs w:val="24"/>
                <w:highlight w:val="none"/>
                <w:lang w:val="en-US" w:eastAsia="zh-CN"/>
              </w:rPr>
              <w:t xml:space="preserve">报告表 </w:t>
            </w:r>
          </w:p>
        </w:tc>
        <w:tc>
          <w:tcPr>
            <w:tcW w:w="1276" w:type="dxa"/>
            <w:tcBorders>
              <w:top w:val="nil"/>
              <w:left w:val="nil"/>
              <w:bottom w:val="single" w:color="auto" w:sz="4" w:space="0"/>
              <w:right w:val="single" w:color="auto" w:sz="4" w:space="0"/>
            </w:tcBorders>
            <w:shd w:val="clear" w:color="auto" w:fill="C0C0C0"/>
            <w:vAlign w:val="center"/>
          </w:tcPr>
          <w:p w14:paraId="62AA8AD7">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5AFC7658">
            <w:pPr>
              <w:widowControl/>
              <w:spacing w:line="280" w:lineRule="exact"/>
              <w:jc w:val="center"/>
              <w:rPr>
                <w:rFonts w:ascii="宋体"/>
                <w:kern w:val="0"/>
                <w:sz w:val="24"/>
                <w:szCs w:val="24"/>
              </w:rPr>
            </w:pPr>
            <w:r>
              <w:rPr>
                <w:rFonts w:hint="eastAsia" w:ascii="Times New Roman" w:hAnsi="Times New Roman" w:eastAsia="宋体" w:cs="Times New Roman"/>
                <w:caps w:val="0"/>
                <w:color w:val="000000"/>
                <w:spacing w:val="0"/>
                <w:kern w:val="0"/>
                <w:sz w:val="24"/>
                <w:szCs w:val="24"/>
                <w:highlight w:val="none"/>
                <w:lang w:val="en-US" w:eastAsia="zh-CN"/>
              </w:rPr>
              <w:t>四川众望安全环保技术咨询有限公</w:t>
            </w:r>
          </w:p>
        </w:tc>
      </w:tr>
      <w:tr w14:paraId="725F6532">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51E50B26">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7013CADF">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252DFF4">
            <w:pPr>
              <w:pStyle w:val="36"/>
              <w:keepNext w:val="0"/>
              <w:keepLines w:val="0"/>
              <w:pageBreakBefore w:val="0"/>
              <w:widowControl w:val="0"/>
              <w:kinsoku/>
              <w:wordWrap/>
              <w:overflowPunct/>
              <w:topLinePunct w:val="0"/>
              <w:autoSpaceDE/>
              <w:autoSpaceDN/>
              <w:bidi w:val="0"/>
              <w:snapToGrid/>
              <w:spacing w:line="440" w:lineRule="exact"/>
              <w:ind w:firstLine="480"/>
              <w:rPr>
                <w:rFonts w:hint="eastAsia"/>
              </w:rPr>
            </w:pPr>
            <w:r>
              <w:rPr>
                <w:rFonts w:hint="eastAsia" w:ascii="Times New Roman" w:hAnsi="Times New Roman" w:eastAsia="宋体" w:cs="Times New Roman"/>
                <w:b w:val="0"/>
                <w:bCs w:val="0"/>
                <w:caps w:val="0"/>
                <w:color w:val="000000"/>
                <w:spacing w:val="0"/>
                <w:sz w:val="24"/>
                <w:szCs w:val="24"/>
                <w:highlight w:val="none"/>
                <w:lang w:val="en-US" w:eastAsia="zh-CN"/>
              </w:rPr>
              <w:t>220kV益湖输变电工程</w:t>
            </w:r>
            <w:r>
              <w:rPr>
                <w:rFonts w:hint="eastAsia" w:ascii="Times New Roman" w:hAnsi="Times New Roman" w:eastAsia="宋体" w:cs="Times New Roman"/>
                <w:color w:val="000000"/>
                <w:spacing w:val="0"/>
                <w:kern w:val="0"/>
                <w:sz w:val="24"/>
                <w:szCs w:val="24"/>
                <w:highlight w:val="none"/>
                <w:lang w:val="en-US" w:eastAsia="zh-CN" w:bidi="ar"/>
              </w:rPr>
              <w:t>总投资7454万元，其中环保投资139.8万元，</w:t>
            </w:r>
            <w:r>
              <w:rPr>
                <w:rFonts w:hint="eastAsia" w:ascii="Times New Roman" w:hAnsi="Times New Roman" w:eastAsia="宋体" w:cs="Times New Roman"/>
                <w:b w:val="0"/>
                <w:bCs w:val="0"/>
                <w:caps w:val="0"/>
                <w:color w:val="000000"/>
                <w:spacing w:val="0"/>
                <w:sz w:val="24"/>
                <w:szCs w:val="24"/>
                <w:highlight w:val="none"/>
                <w:lang w:val="en-US" w:eastAsia="zh-CN"/>
              </w:rPr>
              <w:t>建设内容包括：①新建</w:t>
            </w:r>
            <w:r>
              <w:rPr>
                <w:rFonts w:hint="eastAsia" w:ascii="Times New Roman" w:hAnsi="Times New Roman" w:eastAsia="宋体" w:cs="Times New Roman"/>
                <w:b w:val="0"/>
                <w:bCs w:val="0"/>
                <w:caps w:val="0"/>
                <w:color w:val="000000"/>
                <w:spacing w:val="0"/>
                <w:kern w:val="0"/>
                <w:sz w:val="24"/>
                <w:szCs w:val="24"/>
                <w:highlight w:val="none"/>
                <w:lang w:val="en-US" w:eastAsia="zh-CN"/>
              </w:rPr>
              <w:t>22</w:t>
            </w:r>
            <w:r>
              <w:rPr>
                <w:rFonts w:hint="default" w:ascii="Times New Roman" w:hAnsi="Times New Roman" w:eastAsia="宋体" w:cs="Times New Roman"/>
                <w:b w:val="0"/>
                <w:bCs w:val="0"/>
                <w:caps w:val="0"/>
                <w:color w:val="000000"/>
                <w:spacing w:val="0"/>
                <w:kern w:val="0"/>
                <w:sz w:val="24"/>
                <w:szCs w:val="24"/>
                <w:highlight w:val="none"/>
                <w:lang w:val="en-US" w:eastAsia="zh-CN"/>
              </w:rPr>
              <w:t>0kV</w:t>
            </w:r>
            <w:r>
              <w:rPr>
                <w:rFonts w:hint="eastAsia" w:ascii="Times New Roman" w:hAnsi="Times New Roman" w:eastAsia="宋体" w:cs="Times New Roman"/>
                <w:b w:val="0"/>
                <w:bCs w:val="0"/>
                <w:caps w:val="0"/>
                <w:color w:val="000000"/>
                <w:spacing w:val="0"/>
                <w:kern w:val="0"/>
                <w:sz w:val="24"/>
                <w:szCs w:val="24"/>
                <w:highlight w:val="none"/>
                <w:lang w:val="en-US" w:eastAsia="zh-CN"/>
              </w:rPr>
              <w:t>益湖变电站工程：</w:t>
            </w:r>
            <w:r>
              <w:rPr>
                <w:rFonts w:hint="eastAsia" w:ascii="Times New Roman" w:hAnsi="Times New Roman" w:eastAsia="宋体" w:cs="Times New Roman"/>
                <w:b w:val="0"/>
                <w:bCs w:val="0"/>
                <w:caps w:val="0"/>
                <w:color w:val="000000"/>
                <w:spacing w:val="0"/>
                <w:sz w:val="24"/>
                <w:szCs w:val="24"/>
                <w:highlight w:val="none"/>
                <w:lang w:val="en-US" w:eastAsia="zh-CN"/>
              </w:rPr>
              <w:t>站址</w:t>
            </w:r>
            <w:r>
              <w:rPr>
                <w:rFonts w:hint="eastAsia" w:ascii="Times New Roman" w:hAnsi="Times New Roman" w:eastAsia="宋体" w:cs="Times New Roman"/>
                <w:b w:val="0"/>
                <w:bCs w:val="0"/>
                <w:caps w:val="0"/>
                <w:color w:val="000000"/>
                <w:spacing w:val="0"/>
                <w:kern w:val="0"/>
                <w:sz w:val="24"/>
                <w:szCs w:val="24"/>
                <w:highlight w:val="none"/>
                <w:lang w:val="en-US" w:eastAsia="zh-CN"/>
              </w:rPr>
              <w:t>总用地面积为3.49hm</w:t>
            </w:r>
            <w:r>
              <w:rPr>
                <w:rFonts w:hint="eastAsia" w:ascii="Times New Roman" w:hAnsi="Times New Roman" w:eastAsia="宋体" w:cs="Times New Roman"/>
                <w:b w:val="0"/>
                <w:bCs w:val="0"/>
                <w:caps w:val="0"/>
                <w:color w:val="000000"/>
                <w:spacing w:val="0"/>
                <w:kern w:val="0"/>
                <w:sz w:val="24"/>
                <w:szCs w:val="24"/>
                <w:highlight w:val="none"/>
                <w:vertAlign w:val="superscript"/>
                <w:lang w:val="en-US" w:eastAsia="zh-CN"/>
              </w:rPr>
              <w:t>2</w:t>
            </w:r>
            <w:r>
              <w:rPr>
                <w:rFonts w:hint="eastAsia" w:ascii="Times New Roman" w:hAnsi="Times New Roman" w:eastAsia="宋体" w:cs="Times New Roman"/>
                <w:b w:val="0"/>
                <w:bCs w:val="0"/>
                <w:caps w:val="0"/>
                <w:color w:val="000000"/>
                <w:spacing w:val="0"/>
                <w:kern w:val="0"/>
                <w:sz w:val="24"/>
                <w:szCs w:val="24"/>
                <w:highlight w:val="none"/>
                <w:lang w:val="en-US" w:eastAsia="zh-CN"/>
              </w:rPr>
              <w:t>（含进站道路），本期设2台容量为180MVA的主变压器，采用室外布置方式；</w:t>
            </w:r>
            <w:r>
              <w:rPr>
                <w:rFonts w:hint="eastAsia" w:ascii="Times New Roman" w:hAnsi="Times New Roman" w:eastAsia="宋体" w:cs="Times New Roman"/>
                <w:b w:val="0"/>
                <w:bCs w:val="0"/>
                <w:caps w:val="0"/>
                <w:color w:val="000000"/>
                <w:spacing w:val="0"/>
                <w:sz w:val="24"/>
                <w:szCs w:val="24"/>
                <w:highlight w:val="none"/>
                <w:lang w:val="en-US" w:eastAsia="zh-CN"/>
              </w:rPr>
              <w:t>②</w:t>
            </w:r>
            <w:r>
              <w:rPr>
                <w:rFonts w:hint="eastAsia" w:ascii="Times New Roman" w:hAnsi="Times New Roman" w:eastAsia="宋体" w:cs="Times New Roman"/>
                <w:b w:val="0"/>
                <w:bCs w:val="0"/>
                <w:caps w:val="0"/>
                <w:smallCaps w:val="0"/>
                <w:color w:val="000000"/>
                <w:spacing w:val="0"/>
                <w:kern w:val="2"/>
                <w:sz w:val="24"/>
                <w:szCs w:val="24"/>
                <w:highlight w:val="none"/>
                <w:lang w:val="en-US" w:eastAsia="zh-CN" w:bidi="ar-SA"/>
              </w:rPr>
              <w:t>本期新建4回220kV线路，5回110kV线路，8回10kV线路，</w:t>
            </w:r>
            <w:r>
              <w:rPr>
                <w:rFonts w:hint="eastAsia" w:ascii="Times New Roman" w:hAnsi="Times New Roman" w:eastAsia="宋体" w:cs="Times New Roman"/>
                <w:color w:val="000000"/>
                <w:spacing w:val="0"/>
                <w:sz w:val="24"/>
                <w:szCs w:val="24"/>
                <w:highlight w:val="none"/>
                <w:lang w:val="en-US" w:eastAsia="zh-CN"/>
              </w:rPr>
              <w:t>架空线路总长约64.4km，其中220kV线路长42.1km，110kV线路长22.3km。</w:t>
            </w:r>
            <w:r>
              <w:rPr>
                <w:rFonts w:hint="eastAsia" w:ascii="Times New Roman" w:hAnsi="Times New Roman" w:eastAsia="宋体" w:cs="Times New Roman"/>
                <w:b w:val="0"/>
                <w:bCs w:val="0"/>
                <w:caps w:val="0"/>
                <w:smallCaps w:val="0"/>
                <w:color w:val="000000"/>
                <w:spacing w:val="0"/>
                <w:kern w:val="2"/>
                <w:sz w:val="24"/>
                <w:szCs w:val="24"/>
                <w:highlight w:val="none"/>
                <w:lang w:val="en-US" w:eastAsia="zh-CN" w:bidi="ar-SA"/>
              </w:rPr>
              <w:t>；</w:t>
            </w:r>
            <w:r>
              <w:rPr>
                <w:rFonts w:hint="eastAsia" w:ascii="Times New Roman" w:hAnsi="Times New Roman" w:eastAsia="宋体" w:cs="Times New Roman"/>
                <w:b w:val="0"/>
                <w:bCs w:val="0"/>
                <w:caps w:val="0"/>
                <w:color w:val="000000"/>
                <w:spacing w:val="0"/>
                <w:sz w:val="24"/>
                <w:szCs w:val="24"/>
                <w:highlight w:val="none"/>
                <w:lang w:val="en-US" w:eastAsia="zh-CN"/>
              </w:rPr>
              <w:t>③在已建500kV喜平变电站扩建2个220kV间隔工程。</w:t>
            </w:r>
          </w:p>
        </w:tc>
      </w:tr>
      <w:tr w14:paraId="19D34EA6">
        <w:tblPrEx>
          <w:tblCellMar>
            <w:top w:w="0" w:type="dxa"/>
            <w:left w:w="108" w:type="dxa"/>
            <w:bottom w:w="0" w:type="dxa"/>
            <w:right w:w="108" w:type="dxa"/>
          </w:tblCellMar>
        </w:tblPrEx>
        <w:trPr>
          <w:trHeight w:val="555"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24DA8F5A">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5A093C9D">
        <w:tblPrEx>
          <w:tblCellMar>
            <w:top w:w="0" w:type="dxa"/>
            <w:left w:w="108" w:type="dxa"/>
            <w:bottom w:w="0" w:type="dxa"/>
            <w:right w:w="108" w:type="dxa"/>
          </w:tblCellMar>
        </w:tblPrEx>
        <w:trPr>
          <w:trHeight w:val="1004"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A1FB57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Autospacing="0" w:line="360" w:lineRule="exact"/>
              <w:ind w:right="0" w:rightChars="0"/>
              <w:jc w:val="left"/>
              <w:textAlignment w:val="auto"/>
              <w:rPr>
                <w:rFonts w:hint="default" w:ascii="Times New Roman" w:hAnsi="Times New Roman" w:eastAsia="宋体" w:cs="Times New Roman"/>
                <w:b/>
                <w:bCs/>
                <w:caps w:val="0"/>
                <w:color w:val="000000"/>
                <w:spacing w:val="0"/>
                <w:kern w:val="0"/>
                <w:sz w:val="24"/>
                <w:szCs w:val="24"/>
                <w:highlight w:val="none"/>
                <w:lang w:val="en-US" w:eastAsia="zh-CN" w:bidi="ar-SA"/>
              </w:rPr>
            </w:pPr>
            <w:r>
              <w:rPr>
                <w:rFonts w:hint="eastAsia" w:ascii="Times New Roman" w:hAnsi="Times New Roman" w:eastAsia="宋体" w:cs="Times New Roman"/>
                <w:b/>
                <w:bCs/>
                <w:caps w:val="0"/>
                <w:color w:val="000000"/>
                <w:spacing w:val="0"/>
                <w:kern w:val="0"/>
                <w:sz w:val="24"/>
                <w:szCs w:val="24"/>
                <w:lang w:val="en-US" w:eastAsia="zh-CN" w:bidi="ar-SA"/>
              </w:rPr>
              <w:t>一、</w:t>
            </w:r>
            <w:r>
              <w:rPr>
                <w:rFonts w:hint="default" w:ascii="Times New Roman" w:hAnsi="Times New Roman" w:eastAsia="宋体" w:cs="Times New Roman"/>
                <w:b/>
                <w:bCs/>
                <w:caps w:val="0"/>
                <w:color w:val="000000"/>
                <w:spacing w:val="0"/>
                <w:kern w:val="0"/>
                <w:sz w:val="24"/>
                <w:szCs w:val="24"/>
                <w:highlight w:val="none"/>
                <w:lang w:val="en-US" w:eastAsia="zh-CN" w:bidi="ar-SA"/>
              </w:rPr>
              <w:t>施工期：</w:t>
            </w:r>
          </w:p>
          <w:p w14:paraId="19FAC14F">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Autospacing="0" w:line="360" w:lineRule="exact"/>
              <w:ind w:right="0" w:rightChars="0" w:firstLine="480" w:firstLineChars="200"/>
              <w:jc w:val="left"/>
              <w:textAlignment w:val="auto"/>
              <w:rPr>
                <w:rFonts w:hint="eastAsia"/>
              </w:rPr>
            </w:pPr>
            <w:r>
              <w:rPr>
                <w:rFonts w:hint="default" w:ascii="Times New Roman" w:hAnsi="Times New Roman" w:eastAsia="宋体" w:cs="Times New Roman"/>
                <w:b w:val="0"/>
                <w:bCs w:val="0"/>
                <w:caps w:val="0"/>
                <w:color w:val="000000"/>
                <w:spacing w:val="0"/>
                <w:kern w:val="0"/>
                <w:sz w:val="24"/>
                <w:szCs w:val="24"/>
                <w:highlight w:val="none"/>
                <w:lang w:val="en-US" w:eastAsia="zh-CN" w:bidi="ar-SA"/>
              </w:rPr>
              <w:t>主要有项目占地及基础开挖对区域陆生生态、地表植被的影响；混凝土拌合、养护及施工器具清洗产生的施工废水；物料运输、土建施工产生的扬尘；施工机械、运输车辆产生的噪声；基础开挖、构筑物建设产生的固体废弃物。</w:t>
            </w:r>
          </w:p>
          <w:p w14:paraId="37B023CE">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360" w:lineRule="exact"/>
              <w:ind w:right="0" w:rightChars="0"/>
              <w:jc w:val="left"/>
              <w:textAlignment w:val="auto"/>
              <w:rPr>
                <w:rFonts w:hint="default" w:ascii="Times New Roman" w:hAnsi="Times New Roman" w:eastAsia="宋体" w:cs="Times New Roman"/>
                <w:b/>
                <w:bCs/>
                <w:caps w:val="0"/>
                <w:color w:val="000000"/>
                <w:spacing w:val="0"/>
                <w:kern w:val="0"/>
                <w:sz w:val="24"/>
                <w:szCs w:val="24"/>
                <w:highlight w:val="none"/>
                <w:lang w:val="en-US" w:eastAsia="zh-CN" w:bidi="ar-SA"/>
              </w:rPr>
            </w:pPr>
            <w:r>
              <w:rPr>
                <w:rFonts w:hint="eastAsia" w:ascii="Times New Roman" w:hAnsi="Times New Roman" w:eastAsia="宋体" w:cs="Times New Roman"/>
                <w:b/>
                <w:bCs/>
                <w:caps w:val="0"/>
                <w:color w:val="000000"/>
                <w:spacing w:val="0"/>
                <w:kern w:val="0"/>
                <w:sz w:val="24"/>
                <w:szCs w:val="24"/>
                <w:highlight w:val="none"/>
                <w:lang w:val="en-US" w:eastAsia="zh-CN" w:bidi="ar-SA"/>
              </w:rPr>
              <w:t>运</w:t>
            </w:r>
            <w:r>
              <w:rPr>
                <w:rFonts w:hint="default" w:ascii="Times New Roman" w:hAnsi="Times New Roman" w:eastAsia="宋体" w:cs="Times New Roman"/>
                <w:b/>
                <w:bCs/>
                <w:caps w:val="0"/>
                <w:color w:val="000000"/>
                <w:spacing w:val="0"/>
                <w:kern w:val="0"/>
                <w:sz w:val="24"/>
                <w:szCs w:val="24"/>
                <w:highlight w:val="none"/>
                <w:lang w:val="en-US" w:eastAsia="zh-CN" w:bidi="ar-SA"/>
              </w:rPr>
              <w:t>行期：</w:t>
            </w:r>
          </w:p>
          <w:p w14:paraId="3B78BBB0">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Autospacing="0" w:line="240" w:lineRule="auto"/>
              <w:ind w:right="0" w:rightChars="0" w:firstLine="480" w:firstLineChars="200"/>
              <w:jc w:val="left"/>
              <w:textAlignment w:val="auto"/>
              <w:rPr>
                <w:rFonts w:hint="eastAsia"/>
              </w:rPr>
            </w:pPr>
            <w:r>
              <w:rPr>
                <w:rFonts w:hint="default" w:ascii="Times New Roman" w:hAnsi="Times New Roman" w:eastAsia="宋体" w:cs="Times New Roman"/>
                <w:b w:val="0"/>
                <w:bCs w:val="0"/>
                <w:caps w:val="0"/>
                <w:color w:val="000000"/>
                <w:spacing w:val="0"/>
                <w:kern w:val="0"/>
                <w:sz w:val="24"/>
                <w:szCs w:val="24"/>
                <w:highlight w:val="none"/>
                <w:lang w:val="en-US" w:eastAsia="zh-CN" w:bidi="ar-SA"/>
              </w:rPr>
              <w:t>主要有变电站、输电线路运行产生的工频电磁场、噪声影响；工作人员产生的生活污水及生活垃圾；变电站运行产生的废铅酸电池、废变压器油等固废。</w:t>
            </w:r>
          </w:p>
        </w:tc>
      </w:tr>
      <w:tr w14:paraId="5A4BD6AA">
        <w:tblPrEx>
          <w:tblCellMar>
            <w:top w:w="0" w:type="dxa"/>
            <w:left w:w="108" w:type="dxa"/>
            <w:bottom w:w="0" w:type="dxa"/>
            <w:right w:w="108" w:type="dxa"/>
          </w:tblCellMar>
        </w:tblPrEx>
        <w:trPr>
          <w:trHeight w:val="575"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2F5F4ED">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401C60D9">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2B5AB3D8">
            <w:pPr>
              <w:widowControl/>
              <w:numPr>
                <w:ilvl w:val="0"/>
                <w:numId w:val="2"/>
              </w:numPr>
              <w:spacing w:line="360" w:lineRule="auto"/>
              <w:ind w:left="120" w:leftChars="0" w:firstLine="0" w:firstLineChars="0"/>
              <w:jc w:val="left"/>
              <w:rPr>
                <w:rFonts w:hint="eastAsia" w:ascii="宋体" w:hAnsi="宋体" w:eastAsia="宋体" w:cs="宋体"/>
                <w:b/>
                <w:bCs/>
                <w:i w:val="0"/>
                <w:iCs w:val="0"/>
                <w:caps w:val="0"/>
                <w:color w:val="000000"/>
                <w:spacing w:val="0"/>
                <w:sz w:val="24"/>
                <w:szCs w:val="24"/>
                <w:shd w:val="clear" w:fill="FFFFFF"/>
              </w:rPr>
            </w:pPr>
            <w:r>
              <w:rPr>
                <w:rFonts w:hint="eastAsia" w:ascii="宋体" w:hAnsi="宋体" w:eastAsia="宋体" w:cs="宋体"/>
                <w:b/>
                <w:bCs/>
                <w:i w:val="0"/>
                <w:iCs w:val="0"/>
                <w:caps w:val="0"/>
                <w:color w:val="000000"/>
                <w:spacing w:val="0"/>
                <w:sz w:val="24"/>
                <w:szCs w:val="24"/>
                <w:shd w:val="clear" w:fill="FFFFFF"/>
              </w:rPr>
              <w:t>施工期主要环保措施：</w:t>
            </w:r>
          </w:p>
          <w:p w14:paraId="3DB8916E">
            <w:pPr>
              <w:widowControl/>
              <w:numPr>
                <w:ilvl w:val="0"/>
                <w:numId w:val="0"/>
              </w:numPr>
              <w:spacing w:line="360" w:lineRule="auto"/>
              <w:ind w:left="120" w:leftChars="0" w:firstLine="480" w:firstLineChars="200"/>
              <w:jc w:val="left"/>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kern w:val="32"/>
                <w:sz w:val="24"/>
                <w:szCs w:val="24"/>
                <w:shd w:val="clear" w:fill="FFFFFF"/>
                <w:lang w:val="en-US" w:eastAsia="zh-CN" w:bidi="ar-SA"/>
              </w:rPr>
              <w:t>（1）</w:t>
            </w:r>
            <w:r>
              <w:rPr>
                <w:rFonts w:hint="eastAsia" w:ascii="宋体" w:hAnsi="宋体" w:eastAsia="宋体" w:cs="宋体"/>
                <w:i w:val="0"/>
                <w:iCs w:val="0"/>
                <w:caps w:val="0"/>
                <w:color w:val="000000"/>
                <w:spacing w:val="0"/>
                <w:sz w:val="24"/>
                <w:szCs w:val="24"/>
                <w:shd w:val="clear" w:fill="FFFFFF"/>
              </w:rPr>
              <w:t>声环境保护措施：严格文明施工，选用符合国家标准施工机械设备，限制夜间高噪声施工；确需夜间施工须办理手续并公告。</w:t>
            </w:r>
          </w:p>
          <w:p w14:paraId="2E36AD47">
            <w:pPr>
              <w:widowControl/>
              <w:numPr>
                <w:ilvl w:val="0"/>
                <w:numId w:val="0"/>
              </w:numPr>
              <w:spacing w:line="360" w:lineRule="auto"/>
              <w:ind w:left="120" w:leftChars="0" w:firstLine="480" w:firstLineChars="200"/>
              <w:jc w:val="left"/>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kern w:val="32"/>
                <w:sz w:val="24"/>
                <w:szCs w:val="24"/>
                <w:shd w:val="clear" w:fill="FFFFFF"/>
                <w:lang w:val="en-US" w:eastAsia="zh-CN" w:bidi="ar-SA"/>
              </w:rPr>
              <w:t>（2）</w:t>
            </w:r>
            <w:r>
              <w:rPr>
                <w:rFonts w:hint="eastAsia" w:ascii="宋体" w:hAnsi="宋体" w:eastAsia="宋体" w:cs="宋体"/>
                <w:i w:val="0"/>
                <w:iCs w:val="0"/>
                <w:caps w:val="0"/>
                <w:color w:val="000000"/>
                <w:spacing w:val="0"/>
                <w:sz w:val="24"/>
                <w:szCs w:val="24"/>
                <w:shd w:val="clear" w:fill="FFFFFF"/>
              </w:rPr>
              <w:t>大气环境：加强对施工现场和物料运输的管理，临时堆土遮盖、洒水降尘等抑尘措施。</w:t>
            </w:r>
          </w:p>
          <w:p w14:paraId="6ECF43AD">
            <w:pPr>
              <w:widowControl/>
              <w:numPr>
                <w:ilvl w:val="0"/>
                <w:numId w:val="0"/>
              </w:numPr>
              <w:spacing w:line="360" w:lineRule="auto"/>
              <w:ind w:left="120" w:leftChars="0" w:firstLine="480" w:firstLineChars="200"/>
              <w:jc w:val="left"/>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（3）水环境保护措施：施工废水产生量较小，就近回用于施工作业和洒水降尘等，不外排；施工人员租用当地村民房屋，生活污水利用当地污水处理设施进行处理。</w:t>
            </w:r>
          </w:p>
          <w:p w14:paraId="58FA325D">
            <w:pPr>
              <w:widowControl/>
              <w:numPr>
                <w:ilvl w:val="0"/>
                <w:numId w:val="0"/>
              </w:numPr>
              <w:spacing w:line="360" w:lineRule="auto"/>
              <w:ind w:left="120" w:leftChars="0" w:firstLine="480" w:firstLineChars="200"/>
              <w:jc w:val="left"/>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4）生态环境：合理详细规划临时施工场地，设置施工控制带，限制施工机械和施工人员的活动范围；严禁引入外来物种，严禁捕猎、捕食野生动物。施工完成后，应对施工现场进行清理平整并及时进行植被恢复。</w:t>
            </w:r>
          </w:p>
          <w:p w14:paraId="6E37C7F0">
            <w:pPr>
              <w:widowControl/>
              <w:numPr>
                <w:ilvl w:val="0"/>
                <w:numId w:val="0"/>
              </w:numPr>
              <w:spacing w:line="360" w:lineRule="auto"/>
              <w:ind w:left="120" w:leftChars="0" w:firstLine="480" w:firstLineChars="200"/>
              <w:jc w:val="left"/>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（5）固体废物：生活垃圾与当地的村民生活垃圾一同进行妥善处理，在塔基施工期间产生的废弃物品回收再利用或运送到政府明确指定的处理地点进行专门处理，土石方全部回填利用。</w:t>
            </w:r>
          </w:p>
          <w:p w14:paraId="38B1CE25">
            <w:pPr>
              <w:widowControl/>
              <w:numPr>
                <w:ilvl w:val="0"/>
                <w:numId w:val="0"/>
              </w:numPr>
              <w:spacing w:line="360" w:lineRule="auto"/>
              <w:ind w:left="120" w:leftChars="0" w:firstLine="480" w:firstLineChars="200"/>
              <w:jc w:val="left"/>
              <w:rPr>
                <w:rFonts w:hint="default" w:ascii="Times New Roman" w:hAnsi="Times New Roman" w:eastAsia="宋体" w:cs="Times New Roman"/>
                <w:b w:val="0"/>
                <w:bCs w:val="0"/>
                <w:color w:val="000000"/>
                <w:spacing w:val="0"/>
                <w:kern w:val="0"/>
                <w:sz w:val="24"/>
                <w:szCs w:val="24"/>
                <w:highlight w:val="none"/>
                <w:lang w:val="en-US" w:eastAsia="zh-CN" w:bidi="ar"/>
              </w:rPr>
            </w:pPr>
            <w:r>
              <w:rPr>
                <w:rFonts w:hint="eastAsia" w:ascii="宋体" w:hAnsi="宋体" w:eastAsia="宋体" w:cs="宋体"/>
                <w:i w:val="0"/>
                <w:iCs w:val="0"/>
                <w:caps w:val="0"/>
                <w:color w:val="000000"/>
                <w:spacing w:val="0"/>
                <w:sz w:val="24"/>
                <w:szCs w:val="24"/>
                <w:shd w:val="clear" w:fill="FFFFFF"/>
                <w:lang w:eastAsia="zh-CN"/>
              </w:rPr>
              <w:t>（</w:t>
            </w:r>
            <w:r>
              <w:rPr>
                <w:rFonts w:hint="eastAsia" w:ascii="宋体" w:hAnsi="宋体" w:eastAsia="宋体" w:cs="宋体"/>
                <w:i w:val="0"/>
                <w:iCs w:val="0"/>
                <w:caps w:val="0"/>
                <w:color w:val="000000"/>
                <w:spacing w:val="0"/>
                <w:sz w:val="24"/>
                <w:szCs w:val="24"/>
                <w:shd w:val="clear" w:fill="FFFFFF"/>
                <w:lang w:val="en-US" w:eastAsia="zh-CN"/>
              </w:rPr>
              <w:t>6</w:t>
            </w:r>
            <w:r>
              <w:rPr>
                <w:rFonts w:hint="eastAsia" w:ascii="宋体" w:hAnsi="宋体" w:eastAsia="宋体" w:cs="宋体"/>
                <w:i w:val="0"/>
                <w:iCs w:val="0"/>
                <w:caps w:val="0"/>
                <w:color w:val="000000"/>
                <w:spacing w:val="0"/>
                <w:sz w:val="24"/>
                <w:szCs w:val="24"/>
                <w:shd w:val="clear" w:fill="FFFFFF"/>
                <w:lang w:eastAsia="zh-CN"/>
              </w:rPr>
              <w:t>）</w:t>
            </w:r>
            <w:r>
              <w:rPr>
                <w:rFonts w:hint="default" w:ascii="Times New Roman" w:hAnsi="Times New Roman" w:eastAsia="宋体" w:cs="Times New Roman"/>
                <w:color w:val="000000"/>
                <w:spacing w:val="0"/>
                <w:kern w:val="0"/>
                <w:sz w:val="24"/>
                <w:szCs w:val="24"/>
                <w:highlight w:val="none"/>
                <w:lang w:val="en-US" w:eastAsia="zh-CN" w:bidi="ar"/>
              </w:rPr>
              <w:t>云南珠江源省级自然保护区</w:t>
            </w:r>
            <w:r>
              <w:rPr>
                <w:rFonts w:hint="eastAsia" w:ascii="Times New Roman" w:hAnsi="Times New Roman" w:eastAsia="宋体" w:cs="Times New Roman"/>
                <w:color w:val="000000"/>
                <w:spacing w:val="0"/>
                <w:kern w:val="0"/>
                <w:sz w:val="24"/>
                <w:szCs w:val="24"/>
                <w:highlight w:val="none"/>
                <w:lang w:val="en-US" w:eastAsia="zh-CN" w:bidi="ar"/>
              </w:rPr>
              <w:t>及生态保护红线保护措施：在保护区</w:t>
            </w:r>
            <w:r>
              <w:rPr>
                <w:rFonts w:hint="default" w:ascii="Times New Roman" w:hAnsi="Times New Roman" w:eastAsia="宋体" w:cs="Times New Roman"/>
                <w:color w:val="000000"/>
                <w:spacing w:val="0"/>
                <w:kern w:val="0"/>
                <w:sz w:val="24"/>
                <w:szCs w:val="24"/>
                <w:highlight w:val="none"/>
                <w:lang w:val="en-US" w:eastAsia="zh-CN" w:bidi="ar"/>
              </w:rPr>
              <w:t>范围内的施工区域严格控制施工范围，</w:t>
            </w:r>
            <w:r>
              <w:rPr>
                <w:rFonts w:hint="eastAsia" w:ascii="Times New Roman" w:hAnsi="Times New Roman" w:eastAsia="宋体" w:cs="Times New Roman"/>
                <w:color w:val="000000"/>
                <w:spacing w:val="0"/>
                <w:kern w:val="0"/>
                <w:sz w:val="24"/>
                <w:szCs w:val="24"/>
                <w:highlight w:val="none"/>
                <w:lang w:val="en-US" w:eastAsia="zh-CN" w:bidi="ar"/>
              </w:rPr>
              <w:t>不得超范围施工作</w:t>
            </w:r>
            <w:r>
              <w:rPr>
                <w:rFonts w:hint="eastAsia" w:ascii="Times New Roman" w:hAnsi="Times New Roman" w:eastAsia="宋体" w:cs="Times New Roman"/>
                <w:b w:val="0"/>
                <w:bCs w:val="0"/>
                <w:color w:val="000000"/>
                <w:spacing w:val="0"/>
                <w:kern w:val="0"/>
                <w:sz w:val="24"/>
                <w:szCs w:val="24"/>
                <w:highlight w:val="none"/>
                <w:lang w:val="en-US" w:eastAsia="zh-CN" w:bidi="ar"/>
              </w:rPr>
              <w:t>业，</w:t>
            </w:r>
            <w:r>
              <w:rPr>
                <w:rFonts w:hint="default" w:ascii="Times New Roman" w:hAnsi="Times New Roman" w:eastAsia="宋体" w:cs="Times New Roman"/>
                <w:b w:val="0"/>
                <w:bCs w:val="0"/>
                <w:color w:val="000000"/>
                <w:spacing w:val="0"/>
                <w:kern w:val="0"/>
                <w:sz w:val="24"/>
                <w:szCs w:val="24"/>
                <w:highlight w:val="none"/>
                <w:lang w:val="en-US" w:eastAsia="zh-CN" w:bidi="ar"/>
              </w:rPr>
              <w:t>利用现有道路，减少临时施工道路占地</w:t>
            </w:r>
            <w:r>
              <w:rPr>
                <w:rFonts w:hint="eastAsia" w:ascii="Times New Roman" w:hAnsi="Times New Roman" w:eastAsia="宋体" w:cs="Times New Roman"/>
                <w:b w:val="0"/>
                <w:bCs w:val="0"/>
                <w:color w:val="000000"/>
                <w:spacing w:val="0"/>
                <w:kern w:val="0"/>
                <w:sz w:val="24"/>
                <w:szCs w:val="24"/>
                <w:highlight w:val="none"/>
                <w:lang w:val="en-US" w:eastAsia="zh-CN" w:bidi="ar"/>
              </w:rPr>
              <w:t>，</w:t>
            </w:r>
            <w:r>
              <w:rPr>
                <w:rFonts w:hint="default" w:ascii="Times New Roman" w:hAnsi="Times New Roman" w:eastAsia="宋体" w:cs="Times New Roman"/>
                <w:b w:val="0"/>
                <w:bCs w:val="0"/>
                <w:color w:val="000000"/>
                <w:spacing w:val="0"/>
                <w:kern w:val="0"/>
                <w:sz w:val="24"/>
                <w:szCs w:val="24"/>
                <w:highlight w:val="none"/>
                <w:lang w:val="en-US" w:eastAsia="zh-CN" w:bidi="ar"/>
              </w:rPr>
              <w:t>采用</w:t>
            </w:r>
            <w:r>
              <w:rPr>
                <w:rFonts w:hint="eastAsia" w:ascii="Times New Roman" w:hAnsi="Times New Roman" w:eastAsia="宋体" w:cs="Times New Roman"/>
                <w:b w:val="0"/>
                <w:bCs w:val="0"/>
                <w:color w:val="000000"/>
                <w:spacing w:val="0"/>
                <w:kern w:val="0"/>
                <w:sz w:val="24"/>
                <w:szCs w:val="24"/>
                <w:highlight w:val="none"/>
                <w:lang w:val="en-US" w:eastAsia="zh-CN" w:bidi="ar"/>
              </w:rPr>
              <w:t>区域</w:t>
            </w:r>
            <w:r>
              <w:rPr>
                <w:rFonts w:hint="default" w:ascii="Times New Roman" w:hAnsi="Times New Roman" w:eastAsia="宋体" w:cs="Times New Roman"/>
                <w:b w:val="0"/>
                <w:bCs w:val="0"/>
                <w:color w:val="000000"/>
                <w:spacing w:val="0"/>
                <w:kern w:val="0"/>
                <w:sz w:val="24"/>
                <w:szCs w:val="24"/>
                <w:highlight w:val="none"/>
                <w:lang w:val="en-US" w:eastAsia="zh-CN" w:bidi="ar"/>
              </w:rPr>
              <w:t>内常见树种</w:t>
            </w:r>
            <w:r>
              <w:rPr>
                <w:rFonts w:hint="eastAsia" w:ascii="Times New Roman" w:hAnsi="Times New Roman" w:eastAsia="宋体" w:cs="Times New Roman"/>
                <w:b w:val="0"/>
                <w:bCs w:val="0"/>
                <w:color w:val="000000"/>
                <w:spacing w:val="0"/>
                <w:kern w:val="0"/>
                <w:sz w:val="24"/>
                <w:szCs w:val="24"/>
                <w:highlight w:val="none"/>
                <w:lang w:val="en-US" w:eastAsia="zh-CN" w:bidi="ar"/>
              </w:rPr>
              <w:t>优先对其进行植被恢复</w:t>
            </w:r>
            <w:r>
              <w:rPr>
                <w:rFonts w:hint="default" w:ascii="Times New Roman" w:hAnsi="Times New Roman" w:eastAsia="宋体" w:cs="Times New Roman"/>
                <w:b w:val="0"/>
                <w:bCs w:val="0"/>
                <w:color w:val="000000"/>
                <w:spacing w:val="0"/>
                <w:kern w:val="0"/>
                <w:sz w:val="24"/>
                <w:szCs w:val="24"/>
                <w:highlight w:val="none"/>
                <w:lang w:val="en-US" w:eastAsia="zh-CN" w:bidi="ar"/>
              </w:rPr>
              <w:t>。</w:t>
            </w:r>
          </w:p>
          <w:p w14:paraId="5ACEDFE5">
            <w:pPr>
              <w:widowControl/>
              <w:numPr>
                <w:ilvl w:val="0"/>
                <w:numId w:val="0"/>
              </w:numPr>
              <w:spacing w:line="360" w:lineRule="auto"/>
              <w:ind w:left="120" w:leftChars="0" w:firstLine="480" w:firstLineChars="200"/>
              <w:jc w:val="left"/>
              <w:rPr>
                <w:rFonts w:hint="eastAsia" w:ascii="宋体" w:hAnsi="宋体" w:eastAsia="宋体" w:cs="宋体"/>
                <w:i w:val="0"/>
                <w:iCs w:val="0"/>
                <w:caps w:val="0"/>
                <w:color w:val="000000"/>
                <w:spacing w:val="0"/>
                <w:sz w:val="24"/>
                <w:szCs w:val="24"/>
                <w:shd w:val="clear" w:fill="FFFFFF"/>
              </w:rPr>
            </w:pPr>
            <w:r>
              <w:rPr>
                <w:rFonts w:hint="eastAsia" w:ascii="Times New Roman" w:hAnsi="Times New Roman" w:eastAsia="宋体" w:cs="Times New Roman"/>
                <w:b w:val="0"/>
                <w:bCs w:val="0"/>
                <w:color w:val="000000"/>
                <w:spacing w:val="0"/>
                <w:kern w:val="0"/>
                <w:sz w:val="24"/>
                <w:szCs w:val="24"/>
                <w:highlight w:val="none"/>
                <w:lang w:val="en-US" w:eastAsia="zh-CN" w:bidi="ar"/>
              </w:rPr>
              <w:t>（7）饮用水水源保护区准保护区保护措施：</w:t>
            </w:r>
            <w:r>
              <w:rPr>
                <w:rFonts w:hint="eastAsia" w:ascii="Times New Roman" w:hAnsi="Times New Roman" w:eastAsia="宋体" w:cs="宋体"/>
                <w:color w:val="000000"/>
                <w:spacing w:val="0"/>
                <w:kern w:val="0"/>
                <w:sz w:val="24"/>
                <w:szCs w:val="24"/>
                <w:highlight w:val="none"/>
                <w:lang w:val="en-US" w:eastAsia="zh-CN" w:bidi="ar"/>
              </w:rPr>
              <w:t>合理安排施工时间，土石方开挖应避开雨季，分片开挖，施工废水经沉砂池沉淀后回用，不外排。</w:t>
            </w:r>
          </w:p>
          <w:p w14:paraId="482AA85A">
            <w:pPr>
              <w:pStyle w:val="5"/>
              <w:spacing w:line="360" w:lineRule="auto"/>
              <w:rPr>
                <w:rFonts w:hint="eastAsia" w:ascii="宋体" w:hAnsi="宋体" w:eastAsia="宋体" w:cs="宋体"/>
                <w:b/>
                <w:bCs/>
                <w:i w:val="0"/>
                <w:iCs w:val="0"/>
                <w:caps w:val="0"/>
                <w:color w:val="000000"/>
                <w:spacing w:val="0"/>
                <w:sz w:val="24"/>
                <w:szCs w:val="24"/>
                <w:shd w:val="clear" w:fill="FFFFFF"/>
              </w:rPr>
            </w:pPr>
            <w:r>
              <w:rPr>
                <w:rFonts w:hint="eastAsia" w:ascii="宋体" w:hAnsi="宋体" w:eastAsia="宋体" w:cs="宋体"/>
                <w:b/>
                <w:bCs/>
                <w:i w:val="0"/>
                <w:iCs w:val="0"/>
                <w:caps w:val="0"/>
                <w:color w:val="000000"/>
                <w:spacing w:val="0"/>
                <w:sz w:val="24"/>
                <w:szCs w:val="24"/>
                <w:shd w:val="clear" w:fill="FFFFFF"/>
                <w:lang w:val="en-US" w:eastAsia="zh-CN"/>
              </w:rPr>
              <w:t>二、</w:t>
            </w:r>
            <w:r>
              <w:rPr>
                <w:rFonts w:hint="eastAsia" w:ascii="宋体" w:hAnsi="宋体" w:eastAsia="宋体" w:cs="宋体"/>
                <w:b/>
                <w:bCs/>
                <w:i w:val="0"/>
                <w:iCs w:val="0"/>
                <w:caps w:val="0"/>
                <w:color w:val="000000"/>
                <w:spacing w:val="0"/>
                <w:sz w:val="24"/>
                <w:szCs w:val="24"/>
                <w:shd w:val="clear" w:fill="FFFFFF"/>
              </w:rPr>
              <w:t>运营期主要环保措施：</w:t>
            </w:r>
          </w:p>
          <w:p w14:paraId="35B1105A">
            <w:pPr>
              <w:pStyle w:val="5"/>
              <w:spacing w:line="360" w:lineRule="auto"/>
              <w:ind w:firstLine="480" w:firstLineChars="200"/>
              <w:rPr>
                <w:rFonts w:hint="eastAsia" w:ascii="宋体" w:hAnsi="宋体" w:eastAsia="宋体" w:cs="宋体"/>
                <w:i w:val="0"/>
                <w:iCs w:val="0"/>
                <w:caps w:val="0"/>
                <w:color w:val="000000"/>
                <w:spacing w:val="0"/>
                <w:sz w:val="24"/>
                <w:szCs w:val="24"/>
                <w:shd w:val="clear" w:fill="FFFFFF"/>
              </w:rPr>
            </w:pPr>
            <w:r>
              <w:rPr>
                <w:rFonts w:hint="eastAsia" w:ascii="宋体" w:hAnsi="宋体" w:eastAsia="宋体" w:cs="宋体"/>
                <w:i w:val="0"/>
                <w:iCs w:val="0"/>
                <w:caps w:val="0"/>
                <w:color w:val="000000"/>
                <w:spacing w:val="0"/>
                <w:sz w:val="24"/>
                <w:szCs w:val="24"/>
                <w:shd w:val="clear" w:fill="FFFFFF"/>
              </w:rPr>
              <w:t>（1）电磁环境：加强环境管理，开展电磁环境监测，确保线路沿线电磁保护目标处工频电场强度、工频磁感应强度满足《电磁环境控制限值》（GB8702-2014）中4kV/m及100μT的公众曝露控制限值要求。</w:t>
            </w:r>
          </w:p>
          <w:p w14:paraId="30806A41">
            <w:pPr>
              <w:pStyle w:val="5"/>
              <w:spacing w:line="360" w:lineRule="auto"/>
              <w:ind w:firstLine="480" w:firstLineChars="200"/>
              <w:rPr>
                <w:rFonts w:hint="default" w:ascii="Times New Roman" w:hAnsi="Times New Roman" w:eastAsia="宋体" w:cs="Times New Roman"/>
                <w:color w:val="000000"/>
                <w:spacing w:val="0"/>
                <w:sz w:val="24"/>
                <w:szCs w:val="24"/>
                <w:highlight w:val="none"/>
              </w:rPr>
            </w:pPr>
            <w:r>
              <w:rPr>
                <w:rFonts w:hint="eastAsia" w:ascii="宋体" w:hAnsi="宋体" w:eastAsia="宋体" w:cs="宋体"/>
                <w:i w:val="0"/>
                <w:iCs w:val="0"/>
                <w:caps w:val="0"/>
                <w:color w:val="000000"/>
                <w:spacing w:val="0"/>
                <w:sz w:val="24"/>
                <w:szCs w:val="24"/>
                <w:shd w:val="clear" w:fill="FFFFFF"/>
              </w:rPr>
              <w:t>（</w:t>
            </w:r>
            <w:r>
              <w:rPr>
                <w:rFonts w:hint="eastAsia" w:ascii="宋体" w:hAnsi="宋体" w:eastAsia="宋体" w:cs="宋体"/>
                <w:i w:val="0"/>
                <w:iCs w:val="0"/>
                <w:caps w:val="0"/>
                <w:color w:val="000000"/>
                <w:spacing w:val="0"/>
                <w:sz w:val="24"/>
                <w:szCs w:val="24"/>
                <w:shd w:val="clear" w:fill="FFFFFF"/>
                <w:lang w:val="en-US" w:eastAsia="zh-CN"/>
              </w:rPr>
              <w:t>2</w:t>
            </w:r>
            <w:r>
              <w:rPr>
                <w:rFonts w:hint="eastAsia" w:ascii="宋体" w:hAnsi="宋体" w:eastAsia="宋体" w:cs="宋体"/>
                <w:i w:val="0"/>
                <w:iCs w:val="0"/>
                <w:caps w:val="0"/>
                <w:color w:val="000000"/>
                <w:spacing w:val="0"/>
                <w:sz w:val="24"/>
                <w:szCs w:val="24"/>
                <w:shd w:val="clear" w:fill="FFFFFF"/>
              </w:rPr>
              <w:t>）声环境：</w:t>
            </w:r>
            <w:r>
              <w:rPr>
                <w:rFonts w:hint="default" w:ascii="Times New Roman" w:hAnsi="Times New Roman" w:eastAsia="宋体" w:cs="Times New Roman"/>
                <w:color w:val="000000"/>
                <w:spacing w:val="0"/>
                <w:sz w:val="24"/>
                <w:szCs w:val="24"/>
                <w:highlight w:val="none"/>
              </w:rPr>
              <w:t>运行期</w:t>
            </w:r>
            <w:r>
              <w:rPr>
                <w:rFonts w:hint="eastAsia" w:ascii="Times New Roman" w:hAnsi="Times New Roman" w:eastAsia="宋体" w:cs="Times New Roman"/>
                <w:color w:val="000000"/>
                <w:spacing w:val="0"/>
                <w:sz w:val="24"/>
                <w:szCs w:val="24"/>
                <w:highlight w:val="none"/>
                <w:lang w:val="en-US" w:eastAsia="zh-CN"/>
              </w:rPr>
              <w:t>非工业园区</w:t>
            </w:r>
            <w:r>
              <w:rPr>
                <w:rFonts w:hint="default" w:ascii="Times New Roman" w:hAnsi="Times New Roman" w:eastAsia="宋体" w:cs="Times New Roman"/>
                <w:color w:val="000000"/>
                <w:spacing w:val="0"/>
                <w:sz w:val="24"/>
                <w:szCs w:val="24"/>
                <w:highlight w:val="none"/>
              </w:rPr>
              <w:t>沿线</w:t>
            </w:r>
            <w:r>
              <w:rPr>
                <w:rFonts w:hint="eastAsia" w:ascii="Times New Roman" w:hAnsi="Times New Roman" w:eastAsia="宋体" w:cs="Times New Roman"/>
                <w:color w:val="000000"/>
                <w:spacing w:val="0"/>
                <w:sz w:val="24"/>
                <w:szCs w:val="24"/>
                <w:highlight w:val="none"/>
                <w:lang w:val="en-US" w:eastAsia="zh-CN"/>
              </w:rPr>
              <w:t>及声环境保护目标处</w:t>
            </w:r>
            <w:r>
              <w:rPr>
                <w:rFonts w:hint="default" w:ascii="Times New Roman" w:hAnsi="Times New Roman" w:eastAsia="宋体" w:cs="Times New Roman"/>
                <w:color w:val="000000"/>
                <w:spacing w:val="0"/>
                <w:sz w:val="24"/>
                <w:szCs w:val="24"/>
                <w:highlight w:val="none"/>
              </w:rPr>
              <w:t>噪声应满足《声环境质量标准》（GB3096-2008）1类标准</w:t>
            </w:r>
            <w:r>
              <w:rPr>
                <w:rFonts w:hint="eastAsia" w:ascii="Times New Roman" w:hAnsi="Times New Roman" w:eastAsia="宋体" w:cs="Times New Roman"/>
                <w:color w:val="000000"/>
                <w:spacing w:val="0"/>
                <w:sz w:val="24"/>
                <w:szCs w:val="24"/>
                <w:highlight w:val="none"/>
                <w:lang w:eastAsia="zh-CN"/>
              </w:rPr>
              <w:t>，</w:t>
            </w:r>
            <w:r>
              <w:rPr>
                <w:rFonts w:hint="default" w:ascii="Times New Roman" w:hAnsi="Times New Roman" w:eastAsia="宋体" w:cs="Times New Roman"/>
                <w:color w:val="000000"/>
                <w:spacing w:val="0"/>
                <w:sz w:val="24"/>
                <w:szCs w:val="24"/>
                <w:highlight w:val="none"/>
              </w:rPr>
              <w:t>220kV</w:t>
            </w:r>
            <w:r>
              <w:rPr>
                <w:rFonts w:hint="default" w:ascii="Times New Roman" w:hAnsi="Times New Roman" w:eastAsia="宋体" w:cs="Times New Roman"/>
                <w:color w:val="000000"/>
                <w:spacing w:val="0"/>
                <w:sz w:val="24"/>
                <w:szCs w:val="24"/>
                <w:highlight w:val="none"/>
                <w:lang w:val="en-US" w:eastAsia="zh-CN"/>
              </w:rPr>
              <w:t>益湖</w:t>
            </w:r>
            <w:r>
              <w:rPr>
                <w:rFonts w:hint="default" w:ascii="Times New Roman" w:hAnsi="Times New Roman" w:eastAsia="宋体" w:cs="Times New Roman"/>
                <w:color w:val="000000"/>
                <w:spacing w:val="0"/>
                <w:sz w:val="24"/>
                <w:szCs w:val="24"/>
                <w:highlight w:val="none"/>
              </w:rPr>
              <w:t>变电站</w:t>
            </w:r>
            <w:r>
              <w:rPr>
                <w:rFonts w:hint="default" w:ascii="Times New Roman" w:hAnsi="Times New Roman" w:eastAsia="宋体" w:cs="Times New Roman"/>
                <w:color w:val="000000"/>
                <w:spacing w:val="0"/>
                <w:sz w:val="24"/>
                <w:szCs w:val="24"/>
                <w:highlight w:val="none"/>
                <w:lang w:val="en-US" w:eastAsia="zh-CN"/>
              </w:rPr>
              <w:t>厂界</w:t>
            </w:r>
            <w:r>
              <w:rPr>
                <w:rFonts w:hint="eastAsia" w:ascii="Times New Roman" w:hAnsi="Times New Roman" w:eastAsia="宋体" w:cs="Times New Roman"/>
                <w:color w:val="000000"/>
                <w:spacing w:val="0"/>
                <w:sz w:val="24"/>
                <w:szCs w:val="24"/>
                <w:highlight w:val="none"/>
                <w:lang w:val="en-US" w:eastAsia="zh-CN"/>
              </w:rPr>
              <w:t>应当满足</w:t>
            </w:r>
            <w:r>
              <w:rPr>
                <w:rFonts w:hint="default" w:ascii="Times New Roman" w:hAnsi="Times New Roman" w:eastAsia="宋体" w:cs="Times New Roman"/>
                <w:color w:val="000000"/>
                <w:spacing w:val="0"/>
                <w:sz w:val="24"/>
                <w:szCs w:val="24"/>
                <w:highlight w:val="none"/>
              </w:rPr>
              <w:t>《工业企业厂界环境噪声排放标准》（GB12348-2008）</w:t>
            </w:r>
            <w:r>
              <w:rPr>
                <w:rFonts w:hint="eastAsia" w:ascii="Times New Roman" w:hAnsi="Times New Roman" w:eastAsia="宋体" w:cs="Times New Roman"/>
                <w:color w:val="000000"/>
                <w:spacing w:val="0"/>
                <w:sz w:val="24"/>
                <w:szCs w:val="24"/>
                <w:highlight w:val="none"/>
                <w:lang w:val="en-US" w:eastAsia="zh-CN"/>
              </w:rPr>
              <w:t>3</w:t>
            </w:r>
            <w:r>
              <w:rPr>
                <w:rFonts w:hint="default" w:ascii="Times New Roman" w:hAnsi="Times New Roman" w:eastAsia="宋体" w:cs="Times New Roman"/>
                <w:color w:val="000000"/>
                <w:spacing w:val="0"/>
                <w:sz w:val="24"/>
                <w:szCs w:val="24"/>
                <w:highlight w:val="none"/>
              </w:rPr>
              <w:t>类标准。</w:t>
            </w:r>
          </w:p>
          <w:p w14:paraId="092FF4DA">
            <w:pPr>
              <w:pStyle w:val="5"/>
              <w:spacing w:line="360" w:lineRule="auto"/>
              <w:ind w:firstLine="480" w:firstLineChars="200"/>
            </w:pPr>
            <w:r>
              <w:rPr>
                <w:rFonts w:hint="eastAsia" w:ascii="宋体" w:hAnsi="宋体" w:eastAsia="宋体" w:cs="宋体"/>
                <w:i w:val="0"/>
                <w:iCs w:val="0"/>
                <w:caps w:val="0"/>
                <w:color w:val="000000"/>
                <w:spacing w:val="0"/>
                <w:sz w:val="24"/>
                <w:szCs w:val="24"/>
                <w:shd w:val="clear" w:fill="FFFFFF"/>
              </w:rPr>
              <w:t>（</w:t>
            </w:r>
            <w:r>
              <w:rPr>
                <w:rFonts w:hint="eastAsia" w:ascii="宋体" w:hAnsi="宋体" w:eastAsia="宋体" w:cs="宋体"/>
                <w:i w:val="0"/>
                <w:iCs w:val="0"/>
                <w:caps w:val="0"/>
                <w:color w:val="000000"/>
                <w:spacing w:val="0"/>
                <w:sz w:val="24"/>
                <w:szCs w:val="24"/>
                <w:shd w:val="clear" w:fill="FFFFFF"/>
                <w:lang w:val="en-US" w:eastAsia="zh-CN"/>
              </w:rPr>
              <w:t>3</w:t>
            </w:r>
            <w:r>
              <w:rPr>
                <w:rFonts w:hint="eastAsia" w:ascii="宋体" w:hAnsi="宋体" w:eastAsia="宋体" w:cs="宋体"/>
                <w:i w:val="0"/>
                <w:iCs w:val="0"/>
                <w:caps w:val="0"/>
                <w:color w:val="000000"/>
                <w:spacing w:val="0"/>
                <w:sz w:val="24"/>
                <w:szCs w:val="24"/>
                <w:shd w:val="clear" w:fill="FFFFFF"/>
              </w:rPr>
              <w:t>）固体废物：更换的废旧绝缘子串、电气设备由建设单位物资部门回收处理，不得随意丢弃</w:t>
            </w:r>
            <w:r>
              <w:rPr>
                <w:rFonts w:hint="eastAsia" w:ascii="宋体" w:hAnsi="宋体" w:eastAsia="宋体" w:cs="宋体"/>
                <w:i w:val="0"/>
                <w:iCs w:val="0"/>
                <w:caps w:val="0"/>
                <w:color w:val="000000"/>
                <w:spacing w:val="0"/>
                <w:sz w:val="24"/>
                <w:szCs w:val="24"/>
                <w:shd w:val="clear" w:fill="FFFFFF"/>
                <w:lang w:eastAsia="zh-CN"/>
              </w:rPr>
              <w:t>，</w:t>
            </w:r>
            <w:r>
              <w:rPr>
                <w:rFonts w:hint="eastAsia" w:ascii="宋体" w:hAnsi="宋体" w:eastAsia="宋体" w:cs="宋体"/>
                <w:i w:val="0"/>
                <w:iCs w:val="0"/>
                <w:caps w:val="0"/>
                <w:color w:val="000000"/>
                <w:spacing w:val="0"/>
                <w:sz w:val="24"/>
                <w:szCs w:val="24"/>
                <w:shd w:val="clear" w:fill="FFFFFF"/>
                <w:lang w:val="en-US" w:eastAsia="zh-CN"/>
              </w:rPr>
              <w:t>危险废物委托资质单位清运处置</w:t>
            </w:r>
            <w:r>
              <w:rPr>
                <w:rFonts w:hint="eastAsia" w:ascii="宋体" w:hAnsi="宋体" w:eastAsia="宋体" w:cs="宋体"/>
                <w:i w:val="0"/>
                <w:iCs w:val="0"/>
                <w:caps w:val="0"/>
                <w:color w:val="000000"/>
                <w:spacing w:val="0"/>
                <w:sz w:val="24"/>
                <w:szCs w:val="24"/>
                <w:shd w:val="clear" w:fill="FFFFFF"/>
              </w:rPr>
              <w:t>。</w:t>
            </w:r>
            <w:r>
              <w:rPr>
                <w:rFonts w:hint="eastAsia" w:ascii="宋体" w:hAnsi="宋体" w:eastAsia="宋体" w:cs="宋体"/>
                <w:i w:val="0"/>
                <w:iCs w:val="0"/>
                <w:caps w:val="0"/>
                <w:color w:val="000000"/>
                <w:spacing w:val="0"/>
                <w:sz w:val="24"/>
                <w:szCs w:val="24"/>
                <w:shd w:val="clear" w:fill="FFFFFF"/>
                <w:lang w:val="en-US" w:eastAsia="zh-CN"/>
              </w:rPr>
              <w:t>废水：</w:t>
            </w:r>
            <w:r>
              <w:rPr>
                <w:rFonts w:hint="default" w:ascii="Times New Roman" w:hAnsi="Times New Roman" w:eastAsia="宋体" w:cs="Times New Roman"/>
                <w:caps w:val="0"/>
                <w:color w:val="000000"/>
                <w:spacing w:val="0"/>
                <w:sz w:val="24"/>
                <w:szCs w:val="24"/>
                <w:highlight w:val="none"/>
              </w:rPr>
              <w:t>项目运营期变电站内产生的生活污水，经化粪池、一体化污水处理设施</w:t>
            </w:r>
            <w:r>
              <w:rPr>
                <w:rFonts w:hint="default" w:ascii="Times New Roman" w:hAnsi="Times New Roman" w:eastAsia="宋体" w:cs="Times New Roman"/>
                <w:b w:val="0"/>
                <w:bCs w:val="0"/>
                <w:caps w:val="0"/>
                <w:color w:val="000000"/>
                <w:sz w:val="24"/>
                <w:szCs w:val="24"/>
                <w:highlight w:val="none"/>
              </w:rPr>
              <w:t>处理</w:t>
            </w:r>
            <w:r>
              <w:rPr>
                <w:rFonts w:hint="default" w:ascii="Times New Roman" w:hAnsi="Times New Roman" w:eastAsia="宋体" w:cs="Times New Roman"/>
                <w:color w:val="000000"/>
                <w:spacing w:val="0"/>
                <w:w w:val="100"/>
                <w:sz w:val="24"/>
                <w:szCs w:val="24"/>
                <w:highlight w:val="none"/>
                <w:lang w:val="zh-CN" w:eastAsia="zh-CN"/>
              </w:rPr>
              <w:t>达到《污水综合排放标准》（GB8978-</w:t>
            </w:r>
            <w:r>
              <w:rPr>
                <w:rFonts w:hint="default" w:ascii="Times New Roman" w:hAnsi="Times New Roman" w:eastAsia="宋体" w:cs="Times New Roman"/>
                <w:color w:val="000000"/>
                <w:spacing w:val="0"/>
                <w:w w:val="100"/>
                <w:sz w:val="24"/>
                <w:szCs w:val="24"/>
                <w:highlight w:val="none"/>
                <w:lang w:val="en-US" w:eastAsia="zh-CN"/>
              </w:rPr>
              <w:t>1996</w:t>
            </w:r>
            <w:r>
              <w:rPr>
                <w:rFonts w:hint="default" w:ascii="Times New Roman" w:hAnsi="Times New Roman" w:eastAsia="宋体" w:cs="Times New Roman"/>
                <w:color w:val="000000"/>
                <w:spacing w:val="0"/>
                <w:w w:val="100"/>
                <w:sz w:val="24"/>
                <w:szCs w:val="24"/>
                <w:highlight w:val="none"/>
                <w:lang w:val="zh-CN" w:eastAsia="zh-CN"/>
              </w:rPr>
              <w:t>）一级标准，不外排，回用于</w:t>
            </w:r>
            <w:r>
              <w:rPr>
                <w:rFonts w:hint="default" w:ascii="Times New Roman" w:hAnsi="Times New Roman" w:eastAsia="宋体" w:cs="Times New Roman"/>
                <w:color w:val="000000"/>
                <w:spacing w:val="0"/>
                <w:w w:val="100"/>
                <w:sz w:val="24"/>
                <w:szCs w:val="24"/>
                <w:highlight w:val="none"/>
                <w:lang w:val="en-US" w:eastAsia="zh-CN"/>
              </w:rPr>
              <w:t>变电站</w:t>
            </w:r>
            <w:r>
              <w:rPr>
                <w:rFonts w:hint="default" w:ascii="Times New Roman" w:hAnsi="Times New Roman" w:eastAsia="宋体" w:cs="Times New Roman"/>
                <w:color w:val="000000"/>
                <w:spacing w:val="0"/>
                <w:w w:val="100"/>
                <w:sz w:val="24"/>
                <w:szCs w:val="24"/>
                <w:highlight w:val="none"/>
                <w:lang w:val="zh-CN" w:eastAsia="zh-CN"/>
              </w:rPr>
              <w:t>绿化时水质满足《城市污水再生利用 城市杂用水水质》（GB/T18920-2020）中的城市绿化标准</w:t>
            </w:r>
            <w:r>
              <w:rPr>
                <w:rFonts w:hint="default" w:ascii="Times New Roman" w:hAnsi="Times New Roman" w:eastAsia="宋体" w:cs="Times New Roman"/>
                <w:color w:val="000000"/>
                <w:spacing w:val="0"/>
                <w:w w:val="100"/>
                <w:sz w:val="24"/>
                <w:szCs w:val="24"/>
                <w:highlight w:val="none"/>
                <w:lang w:val="zh-CN"/>
              </w:rPr>
              <w:t>。</w:t>
            </w:r>
          </w:p>
        </w:tc>
      </w:tr>
      <w:tr w14:paraId="07E5F258">
        <w:tblPrEx>
          <w:tblCellMar>
            <w:top w:w="0" w:type="dxa"/>
            <w:left w:w="108" w:type="dxa"/>
            <w:bottom w:w="0" w:type="dxa"/>
            <w:right w:w="108" w:type="dxa"/>
          </w:tblCellMar>
        </w:tblPrEx>
        <w:trPr>
          <w:trHeight w:val="5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4D63190">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2177BFFC">
        <w:tblPrEx>
          <w:tblCellMar>
            <w:top w:w="0" w:type="dxa"/>
            <w:left w:w="108" w:type="dxa"/>
            <w:bottom w:w="0" w:type="dxa"/>
            <w:right w:w="108" w:type="dxa"/>
          </w:tblCellMar>
        </w:tblPrEx>
        <w:trPr>
          <w:trHeight w:val="724"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04130157">
            <w:pPr>
              <w:pStyle w:val="8"/>
              <w:ind w:firstLine="480" w:firstLineChars="200"/>
              <w:jc w:val="both"/>
              <w:rPr>
                <w:rFonts w:hint="eastAsia" w:eastAsia="宋体"/>
                <w:lang w:val="en-US" w:eastAsia="zh-CN"/>
              </w:rPr>
            </w:pPr>
            <w:r>
              <w:rPr>
                <w:rFonts w:hint="eastAsia" w:ascii="Times New Roman" w:hAnsi="Times New Roman" w:eastAsia="宋体" w:cs="Times New Roman"/>
                <w:snapToGrid/>
                <w:color w:val="000000"/>
                <w:spacing w:val="0"/>
                <w:w w:val="100"/>
                <w:kern w:val="0"/>
                <w:sz w:val="24"/>
                <w:szCs w:val="24"/>
                <w:highlight w:val="none"/>
                <w:lang w:val="en-US" w:eastAsia="zh-CN" w:bidi="ar-SA"/>
              </w:rPr>
              <w:t>无。</w:t>
            </w:r>
          </w:p>
        </w:tc>
      </w:tr>
      <w:tr w14:paraId="053EB682">
        <w:tblPrEx>
          <w:tblCellMar>
            <w:top w:w="0" w:type="dxa"/>
            <w:left w:w="108" w:type="dxa"/>
            <w:bottom w:w="0" w:type="dxa"/>
            <w:right w:w="108" w:type="dxa"/>
          </w:tblCellMar>
        </w:tblPrEx>
        <w:trPr>
          <w:trHeight w:val="880"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21F505DD">
            <w:pPr>
              <w:widowControl/>
              <w:spacing w:line="280" w:lineRule="exact"/>
              <w:jc w:val="both"/>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5C88499A">
            <w:pPr>
              <w:pStyle w:val="8"/>
              <w:ind w:firstLine="480" w:firstLineChars="200"/>
              <w:jc w:val="left"/>
            </w:pPr>
            <w:r>
              <w:rPr>
                <w:rFonts w:hint="eastAsia" w:ascii="Times New Roman" w:hAnsi="Times New Roman" w:eastAsia="宋体" w:cs="Times New Roman"/>
                <w:snapToGrid/>
                <w:color w:val="000000"/>
                <w:spacing w:val="0"/>
                <w:w w:val="100"/>
                <w:kern w:val="0"/>
                <w:sz w:val="24"/>
                <w:szCs w:val="24"/>
                <w:highlight w:val="none"/>
                <w:lang w:val="en-US" w:eastAsia="zh-CN" w:bidi="ar-SA"/>
              </w:rPr>
              <w:t>信息公开承诺书</w:t>
            </w:r>
            <w:r>
              <w:rPr>
                <w:rFonts w:hint="default" w:ascii="Times New Roman" w:hAnsi="Times New Roman" w:eastAsia="宋体" w:cs="Times New Roman"/>
                <w:snapToGrid/>
                <w:color w:val="000000"/>
                <w:spacing w:val="0"/>
                <w:w w:val="100"/>
                <w:kern w:val="0"/>
                <w:sz w:val="24"/>
                <w:szCs w:val="24"/>
                <w:highlight w:val="none"/>
                <w:lang w:val="en-US" w:eastAsia="zh-CN" w:bidi="ar-SA"/>
              </w:rPr>
              <w:t>。</w:t>
            </w:r>
          </w:p>
        </w:tc>
      </w:tr>
      <w:tr w14:paraId="41D84012">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616DCC10">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3F65FD4B">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1" w:fontKey="{E3A56894-DC8B-4544-A2EF-8039D894B451}"/>
  </w:font>
  <w:font w:name="WPSEMBED1">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769934"/>
    <w:multiLevelType w:val="singleLevel"/>
    <w:tmpl w:val="F5769934"/>
    <w:lvl w:ilvl="0" w:tentative="0">
      <w:start w:val="2"/>
      <w:numFmt w:val="chineseCounting"/>
      <w:suff w:val="nothing"/>
      <w:lvlText w:val="%1、"/>
      <w:lvlJc w:val="left"/>
      <w:rPr>
        <w:rFonts w:hint="eastAsia"/>
      </w:rPr>
    </w:lvl>
  </w:abstractNum>
  <w:abstractNum w:abstractNumId="1">
    <w:nsid w:val="5B327C69"/>
    <w:multiLevelType w:val="singleLevel"/>
    <w:tmpl w:val="5B327C6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7A53F59"/>
    <w:rsid w:val="081E3E37"/>
    <w:rsid w:val="0870623F"/>
    <w:rsid w:val="0BD775A9"/>
    <w:rsid w:val="0E7539A2"/>
    <w:rsid w:val="13B34670"/>
    <w:rsid w:val="175C524E"/>
    <w:rsid w:val="17FC2877"/>
    <w:rsid w:val="1A3C46BC"/>
    <w:rsid w:val="1B020E5E"/>
    <w:rsid w:val="1C8733A0"/>
    <w:rsid w:val="201D4921"/>
    <w:rsid w:val="20547DB6"/>
    <w:rsid w:val="21602F6F"/>
    <w:rsid w:val="21DD5A71"/>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C18A1"/>
    <w:rsid w:val="3EDD372A"/>
    <w:rsid w:val="4155672C"/>
    <w:rsid w:val="426C2071"/>
    <w:rsid w:val="428461A5"/>
    <w:rsid w:val="43BD5ED1"/>
    <w:rsid w:val="449625B7"/>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951367"/>
    <w:rsid w:val="5F257633"/>
    <w:rsid w:val="60EA0DC0"/>
    <w:rsid w:val="614E3CA3"/>
    <w:rsid w:val="64CE0A00"/>
    <w:rsid w:val="66336F03"/>
    <w:rsid w:val="66B00A67"/>
    <w:rsid w:val="68C11D93"/>
    <w:rsid w:val="6AB93F9D"/>
    <w:rsid w:val="6B5D7B2E"/>
    <w:rsid w:val="6C8A7DA4"/>
    <w:rsid w:val="714078D6"/>
    <w:rsid w:val="715F713D"/>
    <w:rsid w:val="747E39E9"/>
    <w:rsid w:val="74857523"/>
    <w:rsid w:val="77533B6A"/>
    <w:rsid w:val="78CD4DAD"/>
    <w:rsid w:val="79377A43"/>
    <w:rsid w:val="79CC62C5"/>
    <w:rsid w:val="79EF4D86"/>
    <w:rsid w:val="7A0F229F"/>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32"/>
      <w:sz w:val="32"/>
      <w:szCs w:val="32"/>
      <w:lang w:val="en-US" w:eastAsia="zh-CN" w:bidi="ar-SA"/>
    </w:rPr>
  </w:style>
  <w:style w:type="paragraph" w:styleId="2">
    <w:name w:val="heading 2"/>
    <w:basedOn w:val="1"/>
    <w:next w:val="1"/>
    <w:link w:val="26"/>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3">
    <w:name w:val="heading 3"/>
    <w:basedOn w:val="1"/>
    <w:next w:val="1"/>
    <w:link w:val="21"/>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4">
    <w:name w:val="heading 4"/>
    <w:basedOn w:val="1"/>
    <w:next w:val="1"/>
    <w:link w:val="24"/>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qFormat/>
    <w:uiPriority w:val="0"/>
    <w:pPr>
      <w:jc w:val="left"/>
    </w:pPr>
    <w:rPr>
      <w:kern w:val="0"/>
      <w:sz w:val="24"/>
      <w:szCs w:val="20"/>
    </w:rPr>
  </w:style>
  <w:style w:type="paragraph" w:styleId="6">
    <w:name w:val="Body Text"/>
    <w:basedOn w:val="1"/>
    <w:next w:val="7"/>
    <w:qFormat/>
    <w:uiPriority w:val="1"/>
    <w:rPr>
      <w:sz w:val="24"/>
      <w:szCs w:val="24"/>
    </w:rPr>
  </w:style>
  <w:style w:type="paragraph" w:customStyle="1" w:styleId="7">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8">
    <w:name w:val="Plain Text"/>
    <w:basedOn w:val="1"/>
    <w:qFormat/>
    <w:uiPriority w:val="0"/>
    <w:rPr>
      <w:rFonts w:ascii="宋体"/>
      <w:snapToGrid w:val="0"/>
      <w:kern w:val="0"/>
      <w:szCs w:val="20"/>
    </w:rPr>
  </w:style>
  <w:style w:type="paragraph" w:styleId="9">
    <w:name w:val="footer"/>
    <w:basedOn w:val="1"/>
    <w:link w:val="25"/>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rFonts w:eastAsia="宋体"/>
      <w:kern w:val="0"/>
      <w:sz w:val="24"/>
    </w:rPr>
  </w:style>
  <w:style w:type="paragraph" w:styleId="12">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Default"/>
    <w:basedOn w:val="18"/>
    <w:next w:val="6"/>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8">
    <w:name w:val="纯文本1"/>
    <w:basedOn w:val="1"/>
    <w:qFormat/>
    <w:uiPriority w:val="0"/>
    <w:pPr>
      <w:suppressAutoHyphens/>
    </w:pPr>
    <w:rPr>
      <w:rFonts w:ascii="宋体" w:hAnsi="宋体" w:eastAsia="宋体" w:cs="Times New Roman"/>
      <w:kern w:val="1"/>
      <w:sz w:val="28"/>
      <w:lang w:eastAsia="ar-SA"/>
    </w:rPr>
  </w:style>
  <w:style w:type="paragraph" w:customStyle="1" w:styleId="19">
    <w:name w:val="Normal Indent1"/>
    <w:basedOn w:val="1"/>
    <w:next w:val="1"/>
    <w:qFormat/>
    <w:uiPriority w:val="99"/>
    <w:pPr>
      <w:ind w:firstLine="420"/>
    </w:pPr>
  </w:style>
  <w:style w:type="paragraph" w:customStyle="1" w:styleId="20">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1">
    <w:name w:val="标题 3 字符"/>
    <w:link w:val="3"/>
    <w:qFormat/>
    <w:uiPriority w:val="0"/>
    <w:rPr>
      <w:rFonts w:eastAsia="楷体_GB2312"/>
      <w:b/>
      <w:bCs/>
      <w:color w:val="000000"/>
      <w:kern w:val="2"/>
      <w:sz w:val="28"/>
      <w:szCs w:val="28"/>
    </w:rPr>
  </w:style>
  <w:style w:type="character" w:customStyle="1" w:styleId="22">
    <w:name w:val="标题 3 Char"/>
    <w:semiHidden/>
    <w:qFormat/>
    <w:uiPriority w:val="0"/>
    <w:rPr>
      <w:rFonts w:ascii="Calibri" w:hAnsi="Calibri" w:eastAsia="方正仿宋_GBK"/>
      <w:b/>
      <w:bCs/>
      <w:kern w:val="32"/>
      <w:sz w:val="32"/>
      <w:szCs w:val="32"/>
    </w:rPr>
  </w:style>
  <w:style w:type="character" w:customStyle="1" w:styleId="23">
    <w:name w:val="页眉 字符"/>
    <w:link w:val="10"/>
    <w:qFormat/>
    <w:uiPriority w:val="0"/>
    <w:rPr>
      <w:rFonts w:ascii="Calibri" w:hAnsi="Calibri" w:eastAsia="方正仿宋_GBK"/>
      <w:kern w:val="32"/>
      <w:sz w:val="18"/>
      <w:szCs w:val="18"/>
    </w:rPr>
  </w:style>
  <w:style w:type="character" w:customStyle="1" w:styleId="24">
    <w:name w:val="标题 4 字符"/>
    <w:link w:val="4"/>
    <w:qFormat/>
    <w:uiPriority w:val="0"/>
    <w:rPr>
      <w:rFonts w:ascii="Arial" w:hAnsi="Arial" w:eastAsia="黑体"/>
      <w:b/>
      <w:bCs/>
      <w:kern w:val="2"/>
      <w:sz w:val="28"/>
      <w:szCs w:val="28"/>
    </w:rPr>
  </w:style>
  <w:style w:type="character" w:customStyle="1" w:styleId="25">
    <w:name w:val="页脚 字符"/>
    <w:link w:val="9"/>
    <w:qFormat/>
    <w:uiPriority w:val="0"/>
    <w:rPr>
      <w:rFonts w:ascii="Calibri" w:hAnsi="Calibri" w:eastAsia="方正仿宋_GBK"/>
      <w:kern w:val="32"/>
      <w:sz w:val="18"/>
      <w:szCs w:val="18"/>
    </w:rPr>
  </w:style>
  <w:style w:type="character" w:customStyle="1" w:styleId="26">
    <w:name w:val="标题 2 字符"/>
    <w:link w:val="2"/>
    <w:qFormat/>
    <w:uiPriority w:val="0"/>
    <w:rPr>
      <w:rFonts w:eastAsia="宋体"/>
      <w:b/>
      <w:sz w:val="24"/>
      <w:szCs w:val="24"/>
    </w:rPr>
  </w:style>
  <w:style w:type="character" w:customStyle="1" w:styleId="27">
    <w:name w:val="标题 4 Char"/>
    <w:semiHidden/>
    <w:qFormat/>
    <w:uiPriority w:val="0"/>
    <w:rPr>
      <w:rFonts w:ascii="Cambria" w:hAnsi="Cambria" w:eastAsia="宋体" w:cs="Times New Roman"/>
      <w:b/>
      <w:bCs/>
      <w:kern w:val="32"/>
      <w:sz w:val="28"/>
      <w:szCs w:val="28"/>
    </w:rPr>
  </w:style>
  <w:style w:type="character" w:customStyle="1" w:styleId="28">
    <w:name w:val="正文 旺源文字段落 Char"/>
    <w:link w:val="29"/>
    <w:qFormat/>
    <w:uiPriority w:val="0"/>
    <w:rPr>
      <w:rFonts w:ascii="宋体" w:hAnsi="宋体" w:cs="宋体"/>
      <w:kern w:val="24"/>
      <w:sz w:val="24"/>
      <w:szCs w:val="24"/>
    </w:rPr>
  </w:style>
  <w:style w:type="paragraph" w:customStyle="1" w:styleId="29">
    <w:name w:val="正文 旺源文字段落"/>
    <w:basedOn w:val="1"/>
    <w:link w:val="28"/>
    <w:qFormat/>
    <w:uiPriority w:val="0"/>
    <w:pPr>
      <w:spacing w:line="500" w:lineRule="exact"/>
      <w:ind w:firstLine="420"/>
    </w:pPr>
    <w:rPr>
      <w:rFonts w:ascii="宋体" w:hAnsi="宋体" w:eastAsia="宋体"/>
      <w:kern w:val="24"/>
      <w:sz w:val="24"/>
      <w:szCs w:val="24"/>
    </w:rPr>
  </w:style>
  <w:style w:type="paragraph" w:customStyle="1" w:styleId="30">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1">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paragraph" w:customStyle="1" w:styleId="33">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4">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5">
    <w:name w:val="【正文】"/>
    <w:basedOn w:val="1"/>
    <w:qFormat/>
    <w:uiPriority w:val="0"/>
    <w:rPr>
      <w:rFonts w:cs="宋体"/>
    </w:rPr>
  </w:style>
  <w:style w:type="paragraph" w:customStyle="1" w:styleId="36">
    <w:name w:val="报告书正文"/>
    <w:basedOn w:val="1"/>
    <w:qFormat/>
    <w:uiPriority w:val="0"/>
    <w:pPr>
      <w:adjustRightInd w:val="0"/>
      <w:spacing w:line="360" w:lineRule="auto"/>
      <w:ind w:firstLine="420" w:firstLineChars="200"/>
      <w:textAlignment w:val="baseline"/>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Pages>
  <Words>1541</Words>
  <Characters>1713</Characters>
  <Lines>97</Lines>
  <Paragraphs>85</Paragraphs>
  <TotalTime>0</TotalTime>
  <ScaleCrop>false</ScaleCrop>
  <LinksUpToDate>false</LinksUpToDate>
  <CharactersWithSpaces>1717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2026-11-02T07:46:33Z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318DE1607B9643DE9CD2BB04560E4ED7_13</vt:lpwstr>
  </property>
  <property fmtid="{D5CDD505-2E9C-101B-9397-08002B2CF9AE}" pid="4" name="KSOTemplateDocerSaveRecord">
    <vt:lpwstr>eyJoZGlkIjoiYTA0OTFiNTllN2E3YTc2MDc5ZTIwYTg0ZjFlZjFlMWQiLCJ1c2VySWQiOiIzNzMyMDUyODEifQ==</vt:lpwstr>
  </property>
</Properties>
</file>