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2E6E6376">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1D8569AF">
            <w:pPr>
              <w:widowControl/>
              <w:spacing w:line="280" w:lineRule="exact"/>
              <w:jc w:val="left"/>
              <w:rPr>
                <w:rFonts w:ascii="宋体"/>
                <w:kern w:val="0"/>
                <w:sz w:val="24"/>
                <w:szCs w:val="24"/>
              </w:rPr>
            </w:pPr>
            <w:bookmarkStart w:id="1" w:name="_GoBack"/>
            <w:bookmarkEnd w:id="1"/>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4937C58A">
            <w:pPr>
              <w:widowControl/>
              <w:spacing w:line="280" w:lineRule="exact"/>
              <w:jc w:val="left"/>
              <w:rPr>
                <w:rFonts w:hint="eastAsia" w:ascii="Times New Roman" w:hAnsi="Times New Roman"/>
                <w:sz w:val="24"/>
                <w:szCs w:val="24"/>
              </w:rPr>
            </w:pPr>
            <w:r>
              <w:rPr>
                <w:rFonts w:hint="eastAsia" w:ascii="Times New Roman" w:hAnsi="Times New Roman"/>
                <w:sz w:val="24"/>
                <w:szCs w:val="24"/>
                <w:lang w:eastAsia="zh-CN"/>
              </w:rPr>
              <w:t>曲靖市中医医院新增1台DSA核技术利用项目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57EA87A">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5B3ECEF6">
            <w:pPr>
              <w:widowControl/>
              <w:spacing w:line="280" w:lineRule="exact"/>
              <w:jc w:val="left"/>
              <w:rPr>
                <w:rFonts w:hint="eastAsia" w:ascii="Times New Roman" w:hAnsi="Times New Roman"/>
                <w:sz w:val="24"/>
                <w:szCs w:val="24"/>
              </w:rPr>
            </w:pPr>
            <w:r>
              <w:rPr>
                <w:rFonts w:hint="eastAsia" w:ascii="Times New Roman" w:hAnsi="Times New Roman"/>
                <w:sz w:val="24"/>
                <w:szCs w:val="24"/>
                <w:lang w:val="en-US" w:eastAsia="zh-CN"/>
              </w:rPr>
              <w:t>曲靖市中医医院</w:t>
            </w:r>
            <w:r>
              <w:rPr>
                <w:rFonts w:hint="eastAsia" w:ascii="Times New Roman" w:hAnsi="Times New Roman"/>
                <w:sz w:val="24"/>
                <w:szCs w:val="24"/>
                <w:lang w:eastAsia="zh-CN"/>
              </w:rPr>
              <w:t>医技楼1楼</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30375919">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7FAC3FEA">
            <w:pPr>
              <w:widowControl/>
              <w:spacing w:line="280" w:lineRule="exact"/>
              <w:jc w:val="center"/>
              <w:rPr>
                <w:rFonts w:hint="eastAsia" w:ascii="Times New Roman" w:hAnsi="Times New Roman"/>
                <w:sz w:val="24"/>
                <w:szCs w:val="24"/>
              </w:rPr>
            </w:pPr>
            <w:r>
              <w:rPr>
                <w:rFonts w:hint="eastAsia" w:ascii="Times New Roman" w:hAnsi="Times New Roman"/>
                <w:sz w:val="24"/>
                <w:szCs w:val="24"/>
                <w:lang w:eastAsia="zh-CN"/>
              </w:rPr>
              <w:t>曲靖市中医医院</w:t>
            </w:r>
          </w:p>
        </w:tc>
      </w:tr>
      <w:tr w14:paraId="0C28C87D">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285487F0">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001E7694">
            <w:pPr>
              <w:widowControl/>
              <w:spacing w:line="280" w:lineRule="exact"/>
              <w:jc w:val="center"/>
              <w:rPr>
                <w:rFonts w:ascii="宋体" w:hAnsi="宋体" w:eastAsia="宋体" w:cs="华文仿宋"/>
                <w:kern w:val="0"/>
                <w:sz w:val="24"/>
                <w:szCs w:val="24"/>
              </w:rPr>
            </w:pPr>
            <w:r>
              <w:rPr>
                <w:rFonts w:hint="eastAsia" w:ascii="Times New Roman" w:hAnsi="Times New Roman" w:cs="Times New Roman"/>
                <w:sz w:val="24"/>
                <w:szCs w:val="24"/>
                <w:lang w:val="en-US" w:eastAsia="zh-CN"/>
              </w:rPr>
              <w:t>报告表</w:t>
            </w:r>
          </w:p>
        </w:tc>
        <w:tc>
          <w:tcPr>
            <w:tcW w:w="1276" w:type="dxa"/>
            <w:tcBorders>
              <w:top w:val="nil"/>
              <w:left w:val="nil"/>
              <w:bottom w:val="single" w:color="auto" w:sz="4" w:space="0"/>
              <w:right w:val="single" w:color="auto" w:sz="4" w:space="0"/>
            </w:tcBorders>
            <w:shd w:val="clear" w:color="auto" w:fill="C0C0C0"/>
            <w:vAlign w:val="center"/>
          </w:tcPr>
          <w:p w14:paraId="63FD5744">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70CD292A">
            <w:pPr>
              <w:widowControl/>
              <w:spacing w:line="280" w:lineRule="exact"/>
              <w:jc w:val="center"/>
              <w:rPr>
                <w:rFonts w:ascii="宋体"/>
                <w:kern w:val="0"/>
                <w:sz w:val="24"/>
                <w:szCs w:val="24"/>
              </w:rPr>
            </w:pPr>
            <w:r>
              <w:rPr>
                <w:rFonts w:hint="default" w:ascii="宋体"/>
                <w:kern w:val="0"/>
                <w:sz w:val="24"/>
                <w:szCs w:val="24"/>
                <w:lang w:val="en-US" w:eastAsia="zh-CN"/>
              </w:rPr>
              <w:t>云南卓淮检测技术有限公司</w:t>
            </w:r>
          </w:p>
        </w:tc>
      </w:tr>
      <w:tr w14:paraId="45D43C84">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017439E">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6CBE06D0">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43A24B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lang w:val="en-US" w:eastAsia="zh-CN"/>
              </w:rPr>
              <w:t>曲靖市中医医院拟在现有院区内医技楼1楼建设一间DSA手术室，</w:t>
            </w:r>
            <w:r>
              <w:rPr>
                <w:rFonts w:hint="eastAsia" w:ascii="Times New Roman" w:hAnsi="Times New Roman" w:cs="Times New Roman"/>
                <w:sz w:val="24"/>
                <w:szCs w:val="24"/>
                <w:lang w:val="zh-CN" w:eastAsia="zh-CN"/>
              </w:rPr>
              <w:t>新</w:t>
            </w:r>
            <w:r>
              <w:rPr>
                <w:rFonts w:hint="eastAsia" w:ascii="Times New Roman" w:hAnsi="Times New Roman" w:cs="Times New Roman"/>
                <w:sz w:val="24"/>
                <w:szCs w:val="24"/>
                <w:lang w:val="en-US" w:eastAsia="zh-CN"/>
              </w:rPr>
              <w:t>购入1</w:t>
            </w:r>
            <w:r>
              <w:rPr>
                <w:rFonts w:hint="eastAsia" w:ascii="Times New Roman" w:hAnsi="Times New Roman" w:cs="Times New Roman"/>
                <w:sz w:val="24"/>
                <w:szCs w:val="24"/>
                <w:lang w:val="zh-CN" w:eastAsia="zh-CN"/>
              </w:rPr>
              <w:t>台DSA，</w:t>
            </w:r>
            <w:r>
              <w:rPr>
                <w:rFonts w:hint="eastAsia" w:ascii="Times New Roman" w:hAnsi="Times New Roman" w:cs="Times New Roman"/>
                <w:sz w:val="24"/>
                <w:szCs w:val="24"/>
                <w:lang w:val="en-US" w:eastAsia="zh-CN"/>
              </w:rPr>
              <w:t>型号未定</w:t>
            </w:r>
            <w:r>
              <w:rPr>
                <w:rFonts w:hint="eastAsia" w:ascii="Times New Roman" w:hAnsi="Times New Roman" w:cs="Times New Roman"/>
                <w:sz w:val="24"/>
                <w:szCs w:val="24"/>
                <w:lang w:val="zh-CN" w:eastAsia="zh-CN"/>
              </w:rPr>
              <w:t>，最大管电压</w:t>
            </w:r>
            <w:r>
              <w:rPr>
                <w:rFonts w:hint="eastAsia" w:ascii="Times New Roman" w:hAnsi="Times New Roman" w:cs="Times New Roman"/>
                <w:sz w:val="24"/>
                <w:szCs w:val="24"/>
                <w:lang w:val="en-US" w:eastAsia="zh-CN"/>
              </w:rPr>
              <w:t>为</w:t>
            </w:r>
            <w:r>
              <w:rPr>
                <w:rFonts w:hint="eastAsia" w:ascii="Times New Roman" w:hAnsi="Times New Roman" w:cs="Times New Roman"/>
                <w:sz w:val="24"/>
                <w:szCs w:val="24"/>
                <w:lang w:val="zh-CN" w:eastAsia="zh-CN"/>
              </w:rPr>
              <w:t>125kV，最大管电流</w:t>
            </w:r>
            <w:r>
              <w:rPr>
                <w:rFonts w:hint="eastAsia" w:ascii="Times New Roman" w:hAnsi="Times New Roman" w:cs="Times New Roman"/>
                <w:sz w:val="24"/>
                <w:szCs w:val="24"/>
                <w:lang w:val="en-US" w:eastAsia="zh-CN"/>
              </w:rPr>
              <w:t>为</w:t>
            </w:r>
            <w:r>
              <w:rPr>
                <w:rFonts w:hint="eastAsia" w:ascii="Times New Roman" w:hAnsi="Times New Roman" w:cs="Times New Roman"/>
                <w:sz w:val="24"/>
                <w:szCs w:val="24"/>
                <w:lang w:val="zh-CN" w:eastAsia="zh-CN"/>
              </w:rPr>
              <w:t>1000mA，属于Ⅱ类射线装置。本项目总投资约</w:t>
            </w:r>
            <w:r>
              <w:rPr>
                <w:rFonts w:hint="eastAsia" w:ascii="Times New Roman" w:hAnsi="Times New Roman" w:cs="Times New Roman"/>
                <w:sz w:val="24"/>
                <w:szCs w:val="24"/>
                <w:lang w:val="en-US" w:eastAsia="zh-CN"/>
              </w:rPr>
              <w:t>750万元，环保投资约55.5万元，占总投资的7.40%。</w:t>
            </w:r>
          </w:p>
        </w:tc>
      </w:tr>
      <w:tr w14:paraId="088DA8D9">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AD5ADA0">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6AD1242C">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E478D8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一、施工期</w:t>
            </w:r>
          </w:p>
          <w:p w14:paraId="293AECA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本项目施工内容为</w:t>
            </w:r>
            <w:r>
              <w:rPr>
                <w:color w:val="auto"/>
                <w:sz w:val="24"/>
                <w:szCs w:val="24"/>
              </w:rPr>
              <w:t>机房防护装修施工、辅助用房施工及设备安装调试</w:t>
            </w:r>
            <w:r>
              <w:rPr>
                <w:rFonts w:hint="eastAsia" w:ascii="Times New Roman" w:hAnsi="Times New Roman" w:cs="Times New Roman"/>
                <w:sz w:val="24"/>
                <w:szCs w:val="24"/>
                <w:lang w:val="en-US" w:eastAsia="zh-CN"/>
              </w:rPr>
              <w:t>，主要污染物有施工粉尘、废水、噪声、装修废气、建筑垃圾、生活垃圾、少量电离辐射和臭氧。</w:t>
            </w:r>
          </w:p>
          <w:p w14:paraId="0C10704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二、运营期</w:t>
            </w:r>
          </w:p>
          <w:p w14:paraId="1DB817B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（1）X射线：X射线装置只有在开机并处于出束状态时才会发出X射线。在开机出束时，有用束和漏射、散射的X射线对周围环境造成辐射污染。X射线随设备的开机而产生，关机而消失。</w:t>
            </w:r>
          </w:p>
          <w:p w14:paraId="2E2F4D6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（2）废气（臭氧、氮氧化物）：在X射线装置开机及曝光过程中，X射线穿过空气会导致空气中的O</w:t>
            </w:r>
            <w:r>
              <w:rPr>
                <w:rFonts w:hint="eastAsia" w:ascii="Times New Roman" w:hAnsi="Times New Roman" w:cs="Times New Roman"/>
                <w:sz w:val="24"/>
                <w:szCs w:val="24"/>
                <w:vertAlign w:val="subscript"/>
                <w:lang w:val="en-US" w:eastAsia="zh-CN"/>
              </w:rPr>
              <w:t>2</w:t>
            </w:r>
            <w:r>
              <w:rPr>
                <w:rFonts w:hint="eastAsia" w:ascii="Times New Roman" w:hAnsi="Times New Roman" w:cs="Times New Roman"/>
                <w:sz w:val="24"/>
                <w:szCs w:val="24"/>
                <w:lang w:val="en-US" w:eastAsia="zh-CN"/>
              </w:rPr>
              <w:t>、N</w:t>
            </w:r>
            <w:r>
              <w:rPr>
                <w:rFonts w:hint="eastAsia" w:ascii="Times New Roman" w:hAnsi="Times New Roman" w:cs="Times New Roman"/>
                <w:sz w:val="24"/>
                <w:szCs w:val="24"/>
                <w:vertAlign w:val="subscript"/>
                <w:lang w:val="en-US" w:eastAsia="zh-CN"/>
              </w:rPr>
              <w:t>2</w:t>
            </w:r>
            <w:r>
              <w:rPr>
                <w:rFonts w:hint="eastAsia" w:ascii="Times New Roman" w:hAnsi="Times New Roman" w:cs="Times New Roman"/>
                <w:sz w:val="24"/>
                <w:szCs w:val="24"/>
                <w:lang w:val="en-US" w:eastAsia="zh-CN"/>
              </w:rPr>
              <w:t>发生一系列化学反应，产生臭氧和氮氧化物。</w:t>
            </w:r>
          </w:p>
          <w:p w14:paraId="622703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（3）废水：本项目DSA采用数字成像，不使用显影液和定影液，无洗片过程，无废显、定影液产生。医务人员工作时产生少量的生活污水，介入手术、清洗器械产生少量医疗废水。</w:t>
            </w:r>
          </w:p>
          <w:p w14:paraId="3C8F22E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（4）噪声：手术间通排风系统设置独立净化空调机组，通排风系统运行时会产生噪声，排气风机选用低噪音类型设备，排风、新风（送风）管道上设置有消音器，排风系统风机拟配置减震装置。</w:t>
            </w:r>
          </w:p>
          <w:p w14:paraId="09F6003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lang w:val="en-US" w:eastAsia="zh-CN"/>
              </w:rPr>
              <w:t>（5）固体废物：本项目DSA采用数字成像，不打印胶片，会根据病人的需要刻录光盘，光盘由病人带走并自行处理，无废胶片产生；介入手术时会产生少量纱布、手套等医疗废物；医护人员在工作中会产生少量生活垃圾。</w:t>
            </w:r>
          </w:p>
        </w:tc>
      </w:tr>
      <w:tr w14:paraId="77157C98">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730556A">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4D28A8A1">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0C7C819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一、辐射环境影响对策和措施</w:t>
            </w:r>
          </w:p>
          <w:p w14:paraId="5E4501C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1、工作区域管理</w:t>
            </w:r>
          </w:p>
          <w:p w14:paraId="3A96B64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为了便于加强管理，切实做好辐射安全防范工作，按《电离辐射防护与辐射源安全基本标准》（GB18871-2002），辐射工作场所分为控制区和监督区。将DSA手术室划为控制区，将手术室外围控制室、刷手间、缓冲间、恢复观察室、患者准备间、污物暂存间划为监督区。</w:t>
            </w:r>
          </w:p>
          <w:p w14:paraId="20319AD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2、辐射安全及防护措施</w:t>
            </w:r>
          </w:p>
          <w:p w14:paraId="38B6D9E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（1）设备固有措施</w:t>
            </w:r>
          </w:p>
          <w:p w14:paraId="4A6710B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①本建设项目DSA装有可调限束装置，使装置发射的线束宽度尽量减小，以减少泄漏辐射。</w:t>
            </w:r>
          </w:p>
          <w:p w14:paraId="620192A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②采用栅控技术：在每次脉冲曝光间隔向旋转阳极加一负电压，抵消曝光脉冲的启辉与余辉，起到消除软X射线、提高有用射线品质并减小脉冲宽度作用。</w:t>
            </w:r>
          </w:p>
          <w:p w14:paraId="4A3FA9A4">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③采用光谱过滤技术：在X射线管头或影像增强器的窗口处放置合适的铝过滤板，以消除软X射线以及减少二次散射，优化有用X射线谱。设备已提供适应DSA不同应用时所可以选用的各种形状与规格的准直器隔板和铝过滤板。影像增强器前面已配置滤线栅，以减少散射影响。</w:t>
            </w:r>
          </w:p>
          <w:p w14:paraId="7894F45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④采用脉冲透视技术：在透视图像数字化基础上实现脉冲透视（如每秒25帧、12.5帧、6帧等可供选择），改善图像清晰度；并能明显地减少透视剂量。</w:t>
            </w:r>
          </w:p>
          <w:p w14:paraId="2AA0204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⑤采用图像冻结技术：每次透视的最后一帧图像被暂存并保留于监视器上显示，即称之为图像冻结。充分利用此方法可以明显缩短总透视时间，达到减少不必要的照射。</w:t>
            </w:r>
          </w:p>
          <w:p w14:paraId="6499DDB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⑥配备相应的表征剂量的指示装置：DSA设备已配备有能在线监测表征输出剂量的指示装置。</w:t>
            </w:r>
          </w:p>
          <w:p w14:paraId="01E6803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（2）场所设计安全措施</w:t>
            </w:r>
          </w:p>
          <w:p w14:paraId="3396521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color w:val="auto"/>
                <w:sz w:val="24"/>
                <w:highlight w:val="none"/>
                <w:lang w:val="en-US" w:eastAsia="zh-CN"/>
              </w:rPr>
              <w:t>本项目DSA手术室在做完墙体、装修和防护措施后面积为40.95m2，最小单边长度为5.25m，满足《放射诊断放射防护要求》GBZ130-2020中规定的“单管头X射线设备（含C形臂，乳腺CBCT）机房内最小有效使用面积20m2，机房内最小单边长度3.5m”的要求。</w:t>
            </w:r>
          </w:p>
          <w:p w14:paraId="190FF05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（3）紧急停机按钮</w:t>
            </w:r>
          </w:p>
          <w:p w14:paraId="082A2D0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建设单位拟在射线装置控制台上、诊疗床操作面板上各设置1个急停按钮（各按钮与X线系统连接），急停按钮共2个。DSA系统的X线系统出束过程中，一旦出现异常，按动任一急停按钮，均可停止X线系统出束。</w:t>
            </w:r>
          </w:p>
          <w:p w14:paraId="1C4B34A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（4）门灯联锁装置、电离辐射警示标志</w:t>
            </w:r>
          </w:p>
          <w:p w14:paraId="0D1F24C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项目拟设3套工作状态指示灯、门灯联锁装置、警告标志。DSA手术室出入口的机房门中部及DSA工作场所入口均设置“当心电离辐射”警告标志，警示人们注意可能发生的危险。机房门上方设置醒目的工作状态指示灯，灯箱上设置如“射线有害、灯亮勿入”的可视警示语句，同时，工作状态指示灯能与机房门有效关联。当机房门开启时，警示灯熄灭，机房门关闭时，警示灯开启。严格遵守DSA操作规程，加强门灯联锁装置维护，只有在机房完全关闭，工作状态指示灯亮时DSA才可出束诊疗，避免医务人员及公众受到误照射。</w:t>
            </w:r>
          </w:p>
          <w:p w14:paraId="55C28B7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（5）对讲装置</w:t>
            </w:r>
          </w:p>
          <w:p w14:paraId="6B883C9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本项目为方便辐射工作人员更好地观察病人手术全过程，设置对讲装置一套，能够及时与病人沟通手术等情况。</w:t>
            </w:r>
          </w:p>
          <w:p w14:paraId="287BAC4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（6）个人防护用品、监测仪器</w:t>
            </w:r>
          </w:p>
          <w:p w14:paraId="19EAC07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本项目拟为辐射工作人员</w:t>
            </w:r>
            <w:bookmarkStart w:id="0" w:name="_Hlk206689728"/>
            <w:r>
              <w:rPr>
                <w:rFonts w:hint="eastAsia" w:ascii="Times New Roman" w:hAnsi="Times New Roman" w:cs="Times New Roman"/>
                <w:sz w:val="24"/>
                <w:szCs w:val="24"/>
                <w:lang w:val="en-US" w:eastAsia="zh-CN"/>
              </w:rPr>
              <w:t>配备铅衣、铅围脖、铅眼镜、铅帽、防护手套等个人防护用品各</w:t>
            </w:r>
            <w:bookmarkEnd w:id="0"/>
            <w:r>
              <w:rPr>
                <w:rFonts w:hint="eastAsia" w:ascii="Times New Roman" w:hAnsi="Times New Roman" w:cs="Times New Roman"/>
                <w:sz w:val="24"/>
                <w:szCs w:val="24"/>
                <w:lang w:val="en-US" w:eastAsia="zh-CN"/>
              </w:rPr>
              <w:t>12套，为受检者配备0.5mmPb围裙或方巾2套、颈套2套，铅橡胶帽子2个。</w:t>
            </w:r>
          </w:p>
          <w:p w14:paraId="3F4C0D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二、三废的治理措施</w:t>
            </w:r>
          </w:p>
          <w:p w14:paraId="11FBB95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1、废气治理措施</w:t>
            </w:r>
          </w:p>
          <w:p w14:paraId="3CD7B66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本项目DSA在曝光过程中产生的臭氧、氮氧化物量很小，本项目手术间内设置通排风系统，曝光过程中产生的废气经排风系统排至室外自然稀释对大气环境影响不大。</w:t>
            </w:r>
          </w:p>
          <w:p w14:paraId="61CE187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2、废水治理措施</w:t>
            </w:r>
          </w:p>
          <w:p w14:paraId="0A13DF9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本项目医务人员工作时产生少量的生活污水，介入手术、清洗器械产生少量医疗废水，依托医院污水处理站处理达标后排入市政管网，最终进入西城污水处理厂处理，对周边水环境影响较小。</w:t>
            </w:r>
          </w:p>
          <w:p w14:paraId="6480AC9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3、固体废弃物治理措施</w:t>
            </w:r>
          </w:p>
          <w:p w14:paraId="3D1288B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生活垃圾经医院垃圾桶收集后，依托医院环卫部门统一清运；手术过程中产生的医疗废物采用专门的收集容器收集后，转移至医院医疗废物暂存间，委托宣威蓝宇环保科技有限公司进行定期清运处置。固体废物对周边环境影响较小。</w:t>
            </w:r>
          </w:p>
          <w:p w14:paraId="7F1BB36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4、噪声治理措施</w:t>
            </w:r>
          </w:p>
          <w:p w14:paraId="5DFAFCF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pPr>
            <w:r>
              <w:rPr>
                <w:rFonts w:hint="eastAsia" w:ascii="Times New Roman" w:hAnsi="Times New Roman" w:cs="Times New Roman"/>
                <w:sz w:val="24"/>
                <w:szCs w:val="24"/>
                <w:lang w:val="en-US" w:eastAsia="zh-CN"/>
              </w:rPr>
              <w:t>本项目排气风机选用低噪音类型设备，排风、新风（送风）管道上设置有消音器，风机配有减震装置，通过降噪措施降噪后，经过墙体阻隔和距离衰减后，对周围环境影响较小。</w:t>
            </w:r>
          </w:p>
        </w:tc>
      </w:tr>
      <w:tr w14:paraId="7F1660CA">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6646DF2">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5330ABFA">
        <w:tblPrEx>
          <w:tblCellMar>
            <w:top w:w="0" w:type="dxa"/>
            <w:left w:w="108" w:type="dxa"/>
            <w:bottom w:w="0" w:type="dxa"/>
            <w:right w:w="108" w:type="dxa"/>
          </w:tblCellMar>
        </w:tblPrEx>
        <w:trPr>
          <w:trHeight w:val="44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FEEC31F">
            <w:pPr>
              <w:pStyle w:val="7"/>
              <w:ind w:firstLine="480" w:firstLineChars="200"/>
            </w:pPr>
            <w:r>
              <w:rPr>
                <w:rFonts w:hint="eastAsia" w:ascii="Times New Roman" w:hAnsi="Times New Roman" w:eastAsia="方正仿宋_GBK" w:cs="Times New Roman"/>
                <w:snapToGrid/>
                <w:kern w:val="32"/>
                <w:sz w:val="24"/>
                <w:szCs w:val="24"/>
                <w:lang w:val="en-US" w:eastAsia="zh-CN" w:bidi="ar-SA"/>
              </w:rPr>
              <w:t>无。</w:t>
            </w:r>
          </w:p>
        </w:tc>
      </w:tr>
      <w:tr w14:paraId="44773E70">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3CDF5342">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2EFC629B">
            <w:pPr>
              <w:pStyle w:val="7"/>
            </w:pPr>
            <w:r>
              <w:rPr>
                <w:rFonts w:hint="eastAsia" w:ascii="Times New Roman" w:hAnsi="Times New Roman" w:eastAsia="方正仿宋_GBK" w:cs="Times New Roman"/>
                <w:snapToGrid/>
                <w:kern w:val="32"/>
                <w:sz w:val="24"/>
                <w:szCs w:val="24"/>
                <w:lang w:val="en-US" w:eastAsia="zh-CN" w:bidi="ar-SA"/>
              </w:rPr>
              <w:t>信息公开同意函</w:t>
            </w:r>
            <w:r>
              <w:rPr>
                <w:rFonts w:hint="eastAsia" w:ascii="Times New Roman" w:hAnsi="Times New Roman" w:cs="Times New Roman"/>
                <w:snapToGrid/>
                <w:kern w:val="32"/>
                <w:sz w:val="24"/>
                <w:szCs w:val="24"/>
                <w:lang w:val="en-US" w:eastAsia="zh-CN" w:bidi="ar-SA"/>
              </w:rPr>
              <w:t>。</w:t>
            </w:r>
          </w:p>
        </w:tc>
      </w:tr>
      <w:tr w14:paraId="3D890382">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06A54C2A">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113ECF0C">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3EAEA2AF-1B2A-40ED-9B26-B6D3122A5475}"/>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2" w:fontKey="{650AD67C-C4E9-42FD-A765-F9E02CF224EF}"/>
  </w:font>
  <w:font w:name="WPSEMBED2">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7A53F59"/>
    <w:rsid w:val="081E3E37"/>
    <w:rsid w:val="0870623F"/>
    <w:rsid w:val="0E7539A2"/>
    <w:rsid w:val="11C22DB8"/>
    <w:rsid w:val="13B34670"/>
    <w:rsid w:val="175C524E"/>
    <w:rsid w:val="17FC2877"/>
    <w:rsid w:val="1A3C46BC"/>
    <w:rsid w:val="1B020E5E"/>
    <w:rsid w:val="1C8733A0"/>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28461A5"/>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6336F03"/>
    <w:rsid w:val="66B00A67"/>
    <w:rsid w:val="6AB93F9D"/>
    <w:rsid w:val="6B5D7B2E"/>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rPr>
      <w:sz w:val="24"/>
      <w:szCs w:val="24"/>
    </w:rPr>
  </w:style>
  <w:style w:type="paragraph" w:customStyle="1" w:styleId="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Plain Text"/>
    <w:basedOn w:val="1"/>
    <w:qFormat/>
    <w:uiPriority w:val="0"/>
    <w:rPr>
      <w:rFonts w:ascii="宋体"/>
      <w:snapToGrid w:val="0"/>
      <w:kern w:val="0"/>
      <w:szCs w:val="20"/>
    </w:rPr>
  </w:style>
  <w:style w:type="paragraph" w:styleId="8">
    <w:name w:val="footer"/>
    <w:basedOn w:val="1"/>
    <w:link w:val="24"/>
    <w:qFormat/>
    <w:uiPriority w:val="0"/>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jc w:val="left"/>
    </w:pPr>
    <w:rPr>
      <w:rFonts w:eastAsia="宋体"/>
      <w:kern w:val="0"/>
      <w:sz w:val="24"/>
    </w:rPr>
  </w:style>
  <w:style w:type="paragraph" w:styleId="11">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Default"/>
    <w:basedOn w:val="17"/>
    <w:next w:val="5"/>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7">
    <w:name w:val="纯文本1"/>
    <w:basedOn w:val="1"/>
    <w:qFormat/>
    <w:uiPriority w:val="0"/>
    <w:pPr>
      <w:suppressAutoHyphens/>
    </w:pPr>
    <w:rPr>
      <w:rFonts w:ascii="宋体" w:hAnsi="宋体" w:eastAsia="宋体" w:cs="Times New Roman"/>
      <w:kern w:val="1"/>
      <w:sz w:val="28"/>
      <w:lang w:eastAsia="ar-SA"/>
    </w:rPr>
  </w:style>
  <w:style w:type="paragraph" w:customStyle="1" w:styleId="18">
    <w:name w:val="Normal Indent1"/>
    <w:basedOn w:val="1"/>
    <w:next w:val="1"/>
    <w:qFormat/>
    <w:uiPriority w:val="99"/>
    <w:pPr>
      <w:ind w:firstLine="420"/>
    </w:p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3"/>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9"/>
    <w:qFormat/>
    <w:uiPriority w:val="0"/>
    <w:rPr>
      <w:rFonts w:ascii="Calibri" w:hAnsi="Calibri" w:eastAsia="方正仿宋_GBK"/>
      <w:kern w:val="32"/>
      <w:sz w:val="18"/>
      <w:szCs w:val="18"/>
    </w:rPr>
  </w:style>
  <w:style w:type="character" w:customStyle="1" w:styleId="23">
    <w:name w:val="标题 4 字符"/>
    <w:link w:val="4"/>
    <w:qFormat/>
    <w:uiPriority w:val="0"/>
    <w:rPr>
      <w:rFonts w:ascii="Arial" w:hAnsi="Arial" w:eastAsia="黑体"/>
      <w:b/>
      <w:bCs/>
      <w:kern w:val="2"/>
      <w:sz w:val="28"/>
      <w:szCs w:val="28"/>
    </w:rPr>
  </w:style>
  <w:style w:type="character" w:customStyle="1" w:styleId="24">
    <w:name w:val="页脚 字符"/>
    <w:link w:val="8"/>
    <w:qFormat/>
    <w:uiPriority w:val="0"/>
    <w:rPr>
      <w:rFonts w:ascii="Calibri" w:hAnsi="Calibri" w:eastAsia="方正仿宋_GBK"/>
      <w:kern w:val="32"/>
      <w:sz w:val="18"/>
      <w:szCs w:val="18"/>
    </w:rPr>
  </w:style>
  <w:style w:type="character" w:customStyle="1" w:styleId="25">
    <w:name w:val="标题 2 字符"/>
    <w:link w:val="2"/>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3">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4">
    <w:name w:val="【正文】"/>
    <w:basedOn w:val="1"/>
    <w:qFormat/>
    <w:uiPriority w:val="0"/>
    <w:rPr>
      <w:rFonts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2502</Words>
  <Characters>2637</Characters>
  <Lines>97</Lines>
  <Paragraphs>85</Paragraphs>
  <TotalTime>1</TotalTime>
  <ScaleCrop>false</ScaleCrop>
  <LinksUpToDate>false</LinksUpToDate>
  <CharactersWithSpaces>2638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2026-11-02T06:53:26Z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8234BEDB71CF4B7CBF5B818353124A5A_13</vt:lpwstr>
  </property>
  <property fmtid="{D5CDD505-2E9C-101B-9397-08002B2CF9AE}" pid="4" name="KSOTemplateDocerSaveRecord">
    <vt:lpwstr>eyJoZGlkIjoiYTA0OTFiNTllN2E3YTc2MDc5ZTIwYTg0ZjFlZjFlMWQiLCJ1c2VySWQiOiIzNzMyMDUyODEifQ==</vt:lpwstr>
  </property>
</Properties>
</file>