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77878">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黑体" w:hAnsi="黑体" w:eastAsia="黑体" w:cs="黑体"/>
          <w:color w:val="auto"/>
          <w:szCs w:val="32"/>
          <w:lang w:val="en-US" w:eastAsia="zh-CN"/>
        </w:rPr>
      </w:pPr>
      <w:bookmarkStart w:id="0" w:name="_GoBack"/>
      <w:bookmarkEnd w:id="0"/>
      <w:r>
        <w:rPr>
          <w:rFonts w:hint="default"/>
          <w:lang w:val="en-US" w:eastAsia="zh-CN"/>
        </w:rPr>
        <w:t>附件</w:t>
      </w:r>
      <w:r>
        <w:rPr>
          <w:rFonts w:hint="eastAsia"/>
          <w:lang w:val="en-US" w:eastAsia="zh-CN"/>
        </w:rPr>
        <w:t>2</w:t>
      </w:r>
    </w:p>
    <w:p w14:paraId="78D2E3A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color w:val="auto"/>
          <w:sz w:val="32"/>
          <w:szCs w:val="32"/>
          <w:lang w:val="en-US" w:eastAsia="zh-CN"/>
        </w:rPr>
      </w:pPr>
    </w:p>
    <w:p w14:paraId="402C082C">
      <w:pPr>
        <w:pStyle w:val="8"/>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小标宋简体" w:cs="Times New Roman"/>
          <w:szCs w:val="44"/>
        </w:rPr>
      </w:pPr>
      <w:r>
        <w:rPr>
          <w:rFonts w:hint="default"/>
        </w:rPr>
        <w:t>《云南会泽黑颈鹤国家级自然保护区管理办法（修订草案）》起草说明</w:t>
      </w:r>
    </w:p>
    <w:p w14:paraId="0422E319">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Times New Roman"/>
          <w:sz w:val="32"/>
          <w:szCs w:val="32"/>
        </w:rPr>
      </w:pPr>
    </w:p>
    <w:p w14:paraId="1F071E98">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rPr>
        <w:t>一、修订</w:t>
      </w:r>
      <w:r>
        <w:rPr>
          <w:rFonts w:hint="default" w:ascii="Times New Roman" w:hAnsi="Times New Roman" w:eastAsia="黑体" w:cs="Times New Roman"/>
          <w:b w:val="0"/>
          <w:bCs w:val="0"/>
          <w:sz w:val="32"/>
          <w:szCs w:val="32"/>
          <w:lang w:eastAsia="zh-CN"/>
        </w:rPr>
        <w:t>背景</w:t>
      </w:r>
    </w:p>
    <w:p w14:paraId="1C65A1D0">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云南会泽黑颈鹤国家级自然保护区属于野生动物类型国家级自然保护区，同时为国际重要湿地，包含大桥、长海子两个片区，主要保护对象为黑颈鹤等国家重点保护野生动物及其高原湿地栖息生境，承担《拉姆萨尔湿地公约》履约任务，生态保护地位特殊。保护区内有2万余原有居民世代在此生产生活，形成</w:t>
      </w:r>
      <w:r>
        <w:rPr>
          <w:rFonts w:hint="eastAsia"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人鹤伴生</w:t>
      </w:r>
      <w:r>
        <w:rPr>
          <w:rFonts w:hint="eastAsia"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格局，生态保护与群众生产生活关联紧密。现行《云南会泽黑颈鹤国家级自然保护区管理办法》</w:t>
      </w:r>
      <w:r>
        <w:rPr>
          <w:rFonts w:hint="eastAsia" w:ascii="Times New Roman" w:hAnsi="Times New Roman" w:eastAsia="方正仿宋_GB2312" w:cs="Times New Roman"/>
          <w:sz w:val="32"/>
          <w:szCs w:val="32"/>
          <w:lang w:eastAsia="zh-CN"/>
        </w:rPr>
        <w:t>（以下简称《办法》）</w:t>
      </w:r>
      <w:r>
        <w:rPr>
          <w:rFonts w:hint="default" w:ascii="Times New Roman" w:hAnsi="Times New Roman" w:eastAsia="方正仿宋_GB2312" w:cs="Times New Roman"/>
          <w:sz w:val="32"/>
          <w:szCs w:val="32"/>
        </w:rPr>
        <w:t>自201</w:t>
      </w:r>
      <w:r>
        <w:rPr>
          <w:rFonts w:hint="eastAsia" w:ascii="Times New Roman" w:hAnsi="Times New Roman" w:eastAsia="方正仿宋_GB2312" w:cs="Times New Roman"/>
          <w:sz w:val="32"/>
          <w:szCs w:val="32"/>
          <w:lang w:val="en-US" w:eastAsia="zh-CN"/>
        </w:rPr>
        <w:t>8</w:t>
      </w:r>
      <w:r>
        <w:rPr>
          <w:rFonts w:hint="default" w:ascii="Times New Roman" w:hAnsi="Times New Roman" w:eastAsia="方正仿宋_GB2312" w:cs="Times New Roman"/>
          <w:sz w:val="32"/>
          <w:szCs w:val="32"/>
        </w:rPr>
        <w:t>年</w:t>
      </w:r>
      <w:r>
        <w:rPr>
          <w:rFonts w:hint="eastAsia" w:ascii="Times New Roman" w:hAnsi="Times New Roman" w:eastAsia="方正仿宋_GB2312" w:cs="Times New Roman"/>
          <w:sz w:val="32"/>
          <w:szCs w:val="32"/>
          <w:lang w:val="en-US" w:eastAsia="zh-CN"/>
        </w:rPr>
        <w:t>11月1日施行</w:t>
      </w:r>
      <w:r>
        <w:rPr>
          <w:rFonts w:hint="default" w:ascii="Times New Roman" w:hAnsi="Times New Roman" w:eastAsia="方正仿宋_GB2312" w:cs="Times New Roman"/>
          <w:sz w:val="32"/>
          <w:szCs w:val="32"/>
        </w:rPr>
        <w:t>以来，在黑颈鹤保护、湿地管理、规范辖区人类活动等方面发挥了积极作用。</w:t>
      </w:r>
      <w:r>
        <w:rPr>
          <w:rFonts w:hint="eastAsia" w:ascii="Times New Roman" w:hAnsi="Times New Roman" w:eastAsia="方正仿宋_GB2312" w:cs="Times New Roman"/>
          <w:sz w:val="32"/>
          <w:szCs w:val="32"/>
          <w:lang w:val="en-US" w:eastAsia="zh-CN"/>
        </w:rPr>
        <w:t>2026年8月15日</w:t>
      </w:r>
      <w:r>
        <w:rPr>
          <w:rFonts w:hint="default" w:ascii="Times New Roman" w:hAnsi="Times New Roman" w:eastAsia="方正仿宋_GB2312" w:cs="Times New Roman"/>
          <w:sz w:val="32"/>
          <w:szCs w:val="32"/>
        </w:rPr>
        <w:t>《中华人民共和国生态环境法典》</w:t>
      </w:r>
      <w:r>
        <w:rPr>
          <w:rFonts w:hint="eastAsia" w:ascii="Times New Roman" w:hAnsi="Times New Roman" w:eastAsia="方正仿宋_GB2312" w:cs="Times New Roman"/>
          <w:sz w:val="32"/>
          <w:szCs w:val="32"/>
          <w:lang w:eastAsia="zh-CN"/>
        </w:rPr>
        <w:t>施行，</w:t>
      </w:r>
      <w:r>
        <w:rPr>
          <w:rFonts w:hint="eastAsia" w:ascii="Times New Roman" w:hAnsi="Times New Roman" w:eastAsia="方正仿宋_GB2312" w:cs="Times New Roman"/>
          <w:sz w:val="32"/>
          <w:szCs w:val="32"/>
          <w:lang w:val="en-US" w:eastAsia="zh-CN"/>
        </w:rPr>
        <w:t>2026年3月15日</w:t>
      </w:r>
      <w:r>
        <w:rPr>
          <w:rFonts w:hint="default" w:ascii="Times New Roman" w:hAnsi="Times New Roman" w:eastAsia="方正仿宋_GB2312" w:cs="Times New Roman"/>
          <w:sz w:val="32"/>
          <w:szCs w:val="32"/>
        </w:rPr>
        <w:t>新修订</w:t>
      </w:r>
      <w:r>
        <w:rPr>
          <w:rFonts w:hint="eastAsia" w:ascii="Times New Roman" w:hAnsi="Times New Roman" w:eastAsia="方正仿宋_GB2312" w:cs="Times New Roman"/>
          <w:sz w:val="32"/>
          <w:szCs w:val="32"/>
          <w:lang w:eastAsia="zh-CN"/>
        </w:rPr>
        <w:t>的</w:t>
      </w:r>
      <w:r>
        <w:rPr>
          <w:rFonts w:hint="default" w:ascii="Times New Roman" w:hAnsi="Times New Roman" w:eastAsia="方正仿宋_GB2312" w:cs="Times New Roman"/>
          <w:sz w:val="32"/>
          <w:szCs w:val="32"/>
        </w:rPr>
        <w:t>《中华人民共和国自然保护区条例》施行</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2022年6月1日</w:t>
      </w:r>
      <w:r>
        <w:rPr>
          <w:rFonts w:hint="default" w:ascii="Times New Roman" w:hAnsi="Times New Roman" w:eastAsia="方正仿宋_GB2312" w:cs="Times New Roman"/>
          <w:sz w:val="32"/>
          <w:szCs w:val="32"/>
        </w:rPr>
        <w:t>《中华人民共和国湿地保护法》</w:t>
      </w:r>
      <w:r>
        <w:rPr>
          <w:rFonts w:hint="eastAsia" w:ascii="Times New Roman" w:hAnsi="Times New Roman" w:eastAsia="方正仿宋_GB2312" w:cs="Times New Roman"/>
          <w:sz w:val="32"/>
          <w:szCs w:val="32"/>
          <w:lang w:eastAsia="zh-CN"/>
        </w:rPr>
        <w:t>施行</w:t>
      </w:r>
      <w:r>
        <w:rPr>
          <w:rFonts w:hint="default" w:ascii="Times New Roman" w:hAnsi="Times New Roman" w:eastAsia="方正仿宋_GB2312" w:cs="Times New Roman"/>
          <w:sz w:val="32"/>
          <w:szCs w:val="32"/>
        </w:rPr>
        <w:t>，国家对自然保护地管控、候鸟栖息地保护、社区共管、执法监管提出全新制度要求，</w:t>
      </w:r>
      <w:r>
        <w:rPr>
          <w:rFonts w:hint="eastAsia" w:ascii="Times New Roman" w:hAnsi="Times New Roman" w:eastAsia="方正仿宋_GB2312" w:cs="Times New Roman"/>
          <w:sz w:val="32"/>
          <w:szCs w:val="32"/>
          <w:lang w:eastAsia="zh-CN"/>
        </w:rPr>
        <w:t>《办法》</w:t>
      </w:r>
      <w:r>
        <w:rPr>
          <w:rFonts w:hint="default" w:ascii="Times New Roman" w:hAnsi="Times New Roman" w:eastAsia="方正仿宋_GB2312" w:cs="Times New Roman"/>
          <w:sz w:val="32"/>
          <w:szCs w:val="32"/>
        </w:rPr>
        <w:t>部分条款与现行上位法不</w:t>
      </w:r>
      <w:r>
        <w:rPr>
          <w:rFonts w:hint="eastAsia" w:ascii="Times New Roman" w:hAnsi="Times New Roman" w:eastAsia="方正仿宋_GB2312" w:cs="Times New Roman"/>
          <w:sz w:val="32"/>
          <w:szCs w:val="32"/>
          <w:lang w:eastAsia="zh-CN"/>
        </w:rPr>
        <w:t>符</w:t>
      </w:r>
      <w:r>
        <w:rPr>
          <w:rFonts w:hint="default" w:ascii="Times New Roman" w:hAnsi="Times New Roman" w:eastAsia="方正仿宋_GB2312" w:cs="Times New Roman"/>
          <w:sz w:val="32"/>
          <w:szCs w:val="32"/>
        </w:rPr>
        <w:t>，管护实践中也存在诸多现实痛点，亟待修订完善。</w:t>
      </w:r>
    </w:p>
    <w:p w14:paraId="3D56DAB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一是分区管控制度与上位法不</w:t>
      </w:r>
      <w:r>
        <w:rPr>
          <w:rFonts w:hint="eastAsia" w:ascii="Times New Roman" w:hAnsi="Times New Roman" w:eastAsia="方正仿宋_GB2312" w:cs="Times New Roman"/>
          <w:b/>
          <w:bCs/>
          <w:sz w:val="32"/>
          <w:szCs w:val="32"/>
          <w:lang w:eastAsia="zh-CN"/>
        </w:rPr>
        <w:t>一致</w:t>
      </w:r>
      <w:r>
        <w:rPr>
          <w:rFonts w:hint="default" w:ascii="Times New Roman" w:hAnsi="Times New Roman" w:eastAsia="方正仿宋_GB2312" w:cs="Times New Roman"/>
          <w:sz w:val="32"/>
          <w:szCs w:val="32"/>
        </w:rPr>
        <w:t>。新修订《中华人民共和国自然保护区条例》将传统核心区、缓冲区、实验区</w:t>
      </w:r>
      <w:r>
        <w:rPr>
          <w:rFonts w:hint="eastAsia"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三区</w:t>
      </w:r>
      <w:r>
        <w:rPr>
          <w:rFonts w:hint="eastAsia" w:ascii="Times New Roman" w:hAnsi="Times New Roman" w:eastAsia="方正仿宋_GB2312" w:cs="Times New Roman"/>
          <w:sz w:val="32"/>
          <w:szCs w:val="32"/>
          <w:lang w:eastAsia="zh-CN"/>
        </w:rPr>
        <w:t>”</w:t>
      </w:r>
      <w:r>
        <w:rPr>
          <w:rFonts w:hint="default" w:ascii="Times New Roman" w:hAnsi="Times New Roman" w:eastAsia="方正仿宋_GB2312" w:cs="Times New Roman"/>
          <w:b w:val="0"/>
          <w:bCs w:val="0"/>
          <w:sz w:val="32"/>
          <w:szCs w:val="32"/>
        </w:rPr>
        <w:t>调整为</w:t>
      </w:r>
      <w:r>
        <w:rPr>
          <w:rFonts w:hint="default" w:ascii="Times New Roman" w:hAnsi="Times New Roman" w:eastAsia="方正仿宋_GB2312" w:cs="Times New Roman"/>
          <w:sz w:val="32"/>
          <w:szCs w:val="32"/>
        </w:rPr>
        <w:t>核心保护区、一般控制区</w:t>
      </w:r>
      <w:r>
        <w:rPr>
          <w:rFonts w:hint="eastAsia"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两区</w:t>
      </w:r>
      <w:r>
        <w:rPr>
          <w:rFonts w:hint="eastAsia"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分区管控，实行正面清单管理。</w:t>
      </w:r>
      <w:r>
        <w:rPr>
          <w:rFonts w:hint="eastAsia" w:ascii="Times New Roman" w:hAnsi="Times New Roman" w:eastAsia="方正仿宋_GB2312" w:cs="Times New Roman"/>
          <w:b w:val="0"/>
          <w:bCs w:val="0"/>
          <w:sz w:val="32"/>
          <w:szCs w:val="32"/>
          <w:lang w:eastAsia="zh-CN"/>
        </w:rPr>
        <w:t>《办法》的“</w:t>
      </w:r>
      <w:r>
        <w:rPr>
          <w:rFonts w:hint="default" w:ascii="Times New Roman" w:hAnsi="Times New Roman" w:eastAsia="方正仿宋_GB2312" w:cs="Times New Roman"/>
          <w:b w:val="0"/>
          <w:bCs w:val="0"/>
          <w:sz w:val="32"/>
          <w:szCs w:val="32"/>
        </w:rPr>
        <w:t>三区</w:t>
      </w:r>
      <w:r>
        <w:rPr>
          <w:rFonts w:hint="eastAsia" w:ascii="Times New Roman" w:hAnsi="Times New Roman" w:eastAsia="方正仿宋_GB2312" w:cs="Times New Roman"/>
          <w:b w:val="0"/>
          <w:bCs w:val="0"/>
          <w:sz w:val="32"/>
          <w:szCs w:val="32"/>
          <w:lang w:eastAsia="zh-CN"/>
        </w:rPr>
        <w:t>”</w:t>
      </w:r>
      <w:r>
        <w:rPr>
          <w:rFonts w:hint="default" w:ascii="Times New Roman" w:hAnsi="Times New Roman" w:eastAsia="方正仿宋_GB2312" w:cs="Times New Roman"/>
          <w:b w:val="0"/>
          <w:bCs w:val="0"/>
          <w:sz w:val="32"/>
          <w:szCs w:val="32"/>
        </w:rPr>
        <w:t>管控与上位法</w:t>
      </w:r>
      <w:r>
        <w:rPr>
          <w:rFonts w:hint="eastAsia" w:ascii="Times New Roman" w:hAnsi="Times New Roman" w:eastAsia="方正仿宋_GB2312" w:cs="Times New Roman"/>
          <w:b w:val="0"/>
          <w:bCs w:val="0"/>
          <w:sz w:val="32"/>
          <w:szCs w:val="32"/>
          <w:lang w:eastAsia="zh-CN"/>
        </w:rPr>
        <w:t>“</w:t>
      </w:r>
      <w:r>
        <w:rPr>
          <w:rFonts w:hint="default" w:ascii="Times New Roman" w:hAnsi="Times New Roman" w:eastAsia="方正仿宋_GB2312" w:cs="Times New Roman"/>
          <w:b w:val="0"/>
          <w:bCs w:val="0"/>
          <w:sz w:val="32"/>
          <w:szCs w:val="32"/>
        </w:rPr>
        <w:t>两区</w:t>
      </w:r>
      <w:r>
        <w:rPr>
          <w:rFonts w:hint="eastAsia" w:ascii="Times New Roman" w:hAnsi="Times New Roman" w:eastAsia="方正仿宋_GB2312" w:cs="Times New Roman"/>
          <w:b w:val="0"/>
          <w:bCs w:val="0"/>
          <w:sz w:val="32"/>
          <w:szCs w:val="32"/>
          <w:lang w:eastAsia="zh-CN"/>
        </w:rPr>
        <w:t>”</w:t>
      </w:r>
      <w:r>
        <w:rPr>
          <w:rFonts w:hint="default" w:ascii="Times New Roman" w:hAnsi="Times New Roman" w:eastAsia="方正仿宋_GB2312" w:cs="Times New Roman"/>
          <w:b w:val="0"/>
          <w:bCs w:val="0"/>
          <w:sz w:val="32"/>
          <w:szCs w:val="32"/>
        </w:rPr>
        <w:t>管控要求不符，</w:t>
      </w:r>
      <w:r>
        <w:rPr>
          <w:rFonts w:hint="default" w:ascii="Times New Roman" w:hAnsi="Times New Roman" w:eastAsia="方正仿宋_GB2312" w:cs="Times New Roman"/>
          <w:sz w:val="32"/>
          <w:szCs w:val="32"/>
        </w:rPr>
        <w:t>管控措施实操性不强。</w:t>
      </w:r>
    </w:p>
    <w:p w14:paraId="7BAB1D7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二是管理体制和权责边界不够清晰</w:t>
      </w:r>
      <w:r>
        <w:rPr>
          <w:rFonts w:hint="default"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eastAsia="zh-CN"/>
        </w:rPr>
        <w:t>《办法》</w:t>
      </w:r>
      <w:r>
        <w:rPr>
          <w:rFonts w:hint="default" w:ascii="Times New Roman" w:hAnsi="Times New Roman" w:eastAsia="方正仿宋_GB2312" w:cs="Times New Roman"/>
          <w:sz w:val="32"/>
          <w:szCs w:val="32"/>
        </w:rPr>
        <w:t>对市、县两级人民政府、保护区管理机构、乡镇、村集体权责划分较为笼统，行政机关与事业单位职责定位不清，基层执法、现场监管、线索移送等环节衔接不畅，职责边界模糊、协作衔接不顺。</w:t>
      </w:r>
    </w:p>
    <w:p w14:paraId="52ADDDA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三是季节性差别管控制度缺失</w:t>
      </w:r>
      <w:r>
        <w:rPr>
          <w:rFonts w:hint="default" w:ascii="Times New Roman" w:hAnsi="Times New Roman" w:eastAsia="方正仿宋_GB2312" w:cs="Times New Roman"/>
          <w:sz w:val="32"/>
          <w:szCs w:val="32"/>
        </w:rPr>
        <w:t>。黑颈鹤迁徙季节性明显，</w:t>
      </w:r>
      <w:r>
        <w:rPr>
          <w:rFonts w:hint="eastAsia" w:ascii="Times New Roman" w:hAnsi="Times New Roman" w:eastAsia="方正仿宋_GB2312" w:cs="Times New Roman"/>
          <w:sz w:val="32"/>
          <w:szCs w:val="32"/>
          <w:lang w:eastAsia="zh-CN"/>
        </w:rPr>
        <w:t>《办法》</w:t>
      </w:r>
      <w:r>
        <w:rPr>
          <w:rFonts w:hint="default" w:ascii="Times New Roman" w:hAnsi="Times New Roman" w:eastAsia="方正仿宋_GB2312" w:cs="Times New Roman"/>
          <w:sz w:val="32"/>
          <w:szCs w:val="32"/>
        </w:rPr>
        <w:t>仅对越冬期进入核心觅食栖息地区域作简单禁止，未建立越冬期、非越冬期动态管控制度，非越冬期管控与保护需求不匹配，保护与合理利用难以统筹。</w:t>
      </w:r>
    </w:p>
    <w:p w14:paraId="5EB9A2E7">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四是越冬期人为干扰缺乏制度规制</w:t>
      </w:r>
      <w:r>
        <w:rPr>
          <w:rFonts w:hint="default" w:ascii="Times New Roman" w:hAnsi="Times New Roman" w:eastAsia="方正仿宋_GB2312" w:cs="Times New Roman"/>
          <w:sz w:val="32"/>
          <w:szCs w:val="32"/>
        </w:rPr>
        <w:t>。越冬期间无人机惊扰集群候鸟、人为干扰黑颈鹤觅食及夜栖地等行为缺少制度约束，机动车通行管控、电力通信设施隐患改造等规定不健全，新型生态风险防控存在空白。</w:t>
      </w:r>
    </w:p>
    <w:p w14:paraId="43167476">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五是民生保障和社区共管制度实操性不足</w:t>
      </w:r>
      <w:r>
        <w:rPr>
          <w:rFonts w:hint="default" w:ascii="Times New Roman" w:hAnsi="Times New Roman" w:eastAsia="方正仿宋_GB2312" w:cs="Times New Roman"/>
          <w:sz w:val="32"/>
          <w:szCs w:val="32"/>
        </w:rPr>
        <w:t>。野生动物致害补偿、野生动物收容救护、国际重要湿地履约、社区共管等制度规定较为原则，群众参与保护渠道不畅，人鹤冲突化解机制不健全，生态保护与群众生产生活权益平衡不够。</w:t>
      </w:r>
    </w:p>
    <w:p w14:paraId="0F9B1A3C">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六是法律责任条款与上位法</w:t>
      </w:r>
      <w:r>
        <w:rPr>
          <w:rFonts w:hint="eastAsia" w:ascii="Times New Roman" w:hAnsi="Times New Roman" w:eastAsia="方正仿宋_GB2312" w:cs="Times New Roman"/>
          <w:b/>
          <w:bCs/>
          <w:sz w:val="32"/>
          <w:szCs w:val="32"/>
          <w:lang w:eastAsia="zh-CN"/>
        </w:rPr>
        <w:t>不衔接</w:t>
      </w:r>
      <w:r>
        <w:rPr>
          <w:rFonts w:hint="default"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eastAsia="zh-CN"/>
        </w:rPr>
        <w:t>《办法》</w:t>
      </w:r>
      <w:r>
        <w:rPr>
          <w:rFonts w:hint="default" w:ascii="Times New Roman" w:hAnsi="Times New Roman" w:eastAsia="方正仿宋_GB2312" w:cs="Times New Roman"/>
          <w:sz w:val="32"/>
          <w:szCs w:val="32"/>
        </w:rPr>
        <w:t>罚则额度低、覆盖窄、执法主体模糊，对损毁界桩、违规无人机、分区非法活动、科研不报备等常见违法行为缺乏精准处罚依据，与上位法处罚规定不衔接。</w:t>
      </w:r>
    </w:p>
    <w:p w14:paraId="53448418">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为维护国家法治统一，衔接国家现行法律制度，破解保护区管护现实难题，平衡生态保护与原有居民生产生活合法权益，实现生态保护、绿色发展、民生改善相统一，有必要对</w:t>
      </w:r>
      <w:r>
        <w:rPr>
          <w:rFonts w:hint="eastAsia" w:ascii="Times New Roman" w:hAnsi="Times New Roman" w:eastAsia="方正仿宋_GB2312" w:cs="Times New Roman"/>
          <w:sz w:val="32"/>
          <w:szCs w:val="32"/>
          <w:lang w:eastAsia="zh-CN"/>
        </w:rPr>
        <w:t>《办法》进行</w:t>
      </w:r>
      <w:r>
        <w:rPr>
          <w:rFonts w:hint="default" w:ascii="Times New Roman" w:hAnsi="Times New Roman" w:eastAsia="方正仿宋_GB2312" w:cs="Times New Roman"/>
          <w:sz w:val="32"/>
          <w:szCs w:val="32"/>
        </w:rPr>
        <w:t>修订。</w:t>
      </w:r>
    </w:p>
    <w:p w14:paraId="5F6CAC45">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rPr>
        <w:t>二、</w:t>
      </w:r>
      <w:r>
        <w:rPr>
          <w:rFonts w:hint="eastAsia" w:ascii="Times New Roman" w:hAnsi="Times New Roman" w:eastAsia="黑体" w:cs="Times New Roman"/>
          <w:b w:val="0"/>
          <w:bCs w:val="0"/>
          <w:sz w:val="32"/>
          <w:szCs w:val="32"/>
          <w:lang w:eastAsia="zh-CN"/>
        </w:rPr>
        <w:t>修订的主要内容</w:t>
      </w:r>
    </w:p>
    <w:p w14:paraId="4DE6BF0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2312" w:cs="Times New Roman"/>
          <w:kern w:val="0"/>
          <w:sz w:val="32"/>
          <w:szCs w:val="32"/>
          <w:lang w:val="en-US" w:eastAsia="zh-CN" w:bidi="ar"/>
        </w:rPr>
      </w:pPr>
      <w:r>
        <w:rPr>
          <w:rFonts w:hint="default" w:ascii="Times New Roman" w:hAnsi="Times New Roman" w:eastAsia="方正仿宋_GB2312" w:cs="Times New Roman"/>
          <w:kern w:val="0"/>
          <w:sz w:val="32"/>
          <w:szCs w:val="32"/>
          <w:lang w:val="en-US" w:eastAsia="zh-CN" w:bidi="ar"/>
        </w:rPr>
        <w:t>本次修订坚持</w:t>
      </w:r>
      <w:r>
        <w:rPr>
          <w:rFonts w:hint="eastAsia" w:ascii="Times New Roman" w:hAnsi="Times New Roman" w:eastAsia="方正仿宋_GB2312" w:cs="Times New Roman"/>
          <w:kern w:val="0"/>
          <w:sz w:val="32"/>
          <w:szCs w:val="32"/>
          <w:lang w:val="en-US" w:eastAsia="zh-CN" w:bidi="ar"/>
        </w:rPr>
        <w:t>“</w:t>
      </w:r>
      <w:r>
        <w:rPr>
          <w:rFonts w:hint="default" w:ascii="Times New Roman" w:hAnsi="Times New Roman" w:eastAsia="方正仿宋_GB2312" w:cs="Times New Roman"/>
          <w:kern w:val="0"/>
          <w:sz w:val="32"/>
          <w:szCs w:val="32"/>
          <w:lang w:val="en-US" w:eastAsia="zh-CN" w:bidi="ar"/>
        </w:rPr>
        <w:t>严格保护、科学管控、合理利用、多方参与，生态保护优先，统筹社区协同发展</w:t>
      </w:r>
      <w:r>
        <w:rPr>
          <w:rFonts w:hint="eastAsia" w:ascii="Times New Roman" w:hAnsi="Times New Roman" w:eastAsia="方正仿宋_GB2312" w:cs="Times New Roman"/>
          <w:kern w:val="0"/>
          <w:sz w:val="32"/>
          <w:szCs w:val="32"/>
          <w:lang w:val="en-US" w:eastAsia="zh-CN" w:bidi="ar"/>
        </w:rPr>
        <w:t>”</w:t>
      </w:r>
      <w:r>
        <w:rPr>
          <w:rFonts w:hint="default" w:ascii="Times New Roman" w:hAnsi="Times New Roman" w:eastAsia="方正仿宋_GB2312" w:cs="Times New Roman"/>
          <w:kern w:val="0"/>
          <w:sz w:val="32"/>
          <w:szCs w:val="32"/>
          <w:lang w:val="en-US" w:eastAsia="zh-CN" w:bidi="ar"/>
        </w:rPr>
        <w:t>总体思路，落实生态保护第一、统筹保护和发展的法定原则，</w:t>
      </w:r>
      <w:r>
        <w:rPr>
          <w:rFonts w:hint="default" w:ascii="Times New Roman" w:hAnsi="Times New Roman" w:eastAsia="方正仿宋_GB2312" w:cs="Times New Roman"/>
          <w:b w:val="0"/>
          <w:bCs w:val="0"/>
          <w:kern w:val="0"/>
          <w:sz w:val="32"/>
          <w:szCs w:val="32"/>
          <w:lang w:val="en-US" w:eastAsia="zh-CN" w:bidi="ar"/>
        </w:rPr>
        <w:t>重点把握落实上位法新要求</w:t>
      </w:r>
      <w:r>
        <w:rPr>
          <w:rFonts w:hint="eastAsia" w:ascii="Times New Roman" w:hAnsi="Times New Roman" w:eastAsia="方正仿宋_GB2312" w:cs="Times New Roman"/>
          <w:b w:val="0"/>
          <w:bCs w:val="0"/>
          <w:kern w:val="0"/>
          <w:sz w:val="32"/>
          <w:szCs w:val="32"/>
          <w:lang w:val="en-US" w:eastAsia="zh-CN" w:bidi="ar"/>
        </w:rPr>
        <w:t>、</w:t>
      </w:r>
      <w:r>
        <w:rPr>
          <w:rFonts w:hint="default" w:ascii="Times New Roman" w:hAnsi="Times New Roman" w:eastAsia="方正仿宋_GB2312" w:cs="Times New Roman"/>
          <w:kern w:val="0"/>
          <w:sz w:val="32"/>
          <w:szCs w:val="32"/>
          <w:lang w:val="en-US" w:eastAsia="zh-CN" w:bidi="ar"/>
        </w:rPr>
        <w:t>厘清各方权责、补齐制度短板、兼顾群众权益四个</w:t>
      </w:r>
      <w:r>
        <w:rPr>
          <w:rFonts w:hint="eastAsia" w:ascii="Times New Roman" w:hAnsi="Times New Roman" w:eastAsia="方正仿宋_GB2312" w:cs="Times New Roman"/>
          <w:kern w:val="0"/>
          <w:sz w:val="32"/>
          <w:szCs w:val="32"/>
          <w:lang w:val="en-US" w:eastAsia="zh-CN" w:bidi="ar"/>
        </w:rPr>
        <w:t>方面</w:t>
      </w:r>
      <w:r>
        <w:rPr>
          <w:rFonts w:hint="default" w:ascii="Times New Roman" w:hAnsi="Times New Roman" w:eastAsia="方正仿宋_GB2312" w:cs="Times New Roman"/>
          <w:kern w:val="0"/>
          <w:sz w:val="32"/>
          <w:szCs w:val="32"/>
          <w:lang w:val="en-US" w:eastAsia="zh-CN" w:bidi="ar"/>
        </w:rPr>
        <w:t>。《云南会泽黑颈鹤国家级自然保护区管理办法（修订草案）》共26条，不设章节，修订具体内容如下：</w:t>
      </w:r>
    </w:p>
    <w:p w14:paraId="02DC9033">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方正仿宋_GB2312" w:cs="Times New Roman"/>
          <w:b w:val="0"/>
          <w:bCs w:val="0"/>
          <w:kern w:val="0"/>
          <w:sz w:val="32"/>
          <w:szCs w:val="32"/>
          <w:lang w:val="en-US" w:eastAsia="zh-CN" w:bidi="ar"/>
        </w:rPr>
      </w:pPr>
      <w:r>
        <w:rPr>
          <w:rFonts w:hint="eastAsia" w:ascii="方正楷体_GBK" w:hAnsi="方正楷体_GBK" w:eastAsia="方正楷体_GBK" w:cs="方正楷体_GBK"/>
          <w:b w:val="0"/>
          <w:bCs w:val="0"/>
          <w:kern w:val="0"/>
          <w:sz w:val="32"/>
          <w:szCs w:val="32"/>
          <w:lang w:val="en-US" w:eastAsia="zh-CN" w:bidi="ar"/>
        </w:rPr>
        <w:t>（一）关于总则性内容</w:t>
      </w:r>
      <w:r>
        <w:rPr>
          <w:rFonts w:hint="default" w:ascii="Times New Roman" w:hAnsi="Times New Roman" w:eastAsia="方正仿宋_GB2312" w:cs="Times New Roman"/>
          <w:b w:val="0"/>
          <w:bCs w:val="0"/>
          <w:kern w:val="0"/>
          <w:sz w:val="32"/>
          <w:szCs w:val="32"/>
          <w:lang w:val="en-US" w:eastAsia="zh-CN" w:bidi="ar"/>
        </w:rPr>
        <w:t>。第一条至第四条对立法目的、适用范围、保护区类型和主要保护对象、管理体制基本原则等作了规定，明确保护区由大桥片区、长海子片区组成及界线标志物设置维护责任。</w:t>
      </w:r>
    </w:p>
    <w:p w14:paraId="481FC6C2">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方正仿宋_GB2312" w:cs="Times New Roman"/>
          <w:b w:val="0"/>
          <w:bCs w:val="0"/>
          <w:kern w:val="0"/>
          <w:sz w:val="32"/>
          <w:szCs w:val="32"/>
          <w:lang w:val="en-US" w:eastAsia="zh-CN" w:bidi="ar"/>
        </w:rPr>
      </w:pPr>
      <w:r>
        <w:rPr>
          <w:rFonts w:hint="eastAsia" w:ascii="方正楷体_GBK" w:hAnsi="方正楷体_GBK" w:eastAsia="方正楷体_GBK" w:cs="方正楷体_GBK"/>
          <w:b w:val="0"/>
          <w:bCs w:val="0"/>
          <w:kern w:val="0"/>
          <w:sz w:val="32"/>
          <w:szCs w:val="32"/>
          <w:lang w:val="en-US" w:eastAsia="zh-CN" w:bidi="ar"/>
        </w:rPr>
        <w:t>（二）关于管理体制与保障制度</w:t>
      </w:r>
      <w:r>
        <w:rPr>
          <w:rFonts w:hint="default" w:ascii="Times New Roman" w:hAnsi="Times New Roman" w:eastAsia="方正仿宋_GB2312" w:cs="Times New Roman"/>
          <w:b w:val="0"/>
          <w:bCs w:val="0"/>
          <w:kern w:val="0"/>
          <w:sz w:val="32"/>
          <w:szCs w:val="32"/>
          <w:lang w:val="en-US" w:eastAsia="zh-CN" w:bidi="ar"/>
        </w:rPr>
        <w:t>。第五条至第十一条对市、县两级人民政府及其有关部门职责、保护区管理机构职责进行了修订，明确经费保障、社会捐赠管理、公众举报、保护宣传周、表彰奖励、社区共管及境内外合作等制度。</w:t>
      </w:r>
    </w:p>
    <w:p w14:paraId="213FBE2C">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方正仿宋_GB2312" w:cs="Times New Roman"/>
          <w:b w:val="0"/>
          <w:bCs w:val="0"/>
          <w:kern w:val="0"/>
          <w:sz w:val="32"/>
          <w:szCs w:val="32"/>
          <w:lang w:val="en-US" w:eastAsia="zh-CN" w:bidi="ar"/>
        </w:rPr>
      </w:pPr>
      <w:r>
        <w:rPr>
          <w:rFonts w:hint="eastAsia" w:ascii="方正楷体_GBK" w:hAnsi="方正楷体_GBK" w:eastAsia="方正楷体_GBK" w:cs="方正楷体_GBK"/>
          <w:b w:val="0"/>
          <w:bCs w:val="0"/>
          <w:kern w:val="0"/>
          <w:sz w:val="32"/>
          <w:szCs w:val="32"/>
          <w:lang w:val="en-US" w:eastAsia="zh-CN" w:bidi="ar"/>
        </w:rPr>
        <w:t>（三）关于分区管控与季节性差别管控</w:t>
      </w:r>
      <w:r>
        <w:rPr>
          <w:rFonts w:hint="default" w:ascii="Times New Roman" w:hAnsi="Times New Roman" w:eastAsia="方正仿宋_GB2312" w:cs="Times New Roman"/>
          <w:b w:val="0"/>
          <w:bCs w:val="0"/>
          <w:kern w:val="0"/>
          <w:sz w:val="32"/>
          <w:szCs w:val="32"/>
          <w:lang w:val="en-US" w:eastAsia="zh-CN" w:bidi="ar"/>
        </w:rPr>
        <w:t>。第十二条至第十五条对分区管控制度作了修订，将传统</w:t>
      </w:r>
      <w:r>
        <w:rPr>
          <w:rFonts w:hint="eastAsia" w:ascii="Times New Roman" w:hAnsi="Times New Roman" w:eastAsia="方正仿宋_GB2312" w:cs="Times New Roman"/>
          <w:b w:val="0"/>
          <w:bCs w:val="0"/>
          <w:kern w:val="0"/>
          <w:sz w:val="32"/>
          <w:szCs w:val="32"/>
          <w:lang w:val="en-US" w:eastAsia="zh-CN" w:bidi="ar"/>
        </w:rPr>
        <w:t>“</w:t>
      </w:r>
      <w:r>
        <w:rPr>
          <w:rFonts w:hint="default" w:ascii="Times New Roman" w:hAnsi="Times New Roman" w:eastAsia="方正仿宋_GB2312" w:cs="Times New Roman"/>
          <w:b w:val="0"/>
          <w:bCs w:val="0"/>
          <w:kern w:val="0"/>
          <w:sz w:val="32"/>
          <w:szCs w:val="32"/>
          <w:lang w:val="en-US" w:eastAsia="zh-CN" w:bidi="ar"/>
        </w:rPr>
        <w:t>三区</w:t>
      </w:r>
      <w:r>
        <w:rPr>
          <w:rFonts w:hint="eastAsia" w:ascii="Times New Roman" w:hAnsi="Times New Roman" w:eastAsia="方正仿宋_GB2312" w:cs="Times New Roman"/>
          <w:b w:val="0"/>
          <w:bCs w:val="0"/>
          <w:kern w:val="0"/>
          <w:sz w:val="32"/>
          <w:szCs w:val="32"/>
          <w:lang w:val="en-US" w:eastAsia="zh-CN" w:bidi="ar"/>
        </w:rPr>
        <w:t>”修改</w:t>
      </w:r>
      <w:r>
        <w:rPr>
          <w:rFonts w:hint="default" w:ascii="Times New Roman" w:hAnsi="Times New Roman" w:eastAsia="方正仿宋_GB2312" w:cs="Times New Roman"/>
          <w:b w:val="0"/>
          <w:bCs w:val="0"/>
          <w:kern w:val="0"/>
          <w:sz w:val="32"/>
          <w:szCs w:val="32"/>
          <w:lang w:val="en-US" w:eastAsia="zh-CN" w:bidi="ar"/>
        </w:rPr>
        <w:t>为核心保护区、一般控制区</w:t>
      </w:r>
      <w:r>
        <w:rPr>
          <w:rFonts w:hint="eastAsia" w:ascii="Times New Roman" w:hAnsi="Times New Roman" w:eastAsia="方正仿宋_GB2312" w:cs="Times New Roman"/>
          <w:b w:val="0"/>
          <w:bCs w:val="0"/>
          <w:kern w:val="0"/>
          <w:sz w:val="32"/>
          <w:szCs w:val="32"/>
          <w:lang w:val="en-US" w:eastAsia="zh-CN" w:bidi="ar"/>
        </w:rPr>
        <w:t>“两区”</w:t>
      </w:r>
      <w:r>
        <w:rPr>
          <w:rFonts w:hint="default" w:ascii="Times New Roman" w:hAnsi="Times New Roman" w:eastAsia="方正仿宋_GB2312" w:cs="Times New Roman"/>
          <w:b w:val="0"/>
          <w:bCs w:val="0"/>
          <w:kern w:val="0"/>
          <w:sz w:val="32"/>
          <w:szCs w:val="32"/>
          <w:lang w:val="en-US" w:eastAsia="zh-CN" w:bidi="ar"/>
        </w:rPr>
        <w:t>，实行正面清单管控；新增越冬期、非越冬期动态管控制度，明确非越冬期实行季节性差别管控。</w:t>
      </w:r>
    </w:p>
    <w:p w14:paraId="7BB62405">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方正仿宋_GB2312" w:cs="Times New Roman"/>
          <w:b w:val="0"/>
          <w:bCs w:val="0"/>
          <w:kern w:val="0"/>
          <w:sz w:val="32"/>
          <w:szCs w:val="32"/>
          <w:lang w:val="en-US" w:eastAsia="zh-CN" w:bidi="ar"/>
        </w:rPr>
      </w:pPr>
      <w:r>
        <w:rPr>
          <w:rFonts w:hint="eastAsia" w:ascii="方正楷体_GBK" w:hAnsi="方正楷体_GBK" w:eastAsia="方正楷体_GBK" w:cs="方正楷体_GBK"/>
          <w:b w:val="0"/>
          <w:bCs w:val="0"/>
          <w:kern w:val="0"/>
          <w:sz w:val="32"/>
          <w:szCs w:val="32"/>
          <w:lang w:val="en-US" w:eastAsia="zh-CN" w:bidi="ar"/>
        </w:rPr>
        <w:t>（四）关于针对性管控措施</w:t>
      </w:r>
      <w:r>
        <w:rPr>
          <w:rFonts w:hint="default" w:ascii="Times New Roman" w:hAnsi="Times New Roman" w:eastAsia="方正仿宋_GB2312" w:cs="Times New Roman"/>
          <w:b w:val="0"/>
          <w:bCs w:val="0"/>
          <w:kern w:val="0"/>
          <w:sz w:val="32"/>
          <w:szCs w:val="32"/>
          <w:lang w:val="en-US" w:eastAsia="zh-CN" w:bidi="ar"/>
        </w:rPr>
        <w:t>。第十六条至第十九条对无人机管控、农业面源污染防控、外来物种引进、建设项目环评和</w:t>
      </w:r>
      <w:r>
        <w:rPr>
          <w:rFonts w:hint="eastAsia" w:ascii="Times New Roman" w:hAnsi="Times New Roman" w:eastAsia="方正仿宋_GB2312" w:cs="Times New Roman"/>
          <w:b w:val="0"/>
          <w:bCs w:val="0"/>
          <w:kern w:val="0"/>
          <w:sz w:val="32"/>
          <w:szCs w:val="32"/>
          <w:lang w:val="en-US" w:eastAsia="zh-CN" w:bidi="ar"/>
        </w:rPr>
        <w:t>“</w:t>
      </w:r>
      <w:r>
        <w:rPr>
          <w:rFonts w:hint="default" w:ascii="Times New Roman" w:hAnsi="Times New Roman" w:eastAsia="方正仿宋_GB2312" w:cs="Times New Roman"/>
          <w:b w:val="0"/>
          <w:bCs w:val="0"/>
          <w:kern w:val="0"/>
          <w:sz w:val="32"/>
          <w:szCs w:val="32"/>
          <w:lang w:val="en-US" w:eastAsia="zh-CN" w:bidi="ar"/>
        </w:rPr>
        <w:t>三同时</w:t>
      </w:r>
      <w:r>
        <w:rPr>
          <w:rFonts w:hint="eastAsia" w:ascii="Times New Roman" w:hAnsi="Times New Roman" w:eastAsia="方正仿宋_GB2312" w:cs="Times New Roman"/>
          <w:b w:val="0"/>
          <w:bCs w:val="0"/>
          <w:kern w:val="0"/>
          <w:sz w:val="32"/>
          <w:szCs w:val="32"/>
          <w:lang w:val="en-US" w:eastAsia="zh-CN" w:bidi="ar"/>
        </w:rPr>
        <w:t>”</w:t>
      </w:r>
      <w:r>
        <w:rPr>
          <w:rFonts w:hint="default" w:ascii="Times New Roman" w:hAnsi="Times New Roman" w:eastAsia="方正仿宋_GB2312" w:cs="Times New Roman"/>
          <w:b w:val="0"/>
          <w:bCs w:val="0"/>
          <w:kern w:val="0"/>
          <w:sz w:val="32"/>
          <w:szCs w:val="32"/>
          <w:lang w:val="en-US" w:eastAsia="zh-CN" w:bidi="ar"/>
        </w:rPr>
        <w:t>、电力通信设施隐患改造、机动车通行管控等作了</w:t>
      </w:r>
      <w:r>
        <w:rPr>
          <w:rFonts w:hint="eastAsia" w:ascii="Times New Roman" w:hAnsi="Times New Roman" w:eastAsia="方正仿宋_GB2312" w:cs="Times New Roman"/>
          <w:b w:val="0"/>
          <w:bCs w:val="0"/>
          <w:kern w:val="0"/>
          <w:sz w:val="32"/>
          <w:szCs w:val="32"/>
          <w:lang w:val="en-US" w:eastAsia="zh-CN" w:bidi="ar"/>
        </w:rPr>
        <w:t>细化</w:t>
      </w:r>
      <w:r>
        <w:rPr>
          <w:rFonts w:hint="default" w:ascii="Times New Roman" w:hAnsi="Times New Roman" w:eastAsia="方正仿宋_GB2312" w:cs="Times New Roman"/>
          <w:b w:val="0"/>
          <w:bCs w:val="0"/>
          <w:kern w:val="0"/>
          <w:sz w:val="32"/>
          <w:szCs w:val="32"/>
          <w:lang w:val="en-US" w:eastAsia="zh-CN" w:bidi="ar"/>
        </w:rPr>
        <w:t>和补充。</w:t>
      </w:r>
    </w:p>
    <w:p w14:paraId="79327712">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方正仿宋_GB2312" w:cs="Times New Roman"/>
          <w:b w:val="0"/>
          <w:bCs w:val="0"/>
          <w:kern w:val="0"/>
          <w:sz w:val="32"/>
          <w:szCs w:val="32"/>
          <w:lang w:val="en-US" w:eastAsia="zh-CN" w:bidi="ar"/>
        </w:rPr>
      </w:pPr>
      <w:r>
        <w:rPr>
          <w:rFonts w:hint="eastAsia" w:ascii="方正楷体_GBK" w:hAnsi="方正楷体_GBK" w:eastAsia="方正楷体_GBK" w:cs="方正楷体_GBK"/>
          <w:b w:val="0"/>
          <w:bCs w:val="0"/>
          <w:kern w:val="0"/>
          <w:sz w:val="32"/>
          <w:szCs w:val="32"/>
          <w:lang w:val="en-US" w:eastAsia="zh-CN" w:bidi="ar"/>
        </w:rPr>
        <w:t>（五）关于民生保障与野生动物救护</w:t>
      </w:r>
      <w:r>
        <w:rPr>
          <w:rFonts w:hint="default" w:ascii="Times New Roman" w:hAnsi="Times New Roman" w:eastAsia="方正仿宋_GB2312" w:cs="Times New Roman"/>
          <w:b w:val="0"/>
          <w:bCs w:val="0"/>
          <w:kern w:val="0"/>
          <w:sz w:val="32"/>
          <w:szCs w:val="32"/>
          <w:lang w:val="en-US" w:eastAsia="zh-CN" w:bidi="ar"/>
        </w:rPr>
        <w:t>。第二十条至第二十一条对野生动物致害补偿、收容救护流程和救护设施建设等作了修订完善。</w:t>
      </w:r>
    </w:p>
    <w:p w14:paraId="5E826016">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方正仿宋_GB2312" w:cs="Times New Roman"/>
          <w:b w:val="0"/>
          <w:bCs w:val="0"/>
          <w:kern w:val="0"/>
          <w:sz w:val="32"/>
          <w:szCs w:val="32"/>
          <w:lang w:val="en-US" w:eastAsia="zh-CN" w:bidi="ar"/>
        </w:rPr>
      </w:pPr>
      <w:r>
        <w:rPr>
          <w:rFonts w:hint="eastAsia" w:ascii="方正楷体_GBK" w:hAnsi="方正楷体_GBK" w:eastAsia="方正楷体_GBK" w:cs="方正楷体_GBK"/>
          <w:b w:val="0"/>
          <w:bCs w:val="0"/>
          <w:kern w:val="0"/>
          <w:sz w:val="32"/>
          <w:szCs w:val="32"/>
          <w:lang w:val="en-US" w:eastAsia="zh-CN" w:bidi="ar"/>
        </w:rPr>
        <w:t>（六）关于法律责任。</w:t>
      </w:r>
      <w:r>
        <w:rPr>
          <w:rFonts w:hint="default" w:ascii="Times New Roman" w:hAnsi="Times New Roman" w:eastAsia="方正仿宋_GB2312" w:cs="Times New Roman"/>
          <w:b w:val="0"/>
          <w:bCs w:val="0"/>
          <w:kern w:val="0"/>
          <w:sz w:val="32"/>
          <w:szCs w:val="32"/>
          <w:lang w:val="en-US" w:eastAsia="zh-CN" w:bidi="ar"/>
        </w:rPr>
        <w:t>第二十二条至第二十五条对处罚援引、劝阻制止、案件移送反馈、国家工作人员责任等作了修订，上位法已有处罚规定的不重复设置行政处罚。</w:t>
      </w:r>
    </w:p>
    <w:p w14:paraId="18F7D030">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b w:val="0"/>
          <w:bCs w:val="0"/>
          <w:kern w:val="0"/>
          <w:sz w:val="32"/>
          <w:szCs w:val="32"/>
          <w:lang w:val="en-US" w:eastAsia="zh-CN" w:bidi="ar"/>
        </w:rPr>
        <w:t>（七）关于施行日期。</w:t>
      </w:r>
      <w:r>
        <w:rPr>
          <w:rFonts w:hint="default" w:ascii="Times New Roman" w:hAnsi="Times New Roman" w:eastAsia="方正仿宋_GB2312" w:cs="Times New Roman"/>
          <w:b w:val="0"/>
          <w:bCs w:val="0"/>
          <w:kern w:val="0"/>
          <w:sz w:val="32"/>
          <w:szCs w:val="32"/>
          <w:lang w:val="en-US" w:eastAsia="zh-CN" w:bidi="ar"/>
        </w:rPr>
        <w:t>第二十六条</w:t>
      </w:r>
      <w:r>
        <w:rPr>
          <w:rFonts w:hint="eastAsia" w:ascii="Times New Roman" w:hAnsi="Times New Roman" w:eastAsia="方正仿宋_GB2312" w:cs="Times New Roman"/>
          <w:b w:val="0"/>
          <w:bCs w:val="0"/>
          <w:kern w:val="0"/>
          <w:sz w:val="32"/>
          <w:szCs w:val="32"/>
          <w:lang w:val="en-US" w:eastAsia="zh-CN" w:bidi="ar"/>
        </w:rPr>
        <w:t>规定</w:t>
      </w:r>
      <w:r>
        <w:rPr>
          <w:rFonts w:hint="default" w:ascii="Times New Roman" w:hAnsi="Times New Roman" w:eastAsia="方正仿宋_GB2312" w:cs="Times New Roman"/>
          <w:b w:val="0"/>
          <w:bCs w:val="0"/>
          <w:kern w:val="0"/>
          <w:sz w:val="32"/>
          <w:szCs w:val="32"/>
          <w:lang w:val="en-US" w:eastAsia="zh-CN" w:bidi="ar"/>
        </w:rPr>
        <w:t>办法施行日期。</w:t>
      </w:r>
    </w:p>
    <w:p w14:paraId="4F7F7EE0"/>
    <w:p w14:paraId="426BB8DD"/>
    <w:sectPr>
      <w:footerReference r:id="rId5" w:type="default"/>
      <w:pgSz w:w="11906" w:h="16838"/>
      <w:pgMar w:top="2098" w:right="1474" w:bottom="1984" w:left="1587" w:header="851" w:footer="1474"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2000000000000000000"/>
    <w:charset w:val="86"/>
    <w:family w:val="auto"/>
    <w:pitch w:val="default"/>
    <w:sig w:usb0="00000001" w:usb1="08000000" w:usb2="00000000" w:usb3="00000000" w:csb0="00040000" w:csb1="00000000"/>
  </w:font>
  <w:font w:name="方正黑体_GBK">
    <w:altName w:val="Arial Unicode MS"/>
    <w:panose1 w:val="02000000000000000000"/>
    <w:charset w:val="86"/>
    <w:family w:val="auto"/>
    <w:pitch w:val="default"/>
    <w:sig w:usb0="00000001" w:usb1="08000000" w:usb2="00000000" w:usb3="00000000" w:csb0="00040000" w:csb1="00000000"/>
  </w:font>
  <w:font w:name="方正楷体_GBK">
    <w:altName w:val="Arial Unicode MS"/>
    <w:panose1 w:val="03000509000000000000"/>
    <w:charset w:val="86"/>
    <w:family w:val="auto"/>
    <w:pitch w:val="default"/>
    <w:sig w:usb0="00000001" w:usb1="080E0000" w:usb2="00000000" w:usb3="00000000" w:csb0="00040000" w:csb1="00000000"/>
  </w:font>
  <w:font w:name="方正小标宋_GBK">
    <w:altName w:val="Arial Unicode MS"/>
    <w:panose1 w:val="03000509000000000000"/>
    <w:charset w:val="86"/>
    <w:family w:val="auto"/>
    <w:pitch w:val="default"/>
    <w:sig w:usb0="00000001" w:usb1="080E0000" w:usb2="00000000" w:usb3="00000000" w:csb0="00040000" w:csb1="00000000"/>
  </w:font>
  <w:font w:name="方正小标宋简体">
    <w:altName w:val="Arial Unicode MS"/>
    <w:panose1 w:val="02000000000000000000"/>
    <w:charset w:val="86"/>
    <w:family w:val="auto"/>
    <w:pitch w:val="default"/>
    <w:sig w:usb0="A00002BF" w:usb1="184F6CFA" w:usb2="00000012" w:usb3="00000000" w:csb0="00040001" w:csb1="00000000"/>
  </w:font>
  <w:font w:name="方正仿宋_GB2312">
    <w:altName w:val="仿宋"/>
    <w:panose1 w:val="02000000000000000000"/>
    <w:charset w:val="00"/>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EB432">
    <w:pPr>
      <w:pStyle w:val="4"/>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E6A4540">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EPMeEBAADMAwAADgAAAGRycy9lMm9Eb2MueG1srVPNjtMwEL4j8Q6W&#10;7zRpD6iKmq6AahESAqSFB3Adp7FkeyyP26Q8ALwBJy7cea4+B2Mn6S7LZQ9ckvnzN/N9Hm9uBmvY&#10;SQXU4Gq+XJScKSeh0e5Q8y+fb1+sOcMoXCMMOFXzs0J+s33+bNP7Sq2gA9OowAjEYdX7mncx+qoo&#10;UHbKClyAV46SLQQrIrnhUDRB9IRuTbEqy5dFD6HxAaRCpOhuTPIJMTwFENpWS7UDebTKxRE1KCMi&#10;UcJOe+TbPG3bKhk/ti2qyEzNiWnMX2pC9j59i+1GVIcgfKflNIJ4ygiPOFmhHTW9Qu1EFOwY9D9Q&#10;VssACG1cSLDFSCQrQiyW5SNt7jrhVeZCUqO/io7/D1Z+OH0KTDe0CZw5YenCLz++X37+vvz6xpZJ&#10;nt5jRVV3nuri8BqGVDrFkYKJ9dAGm/7Eh1GexD1fxVVDZDIdWq/W65JSknKzQzjF/XEfML5VYFky&#10;ah7o9rKo4vQe41g6l6RuDm61MRQXlXF/BQhzjKi8AtPpxGScOFlx2A8TjT00Z2JHj4K6dhC+ctbT&#10;StTc0QvgzLxzpHjantkIs7GfDeEkHax55Gw038Rxy44+6EOX9y6NiP7VMdLcmU4aY+xNMiSHLjkL&#10;Mi1k2qKHfq66f4T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esQ8x4QEAAMwDAAAOAAAA&#10;AAAAAAEAIAAAAB4BAABkcnMvZTJvRG9jLnhtbFBLBQYAAAAABgAGAFkBAABxBQAAAAA=&#10;">
              <v:fill on="f" focussize="0,0"/>
              <v:stroke on="f"/>
              <v:imagedata o:title=""/>
              <o:lock v:ext="edit" aspectratio="f"/>
              <v:textbox inset="0mm,0mm,0mm,0mm" style="mso-fit-shape-to-text:t;">
                <w:txbxContent>
                  <w:p w14:paraId="2E6A4540">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E475D"/>
    <w:rsid w:val="2FF7521F"/>
    <w:rsid w:val="3EDA577A"/>
    <w:rsid w:val="3FFE475D"/>
    <w:rsid w:val="5BAAB827"/>
    <w:rsid w:val="61A7674D"/>
    <w:rsid w:val="7FFC5C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Times New Roman" w:hAnsi="Times New Roman" w:eastAsia="方正仿宋_GBK" w:cs="Times New Roman"/>
      <w:kern w:val="2"/>
      <w:sz w:val="32"/>
      <w:szCs w:val="24"/>
      <w:lang w:val="en-US" w:eastAsia="zh-CN" w:bidi="ar-SA"/>
    </w:rPr>
  </w:style>
  <w:style w:type="paragraph" w:styleId="2">
    <w:name w:val="heading 1"/>
    <w:basedOn w:val="1"/>
    <w:next w:val="1"/>
    <w:qFormat/>
    <w:uiPriority w:val="0"/>
    <w:pPr>
      <w:keepNext w:val="0"/>
      <w:keepLines/>
      <w:spacing w:beforeLines="0" w:beforeAutospacing="0" w:afterLines="0" w:afterAutospacing="0" w:line="560" w:lineRule="exact"/>
      <w:outlineLvl w:val="0"/>
    </w:pPr>
    <w:rPr>
      <w:rFonts w:eastAsia="方正黑体_GBK"/>
      <w:kern w:val="44"/>
      <w:sz w:val="32"/>
    </w:rPr>
  </w:style>
  <w:style w:type="paragraph" w:styleId="3">
    <w:name w:val="heading 2"/>
    <w:basedOn w:val="1"/>
    <w:next w:val="1"/>
    <w:unhideWhenUsed/>
    <w:qFormat/>
    <w:uiPriority w:val="0"/>
    <w:pPr>
      <w:keepNext w:val="0"/>
      <w:keepLines/>
      <w:spacing w:beforeLines="0" w:beforeAutospacing="0" w:afterLines="0" w:afterAutospacing="0" w:line="560" w:lineRule="exact"/>
      <w:outlineLvl w:val="1"/>
    </w:pPr>
    <w:rPr>
      <w:rFonts w:ascii="Times New Roman" w:hAnsi="Times New Roman" w:eastAsia="方正楷体_GBK"/>
    </w:rPr>
  </w:style>
  <w:style w:type="character" w:default="1" w:styleId="7">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spacing w:line="240" w:lineRule="auto"/>
      <w:ind w:firstLine="0" w:firstLineChars="0"/>
      <w:jc w:val="left"/>
    </w:pPr>
    <w:rPr>
      <w:rFonts w:ascii="宋体" w:hAnsi="宋体" w:eastAsia="宋体"/>
      <w:sz w:val="28"/>
    </w:rPr>
  </w:style>
  <w:style w:type="paragraph" w:styleId="5">
    <w:name w:val="Normal (Web)"/>
    <w:basedOn w:val="1"/>
    <w:qFormat/>
    <w:uiPriority w:val="0"/>
    <w:rPr>
      <w:sz w:val="24"/>
    </w:rPr>
  </w:style>
  <w:style w:type="paragraph" w:customStyle="1" w:styleId="8">
    <w:name w:val="正文标题"/>
    <w:basedOn w:val="1"/>
    <w:qFormat/>
    <w:uiPriority w:val="0"/>
    <w:pPr>
      <w:ind w:firstLine="0" w:firstLineChars="0"/>
      <w:jc w:val="center"/>
    </w:pPr>
    <w:rPr>
      <w:rFonts w:ascii="Times New Roman" w:hAnsi="Times New Roman" w:eastAsia="方正小标宋_GBK"/>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550</Words>
  <Characters>565</Characters>
  <Lines>0</Lines>
  <Paragraphs>0</Paragraphs>
  <TotalTime>0</TotalTime>
  <ScaleCrop>false</ScaleCrop>
  <LinksUpToDate>false</LinksUpToDate>
  <CharactersWithSpaces>565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2026-10-28T15:58:00Z</dcterms:created>
  <dc:creator>段葳</dc:creator>
  <cp:lastModifiedBy>郭丽娜</cp:lastModifiedBy>
  <dcterms:modified xsi:type="dcterms:W3CDTF">2026-10-28T08:57:52Z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E1B30E6B306B4535BA074852BD9E1BA3_13</vt:lpwstr>
  </property>
</Properties>
</file>