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62A10A">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黑体" w:hAnsi="黑体" w:eastAsia="黑体" w:cs="黑体"/>
          <w:color w:val="auto"/>
          <w:szCs w:val="32"/>
          <w:lang w:val="en-US" w:eastAsia="zh-CN"/>
        </w:rPr>
      </w:pPr>
      <w:bookmarkStart w:id="0" w:name="_GoBack"/>
      <w:bookmarkEnd w:id="0"/>
      <w:r>
        <w:rPr>
          <w:rFonts w:hint="default"/>
          <w:lang w:val="en-US" w:eastAsia="zh-CN"/>
        </w:rPr>
        <w:t>附件1</w:t>
      </w:r>
    </w:p>
    <w:p w14:paraId="05319FD6">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lang w:val="en-US" w:eastAsia="zh-CN"/>
        </w:rPr>
      </w:pPr>
    </w:p>
    <w:p w14:paraId="0770144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eastAsia" w:ascii="方正小标宋_GBK" w:hAnsi="方正小标宋_GBK" w:eastAsia="方正小标宋_GBK" w:cs="方正小标宋_GBK"/>
          <w:b w:val="0"/>
          <w:bCs w:val="0"/>
          <w:color w:val="auto"/>
          <w:sz w:val="44"/>
          <w:szCs w:val="44"/>
        </w:rPr>
      </w:pPr>
      <w:r>
        <w:rPr>
          <w:rFonts w:hint="eastAsia" w:ascii="方正小标宋_GBK" w:hAnsi="方正小标宋_GBK" w:eastAsia="方正小标宋_GBK" w:cs="方正小标宋_GBK"/>
          <w:b w:val="0"/>
          <w:bCs w:val="0"/>
          <w:color w:val="auto"/>
          <w:sz w:val="44"/>
          <w:szCs w:val="44"/>
        </w:rPr>
        <w:t>云南会泽黑颈鹤国家级自然保护区管理办法（</w:t>
      </w:r>
      <w:r>
        <w:rPr>
          <w:rFonts w:hint="eastAsia" w:ascii="方正小标宋_GBK" w:hAnsi="方正小标宋_GBK" w:eastAsia="方正小标宋_GBK" w:cs="方正小标宋_GBK"/>
          <w:b w:val="0"/>
          <w:bCs w:val="0"/>
          <w:color w:val="auto"/>
          <w:sz w:val="44"/>
          <w:szCs w:val="44"/>
          <w:lang w:eastAsia="zh-CN"/>
        </w:rPr>
        <w:t>修订草案</w:t>
      </w:r>
      <w:r>
        <w:rPr>
          <w:rFonts w:hint="eastAsia" w:ascii="方正小标宋_GBK" w:hAnsi="方正小标宋_GBK" w:eastAsia="方正小标宋_GBK" w:cs="方正小标宋_GBK"/>
          <w:b w:val="0"/>
          <w:bCs w:val="0"/>
          <w:color w:val="auto"/>
          <w:sz w:val="44"/>
          <w:szCs w:val="44"/>
        </w:rPr>
        <w:t>）</w:t>
      </w:r>
    </w:p>
    <w:p w14:paraId="1DCAFF1D">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方正仿宋_GB2312" w:hAnsi="方正仿宋_GB2312" w:eastAsia="方正仿宋_GB2312" w:cs="方正仿宋_GB2312"/>
          <w:b/>
          <w:bCs/>
          <w:color w:val="auto"/>
          <w:kern w:val="0"/>
          <w:sz w:val="32"/>
          <w:szCs w:val="32"/>
          <w:lang w:val="en-US" w:eastAsia="zh-CN" w:bidi="ar"/>
        </w:rPr>
      </w:pPr>
    </w:p>
    <w:p w14:paraId="7CE6BD9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color w:val="auto"/>
          <w:kern w:val="0"/>
          <w:sz w:val="32"/>
          <w:szCs w:val="32"/>
          <w:lang w:val="en-US" w:eastAsia="zh-CN" w:bidi="ar"/>
        </w:rPr>
        <w:t>为加强云南会泽黑颈鹤国家级自然保护区保护、建设和管理，保护黑颈鹤等国家重点保护野生动物及其栖息生境，维护生物多样性，坚持生态保护第一、统筹保护和发展，加快推进人与自然和谐共生的现代化，根据《中华人民共和国生态环境法典》《中华人民共和国湿地保护法》《中华人民共和国野生动物保护法》《中华人民共和国自然保护区条例》等法律法规，结合保护区实际，制定本办法。</w:t>
      </w:r>
    </w:p>
    <w:p w14:paraId="582711A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b/>
          <w:bCs/>
          <w:color w:val="auto"/>
          <w:kern w:val="0"/>
          <w:sz w:val="32"/>
          <w:szCs w:val="32"/>
          <w:lang w:val="en-US" w:eastAsia="zh-CN" w:bidi="ar"/>
        </w:rPr>
        <w:t xml:space="preserve">第二条 </w:t>
      </w:r>
      <w:r>
        <w:rPr>
          <w:rFonts w:hint="default" w:ascii="Times New Roman" w:hAnsi="Times New Roman" w:eastAsia="方正仿宋_GBK" w:cs="Times New Roman"/>
          <w:color w:val="auto"/>
          <w:kern w:val="0"/>
          <w:sz w:val="32"/>
          <w:szCs w:val="32"/>
          <w:lang w:val="en-US" w:eastAsia="zh-CN" w:bidi="ar"/>
        </w:rPr>
        <w:t>在云南会泽黑颈鹤国家级自然保护区（以下简称保护区）范围内开展的保护、建设、管理及相关活动，适用本办法。法律法规另有规定的，适用其规定。</w:t>
      </w:r>
    </w:p>
    <w:p w14:paraId="7B446D1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b/>
          <w:bCs/>
          <w:color w:val="auto"/>
          <w:kern w:val="0"/>
          <w:sz w:val="32"/>
          <w:szCs w:val="32"/>
          <w:lang w:val="en-US" w:eastAsia="zh-CN" w:bidi="ar"/>
        </w:rPr>
        <w:t xml:space="preserve">第三条 </w:t>
      </w:r>
      <w:r>
        <w:rPr>
          <w:rFonts w:hint="default" w:ascii="Times New Roman" w:hAnsi="Times New Roman" w:eastAsia="方正仿宋_GBK" w:cs="Times New Roman"/>
          <w:color w:val="auto"/>
          <w:kern w:val="0"/>
          <w:sz w:val="32"/>
          <w:szCs w:val="32"/>
          <w:lang w:val="en-US" w:eastAsia="zh-CN" w:bidi="ar"/>
        </w:rPr>
        <w:t>保护区属于野生动物类型国家级自然保护区，主要保护对象为黑颈鹤等国家重点保护野生动物及其栖息生境。保护区由大桥片区、长海子片区组成。</w:t>
      </w:r>
    </w:p>
    <w:p w14:paraId="0F5EA4E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color w:val="auto"/>
          <w:kern w:val="0"/>
          <w:sz w:val="32"/>
          <w:szCs w:val="32"/>
          <w:lang w:val="en-US" w:eastAsia="zh-CN" w:bidi="ar"/>
        </w:rPr>
        <w:t>保护区管理机构应当根据保护和管理需要，及时设置保护区界碑、界桩、电子标识等界线标志物，并负责日常维护。</w:t>
      </w:r>
    </w:p>
    <w:p w14:paraId="51B67C6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b/>
          <w:bCs/>
          <w:color w:val="auto"/>
          <w:kern w:val="0"/>
          <w:sz w:val="32"/>
          <w:szCs w:val="32"/>
          <w:lang w:val="en-US" w:eastAsia="zh-CN" w:bidi="ar"/>
        </w:rPr>
        <w:t xml:space="preserve">第四条 </w:t>
      </w:r>
      <w:r>
        <w:rPr>
          <w:rFonts w:hint="default" w:ascii="Times New Roman" w:hAnsi="Times New Roman" w:eastAsia="方正仿宋_GBK" w:cs="Times New Roman"/>
          <w:color w:val="auto"/>
          <w:kern w:val="0"/>
          <w:sz w:val="32"/>
          <w:szCs w:val="32"/>
          <w:lang w:val="en-US" w:eastAsia="zh-CN" w:bidi="ar"/>
        </w:rPr>
        <w:t>保护区保护、建设与管理应当坚持以人民为中心的发展思想，坚持生态保护第一、统筹保护和发展，坚持因地制宜、突出特色，构建政府主导、多方参与、社会共享的机制，实现生态保护、绿色发展、民生改善相统一。</w:t>
      </w:r>
    </w:p>
    <w:p w14:paraId="49F7BD8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b/>
          <w:bCs/>
          <w:color w:val="auto"/>
          <w:kern w:val="0"/>
          <w:sz w:val="32"/>
          <w:szCs w:val="32"/>
          <w:lang w:val="en-US" w:eastAsia="zh-CN" w:bidi="ar"/>
        </w:rPr>
        <w:t xml:space="preserve">第五条 </w:t>
      </w:r>
      <w:r>
        <w:rPr>
          <w:rFonts w:hint="default" w:ascii="Times New Roman" w:hAnsi="Times New Roman" w:eastAsia="方正仿宋_GBK" w:cs="Times New Roman"/>
          <w:color w:val="auto"/>
          <w:kern w:val="0"/>
          <w:sz w:val="32"/>
          <w:szCs w:val="32"/>
          <w:lang w:val="en-US" w:eastAsia="zh-CN" w:bidi="ar"/>
        </w:rPr>
        <w:t>市、县两级人民政府及其有关主管部门履行保护区管理的下列职责：</w:t>
      </w:r>
    </w:p>
    <w:p w14:paraId="65EDFDD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color w:val="auto"/>
          <w:kern w:val="0"/>
          <w:sz w:val="32"/>
          <w:szCs w:val="32"/>
          <w:lang w:val="en-US" w:eastAsia="zh-CN" w:bidi="ar"/>
        </w:rPr>
        <w:t>（一）曲靖市人民政府统筹协调保护区保护、建设、资金保障、跨部门协同处置工作；市级林业草原、自然资源、生态环境、水行政、公安、农业农村等行政部门，按照职责开展行业监督管理；</w:t>
      </w:r>
    </w:p>
    <w:p w14:paraId="674A4E2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color w:val="auto"/>
          <w:kern w:val="0"/>
          <w:sz w:val="32"/>
          <w:szCs w:val="32"/>
          <w:lang w:val="en-US" w:eastAsia="zh-CN" w:bidi="ar"/>
        </w:rPr>
        <w:t>（二）会泽县人民政府履行属地管理责任，将保护区保护、建设纳入国民经济和社会发展相关规划，完善配套政策措施，推动保护管理规范化，引导多元资金投入；</w:t>
      </w:r>
    </w:p>
    <w:p w14:paraId="2EAA84A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color w:val="auto"/>
          <w:kern w:val="0"/>
          <w:sz w:val="32"/>
          <w:szCs w:val="32"/>
          <w:lang w:val="en-US" w:eastAsia="zh-CN" w:bidi="ar"/>
        </w:rPr>
        <w:t>（三）保护区所在地乡镇人民政府落实生态环境保护要求，组织编制村庄规划，规范建设行为，开展生态环境保护宣传，营造全民保护生物多样性良好氛围。</w:t>
      </w:r>
    </w:p>
    <w:p w14:paraId="1B0CADF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kern w:val="0"/>
          <w:sz w:val="32"/>
          <w:szCs w:val="32"/>
          <w:lang w:val="en-US" w:eastAsia="zh-CN" w:bidi="ar"/>
        </w:rPr>
        <w:t>第六条</w:t>
      </w:r>
      <w:r>
        <w:rPr>
          <w:rFonts w:hint="default" w:ascii="Times New Roman" w:hAnsi="Times New Roman" w:eastAsia="方正仿宋_GBK" w:cs="Times New Roman"/>
          <w:color w:val="auto"/>
          <w:kern w:val="0"/>
          <w:sz w:val="32"/>
          <w:szCs w:val="32"/>
          <w:lang w:val="en-US" w:eastAsia="zh-CN" w:bidi="ar"/>
        </w:rPr>
        <w:t xml:space="preserve"> 保护区管理机构履行下列职责：</w:t>
      </w:r>
    </w:p>
    <w:p w14:paraId="7E6E68E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color w:val="auto"/>
          <w:kern w:val="0"/>
          <w:sz w:val="32"/>
          <w:szCs w:val="32"/>
          <w:lang w:val="en-US" w:eastAsia="zh-CN" w:bidi="ar"/>
        </w:rPr>
        <w:t>（一）宣传贯彻自然保护地、国际重要湿地、野生动物保护等相关法律法规规章；</w:t>
      </w:r>
    </w:p>
    <w:p w14:paraId="7DACF13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color w:val="auto"/>
          <w:kern w:val="0"/>
          <w:sz w:val="32"/>
          <w:szCs w:val="32"/>
          <w:lang w:val="en-US" w:eastAsia="zh-CN" w:bidi="ar"/>
        </w:rPr>
        <w:t>（二）在综合科学考察和专项调查的基础上，编制保护区的相关规划，明确保护和管理的目标任务、保护对象、管理要求、保护措施等事项，并对原有居民生产生活活动等作出安排。组织编制保护区规划，应当广泛听取有关方面意见、深入论证。</w:t>
      </w:r>
    </w:p>
    <w:p w14:paraId="0B6E4D1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color w:val="auto"/>
          <w:kern w:val="0"/>
          <w:sz w:val="32"/>
          <w:szCs w:val="32"/>
          <w:lang w:val="en-US" w:eastAsia="zh-CN" w:bidi="ar"/>
        </w:rPr>
        <w:t>（三）制定并组织实施保护区巡护、调查、监测、研学、自然教育、科普宣教、社区协同发展等管理制度，负责日常保护和管理工作；</w:t>
      </w:r>
    </w:p>
    <w:p w14:paraId="1495A22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color w:val="auto"/>
          <w:kern w:val="0"/>
          <w:sz w:val="32"/>
          <w:szCs w:val="32"/>
          <w:lang w:val="en-US" w:eastAsia="zh-CN" w:bidi="ar"/>
        </w:rPr>
        <w:t>（四）对保护区内的活动进行监督管理；</w:t>
      </w:r>
    </w:p>
    <w:p w14:paraId="255BB88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color w:val="auto"/>
          <w:kern w:val="0"/>
          <w:sz w:val="32"/>
          <w:szCs w:val="32"/>
          <w:lang w:val="en-US" w:eastAsia="zh-CN" w:bidi="ar"/>
        </w:rPr>
        <w:t>（五）组织实施国际国内合作项目，开展国际国内交流合作；</w:t>
      </w:r>
    </w:p>
    <w:p w14:paraId="1E2F254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color w:val="auto"/>
          <w:kern w:val="0"/>
          <w:sz w:val="32"/>
          <w:szCs w:val="32"/>
          <w:lang w:val="en-US" w:eastAsia="zh-CN" w:bidi="ar"/>
        </w:rPr>
        <w:t>（六）法律法规规定的其他职责。</w:t>
      </w:r>
    </w:p>
    <w:p w14:paraId="509D3E6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b/>
          <w:bCs/>
          <w:color w:val="auto"/>
          <w:kern w:val="0"/>
          <w:sz w:val="32"/>
          <w:szCs w:val="32"/>
          <w:lang w:val="en-US" w:eastAsia="zh-CN" w:bidi="ar"/>
        </w:rPr>
        <w:t xml:space="preserve">第七条 </w:t>
      </w:r>
      <w:r>
        <w:rPr>
          <w:rFonts w:hint="default" w:ascii="Times New Roman" w:hAnsi="Times New Roman" w:eastAsia="方正仿宋_GBK" w:cs="Times New Roman"/>
          <w:color w:val="auto"/>
          <w:kern w:val="0"/>
          <w:sz w:val="32"/>
          <w:szCs w:val="32"/>
          <w:lang w:val="en-US" w:eastAsia="zh-CN" w:bidi="ar"/>
        </w:rPr>
        <w:t>县级以上人民政府按照财政事权与支出责任划分原则，将保护区保护、建设、管理经费统筹纳入财政预算。</w:t>
      </w:r>
    </w:p>
    <w:p w14:paraId="49EBDFB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color w:val="auto"/>
          <w:kern w:val="0"/>
          <w:sz w:val="32"/>
          <w:szCs w:val="32"/>
          <w:lang w:val="en-US" w:eastAsia="zh-CN" w:bidi="ar"/>
        </w:rPr>
        <w:t>鼓励自然人、法人和非法人组织通过设立基金、捐赠、资助等方式支持保护区建设管理工作。</w:t>
      </w:r>
    </w:p>
    <w:p w14:paraId="424AA31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color w:val="auto"/>
          <w:kern w:val="0"/>
          <w:sz w:val="32"/>
          <w:szCs w:val="32"/>
          <w:lang w:val="en-US" w:eastAsia="zh-CN" w:bidi="ar"/>
        </w:rPr>
        <w:t>保护区管理机构可以依法接受国内外组织、个人捐赠，用于黑颈鹤保护、湿地生态修复、野生动物救护、管理设施建设、生态保护补偿、社区共建等相关事项；保护区管理机构应当通过公开渠道，向社会公开上一年度捐赠接收及使用情况，接受财政、审计部门和社会监督。</w:t>
      </w:r>
    </w:p>
    <w:p w14:paraId="51E552A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b/>
          <w:bCs/>
          <w:color w:val="auto"/>
          <w:kern w:val="0"/>
          <w:sz w:val="32"/>
          <w:szCs w:val="32"/>
          <w:lang w:val="en-US" w:eastAsia="zh-CN" w:bidi="ar"/>
        </w:rPr>
        <w:t>第八条</w:t>
      </w:r>
      <w:r>
        <w:rPr>
          <w:rFonts w:hint="default" w:ascii="Times New Roman" w:hAnsi="Times New Roman" w:eastAsia="方正仿宋_GBK" w:cs="Times New Roman"/>
          <w:color w:val="auto"/>
          <w:kern w:val="0"/>
          <w:sz w:val="32"/>
          <w:szCs w:val="32"/>
          <w:lang w:val="en-US" w:eastAsia="zh-CN" w:bidi="ar"/>
        </w:rPr>
        <w:t xml:space="preserve"> 任何组织和个人都有保护野生动物及其栖息地的义务；有权举报破坏保护区生态环境、损毁自然资源、伤害黑颈鹤等野生动物的违法行为。</w:t>
      </w:r>
    </w:p>
    <w:p w14:paraId="685479F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kern w:val="0"/>
          <w:sz w:val="32"/>
          <w:szCs w:val="32"/>
          <w:lang w:val="en-US" w:eastAsia="zh-CN" w:bidi="ar"/>
        </w:rPr>
        <w:t xml:space="preserve">第九条 </w:t>
      </w:r>
      <w:r>
        <w:rPr>
          <w:rFonts w:hint="default" w:ascii="Times New Roman" w:hAnsi="Times New Roman" w:eastAsia="方正仿宋_GBK" w:cs="Times New Roman"/>
          <w:color w:val="auto"/>
          <w:kern w:val="0"/>
          <w:sz w:val="32"/>
          <w:szCs w:val="32"/>
          <w:lang w:val="en-US" w:eastAsia="zh-CN" w:bidi="ar"/>
        </w:rPr>
        <w:t>每年十一月的第一周为会泽黑颈鹤保护宣传周，会泽县人民政府及其相关部门，应当组织开展多种形式的湿地、珍稀鸟类保护宣传教育活动。</w:t>
      </w:r>
    </w:p>
    <w:p w14:paraId="48F5D36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b/>
          <w:bCs/>
          <w:color w:val="auto"/>
          <w:kern w:val="0"/>
          <w:sz w:val="32"/>
          <w:szCs w:val="32"/>
          <w:lang w:val="en-US" w:eastAsia="zh-CN" w:bidi="ar"/>
        </w:rPr>
        <w:t xml:space="preserve">第十条 </w:t>
      </w:r>
      <w:r>
        <w:rPr>
          <w:rFonts w:hint="default" w:ascii="Times New Roman" w:hAnsi="Times New Roman" w:eastAsia="方正仿宋_GBK" w:cs="Times New Roman"/>
          <w:color w:val="auto"/>
          <w:kern w:val="0"/>
          <w:sz w:val="32"/>
          <w:szCs w:val="32"/>
          <w:lang w:val="en-US" w:eastAsia="zh-CN" w:bidi="ar"/>
        </w:rPr>
        <w:t>县级以上人民政府对在保护区保护、建设、管理工作中作出突出贡献的单位和个人予以表彰和奖励。</w:t>
      </w:r>
    </w:p>
    <w:p w14:paraId="5069682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b/>
          <w:bCs/>
          <w:color w:val="auto"/>
          <w:kern w:val="0"/>
          <w:sz w:val="32"/>
          <w:szCs w:val="32"/>
          <w:lang w:val="en-US" w:eastAsia="zh-CN" w:bidi="ar"/>
        </w:rPr>
        <w:t xml:space="preserve">第十一条 </w:t>
      </w:r>
      <w:r>
        <w:rPr>
          <w:rFonts w:hint="default" w:ascii="Times New Roman" w:hAnsi="Times New Roman" w:eastAsia="方正仿宋_GBK" w:cs="Times New Roman"/>
          <w:color w:val="auto"/>
          <w:kern w:val="0"/>
          <w:sz w:val="32"/>
          <w:szCs w:val="32"/>
          <w:lang w:val="en-US" w:eastAsia="zh-CN" w:bidi="ar"/>
        </w:rPr>
        <w:t>保护区管理机构可以与村民委员会签订社区协同发展共管协议，支持群众参与生态保护。社会团体、自然人开展黑颈鹤及其栖息地保护相关活动，应当接受保护区管理机构的监督管理。</w:t>
      </w:r>
    </w:p>
    <w:p w14:paraId="061AA43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color w:val="auto"/>
          <w:kern w:val="0"/>
          <w:sz w:val="32"/>
          <w:szCs w:val="32"/>
          <w:lang w:val="en-US" w:eastAsia="zh-CN" w:bidi="ar"/>
        </w:rPr>
        <w:t>支持开展国际国内交流与合作。</w:t>
      </w:r>
    </w:p>
    <w:p w14:paraId="15784D4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color w:val="auto"/>
          <w:kern w:val="0"/>
          <w:sz w:val="32"/>
          <w:szCs w:val="32"/>
          <w:lang w:val="en-US" w:eastAsia="zh-CN" w:bidi="ar"/>
        </w:rPr>
        <w:t>境外组织和外国人在保护区范围内开展标本采集等活动的，应当依法取得有关主管部门批准。活动结束后，应当按照自然保护区管理机构的要求提交相关活动成果。</w:t>
      </w:r>
    </w:p>
    <w:p w14:paraId="14EA956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b/>
          <w:bCs/>
          <w:color w:val="auto"/>
          <w:kern w:val="0"/>
          <w:sz w:val="32"/>
          <w:szCs w:val="32"/>
          <w:lang w:val="en-US" w:eastAsia="zh-CN" w:bidi="ar"/>
        </w:rPr>
        <w:t xml:space="preserve">第十二条 </w:t>
      </w:r>
      <w:r>
        <w:rPr>
          <w:rFonts w:hint="default" w:ascii="Times New Roman" w:hAnsi="Times New Roman" w:eastAsia="方正仿宋_GBK" w:cs="Times New Roman"/>
          <w:color w:val="auto"/>
          <w:sz w:val="32"/>
          <w:szCs w:val="32"/>
        </w:rPr>
        <w:t>保护区划分为核心保护区和一般控制区</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实行分区管控与季节性差别管控相结合制度</w:t>
      </w:r>
      <w:r>
        <w:rPr>
          <w:rFonts w:hint="default" w:ascii="Times New Roman" w:hAnsi="Times New Roman" w:eastAsia="方正仿宋_GBK" w:cs="Times New Roman"/>
          <w:color w:val="auto"/>
          <w:sz w:val="32"/>
          <w:szCs w:val="32"/>
          <w:lang w:eastAsia="zh-CN"/>
        </w:rPr>
        <w:t>。</w:t>
      </w:r>
    </w:p>
    <w:p w14:paraId="27F46DE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color w:val="auto"/>
          <w:sz w:val="32"/>
          <w:szCs w:val="32"/>
          <w:lang w:val="en-US" w:eastAsia="zh-CN"/>
        </w:rPr>
        <w:t>保护区管理机构可以实施</w:t>
      </w:r>
      <w:r>
        <w:rPr>
          <w:rFonts w:hint="default" w:ascii="Times New Roman" w:hAnsi="Times New Roman" w:eastAsia="方正仿宋_GBK" w:cs="Times New Roman"/>
          <w:color w:val="auto"/>
          <w:sz w:val="32"/>
          <w:szCs w:val="32"/>
        </w:rPr>
        <w:t>季节性差别管控</w:t>
      </w:r>
      <w:r>
        <w:rPr>
          <w:rFonts w:hint="default" w:ascii="Times New Roman" w:hAnsi="Times New Roman" w:eastAsia="方正仿宋_GBK" w:cs="Times New Roman"/>
          <w:color w:val="auto"/>
          <w:sz w:val="32"/>
          <w:szCs w:val="32"/>
          <w:lang w:eastAsia="zh-CN"/>
        </w:rPr>
        <w:t>措施</w:t>
      </w:r>
      <w:r>
        <w:rPr>
          <w:rFonts w:hint="default" w:ascii="Times New Roman" w:hAnsi="Times New Roman" w:eastAsia="方正仿宋_GBK" w:cs="Times New Roman"/>
          <w:color w:val="auto"/>
          <w:sz w:val="32"/>
          <w:szCs w:val="32"/>
        </w:rPr>
        <w:t>。</w:t>
      </w:r>
    </w:p>
    <w:p w14:paraId="7659338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color w:val="auto"/>
          <w:sz w:val="32"/>
          <w:szCs w:val="32"/>
        </w:rPr>
        <w:t>第十</w:t>
      </w:r>
      <w:r>
        <w:rPr>
          <w:rFonts w:hint="default" w:ascii="Times New Roman" w:hAnsi="Times New Roman" w:eastAsia="方正仿宋_GBK" w:cs="Times New Roman"/>
          <w:b/>
          <w:color w:val="auto"/>
          <w:sz w:val="32"/>
          <w:szCs w:val="32"/>
          <w:lang w:val="en-US" w:eastAsia="zh-CN"/>
        </w:rPr>
        <w:t>三</w:t>
      </w:r>
      <w:r>
        <w:rPr>
          <w:rFonts w:hint="default" w:ascii="Times New Roman" w:hAnsi="Times New Roman" w:eastAsia="方正仿宋_GBK" w:cs="Times New Roman"/>
          <w:b/>
          <w:color w:val="auto"/>
          <w:sz w:val="32"/>
          <w:szCs w:val="32"/>
        </w:rPr>
        <w:t>条</w:t>
      </w:r>
      <w:r>
        <w:rPr>
          <w:rFonts w:hint="default" w:ascii="Times New Roman" w:hAnsi="Times New Roman" w:eastAsia="方正仿宋_GBK" w:cs="Times New Roman"/>
          <w:b/>
          <w:color w:val="auto"/>
          <w:sz w:val="32"/>
          <w:szCs w:val="32"/>
          <w:lang w:val="en-US" w:eastAsia="zh-CN"/>
        </w:rPr>
        <w:t xml:space="preserve"> </w:t>
      </w:r>
      <w:r>
        <w:rPr>
          <w:rFonts w:hint="default" w:ascii="Times New Roman" w:hAnsi="Times New Roman" w:eastAsia="方正仿宋_GBK" w:cs="Times New Roman"/>
          <w:color w:val="auto"/>
          <w:sz w:val="32"/>
          <w:szCs w:val="32"/>
        </w:rPr>
        <w:t>除下列活动外，核心保护区内禁止人为活动：</w:t>
      </w:r>
    </w:p>
    <w:p w14:paraId="6A852DE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（一）为保护自然保护区开展的调查监测、生态修复、</w:t>
      </w:r>
      <w:r>
        <w:rPr>
          <w:rFonts w:hint="default" w:ascii="Times New Roman" w:hAnsi="Times New Roman" w:eastAsia="方正仿宋_GBK" w:cs="Times New Roman"/>
          <w:color w:val="auto"/>
          <w:sz w:val="32"/>
          <w:szCs w:val="32"/>
          <w:lang w:eastAsia="zh-CN"/>
        </w:rPr>
        <w:t>管理</w:t>
      </w:r>
      <w:r>
        <w:rPr>
          <w:rFonts w:hint="default" w:ascii="Times New Roman" w:hAnsi="Times New Roman" w:eastAsia="方正仿宋_GBK" w:cs="Times New Roman"/>
          <w:color w:val="auto"/>
          <w:sz w:val="32"/>
          <w:szCs w:val="32"/>
        </w:rPr>
        <w:t>巡护等活动，科研观测、基础测绘、文物和其他文化遗产保护、防灾减灾、应急救援活动，以及国家机关依法履行执法职责确需开展的活动；</w:t>
      </w:r>
    </w:p>
    <w:p w14:paraId="1E0C5A1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（二）原有居民必要的生产生活活动，以及确需保留、无法避让的已有重要基础设施的运行、维护、改造；</w:t>
      </w:r>
    </w:p>
    <w:p w14:paraId="2D6B908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（三）必须且无法避让、以生态环境无害化方式穿越地下、水下或者空中的线性基础设施建设；</w:t>
      </w:r>
    </w:p>
    <w:p w14:paraId="06A571F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（四）为维护国家安全、实施国家重大战略确需开展的活动，以及无法避让的国家重大项目建设；</w:t>
      </w:r>
    </w:p>
    <w:p w14:paraId="15466B2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（五）法律、行政法规规定或者国务院批准的其他活动。</w:t>
      </w:r>
    </w:p>
    <w:p w14:paraId="6F47C51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b/>
          <w:bCs/>
          <w:color w:val="auto"/>
          <w:kern w:val="0"/>
          <w:sz w:val="32"/>
          <w:szCs w:val="32"/>
          <w:lang w:val="en-US" w:eastAsia="zh-CN" w:bidi="ar"/>
        </w:rPr>
        <w:t>第十四条</w:t>
      </w:r>
      <w:r>
        <w:rPr>
          <w:rFonts w:hint="default" w:ascii="Times New Roman" w:hAnsi="Times New Roman" w:eastAsia="方正仿宋_GBK" w:cs="Times New Roman"/>
          <w:color w:val="auto"/>
          <w:kern w:val="0"/>
          <w:sz w:val="32"/>
          <w:szCs w:val="32"/>
          <w:lang w:val="en-US" w:eastAsia="zh-CN" w:bidi="ar"/>
        </w:rPr>
        <w:t xml:space="preserve"> </w:t>
      </w:r>
      <w:r>
        <w:rPr>
          <w:rFonts w:hint="default" w:ascii="Times New Roman" w:hAnsi="Times New Roman" w:eastAsia="方正仿宋_GBK" w:cs="Times New Roman"/>
          <w:color w:val="auto"/>
          <w:sz w:val="32"/>
          <w:szCs w:val="32"/>
        </w:rPr>
        <w:t>一般控制区内允许开展下列活动：</w:t>
      </w:r>
    </w:p>
    <w:p w14:paraId="416DA02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（一）核心保护区允许开展的活动；</w:t>
      </w:r>
    </w:p>
    <w:p w14:paraId="32D9646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（二）符合国土空间规划且无法避让的重要基础设施的建设、运行和维护；</w:t>
      </w:r>
    </w:p>
    <w:p w14:paraId="4AC8B28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（三）古生物化石调查发掘，基础地质调查，战略性矿产资源远景调查和规定范围内的战略性矿产资源勘查；</w:t>
      </w:r>
    </w:p>
    <w:p w14:paraId="3ED52D3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（四）珍稀濒危野生动植物的野化、繁殖，非破坏性的标本采集活动；</w:t>
      </w:r>
    </w:p>
    <w:p w14:paraId="29CB646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（五）与自然保护区保护目标一致的人工商品林抚育、树种更新等森林经营活动；</w:t>
      </w:r>
    </w:p>
    <w:p w14:paraId="41421F7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（六）科普宣传、生态旅游、教育文化体育等公共服务活动；</w:t>
      </w:r>
    </w:p>
    <w:p w14:paraId="77719C7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（七）法律、行政法规规定或者国务院批准的其他活动。</w:t>
      </w:r>
    </w:p>
    <w:p w14:paraId="1C3912D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b/>
          <w:bCs/>
          <w:color w:val="auto"/>
          <w:kern w:val="0"/>
          <w:sz w:val="32"/>
          <w:szCs w:val="32"/>
          <w:lang w:val="en-US" w:eastAsia="zh-CN" w:bidi="ar"/>
        </w:rPr>
        <w:t>第十五条</w:t>
      </w:r>
      <w:r>
        <w:rPr>
          <w:rFonts w:hint="default" w:ascii="Times New Roman" w:hAnsi="Times New Roman" w:eastAsia="方正仿宋_GBK" w:cs="Times New Roman"/>
          <w:color w:val="auto"/>
          <w:kern w:val="0"/>
          <w:sz w:val="32"/>
          <w:szCs w:val="32"/>
          <w:lang w:val="en-US" w:eastAsia="zh-CN" w:bidi="ar"/>
        </w:rPr>
        <w:t xml:space="preserve"> 保护区的保护时段划分为越冬期和非越冬期。</w:t>
      </w:r>
    </w:p>
    <w:p w14:paraId="4E37754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color w:val="auto"/>
          <w:kern w:val="0"/>
          <w:sz w:val="32"/>
          <w:szCs w:val="32"/>
          <w:lang w:val="en-US" w:eastAsia="zh-CN" w:bidi="ar"/>
        </w:rPr>
        <w:t>越冬期和非越冬期的确定，由保护区管理机构根据监测情况动态调整，并向社会公告。</w:t>
      </w:r>
    </w:p>
    <w:p w14:paraId="22F27030">
      <w:pPr>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非越冬期内，在保障主要保护对象安全、不损害生态环境的前提下，实施季节性差别管控措施。</w:t>
      </w:r>
    </w:p>
    <w:p w14:paraId="5962D1A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b/>
          <w:bCs/>
          <w:color w:val="auto"/>
          <w:kern w:val="0"/>
          <w:sz w:val="32"/>
          <w:szCs w:val="32"/>
          <w:lang w:val="en-US" w:eastAsia="zh-CN" w:bidi="ar"/>
        </w:rPr>
        <w:t xml:space="preserve">第十六条 </w:t>
      </w:r>
      <w:r>
        <w:rPr>
          <w:rFonts w:hint="default" w:ascii="Times New Roman" w:hAnsi="Times New Roman" w:eastAsia="方正仿宋_GBK" w:cs="Times New Roman"/>
          <w:color w:val="auto"/>
          <w:kern w:val="0"/>
          <w:sz w:val="32"/>
          <w:szCs w:val="32"/>
          <w:lang w:val="en-US" w:eastAsia="zh-CN" w:bidi="ar"/>
        </w:rPr>
        <w:t>黑颈鹤越冬期间，未经批准，禁止在保护区范围内放飞、操控无人驾驶航空器。</w:t>
      </w:r>
    </w:p>
    <w:p w14:paraId="31AB0DC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b w:val="0"/>
          <w:bCs w:val="0"/>
          <w:color w:val="auto"/>
          <w:kern w:val="0"/>
          <w:sz w:val="32"/>
          <w:szCs w:val="32"/>
          <w:lang w:val="en-US" w:eastAsia="zh-CN" w:bidi="ar"/>
        </w:rPr>
      </w:pPr>
      <w:r>
        <w:rPr>
          <w:rFonts w:hint="default" w:ascii="Times New Roman" w:hAnsi="Times New Roman" w:eastAsia="方正仿宋_GBK" w:cs="Times New Roman"/>
          <w:b/>
          <w:bCs/>
          <w:color w:val="auto"/>
          <w:kern w:val="0"/>
          <w:sz w:val="32"/>
          <w:szCs w:val="32"/>
          <w:lang w:val="en-US" w:eastAsia="zh-CN" w:bidi="ar"/>
        </w:rPr>
        <w:t xml:space="preserve">第十七条 </w:t>
      </w:r>
      <w:r>
        <w:rPr>
          <w:rFonts w:hint="default" w:ascii="Times New Roman" w:hAnsi="Times New Roman" w:eastAsia="方正仿宋_GBK" w:cs="Times New Roman"/>
          <w:b w:val="0"/>
          <w:bCs w:val="0"/>
          <w:color w:val="auto"/>
          <w:kern w:val="0"/>
          <w:sz w:val="32"/>
          <w:szCs w:val="32"/>
          <w:lang w:val="en-US" w:eastAsia="zh-CN" w:bidi="ar"/>
        </w:rPr>
        <w:t>保护区内应当坚持与保护目标和方向一致原则，优化农业产业结构，推行标准化生产，防控农业面源污染。</w:t>
      </w:r>
    </w:p>
    <w:p w14:paraId="470F3FF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b w:val="0"/>
          <w:bCs w:val="0"/>
          <w:color w:val="auto"/>
          <w:kern w:val="0"/>
          <w:sz w:val="32"/>
          <w:szCs w:val="32"/>
          <w:lang w:val="en-US" w:eastAsia="zh-CN" w:bidi="ar"/>
        </w:rPr>
        <w:t>未经批准，严禁引进外来物种开展种植养殖。</w:t>
      </w:r>
    </w:p>
    <w:p w14:paraId="3754CB9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b w:val="0"/>
          <w:bCs w:val="0"/>
          <w:color w:val="auto"/>
          <w:kern w:val="0"/>
          <w:sz w:val="32"/>
          <w:szCs w:val="32"/>
          <w:lang w:val="en-US" w:eastAsia="zh-CN" w:bidi="ar"/>
        </w:rPr>
      </w:pPr>
      <w:r>
        <w:rPr>
          <w:rFonts w:hint="default" w:ascii="Times New Roman" w:hAnsi="Times New Roman" w:eastAsia="方正仿宋_GBK" w:cs="Times New Roman"/>
          <w:b/>
          <w:bCs/>
          <w:color w:val="auto"/>
          <w:kern w:val="0"/>
          <w:sz w:val="32"/>
          <w:szCs w:val="32"/>
          <w:lang w:val="en-US" w:eastAsia="zh-CN" w:bidi="ar"/>
        </w:rPr>
        <w:t xml:space="preserve">第十八条 </w:t>
      </w:r>
      <w:r>
        <w:rPr>
          <w:rFonts w:hint="default" w:ascii="Times New Roman" w:hAnsi="Times New Roman" w:eastAsia="方正仿宋_GBK" w:cs="Times New Roman"/>
          <w:b w:val="0"/>
          <w:bCs w:val="0"/>
          <w:color w:val="auto"/>
          <w:kern w:val="0"/>
          <w:sz w:val="32"/>
          <w:szCs w:val="32"/>
          <w:lang w:val="en-US" w:eastAsia="zh-CN" w:bidi="ar"/>
        </w:rPr>
        <w:t>保护区内建设项目应当符合保护区总体规划，落实污染防治设施与主体工程同时设计、同时施工、同时投产使用制度。</w:t>
      </w:r>
    </w:p>
    <w:p w14:paraId="3131F96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b w:val="0"/>
          <w:bCs w:val="0"/>
          <w:color w:val="auto"/>
          <w:kern w:val="0"/>
          <w:sz w:val="32"/>
          <w:szCs w:val="32"/>
          <w:lang w:val="en-US" w:eastAsia="zh-CN" w:bidi="ar"/>
        </w:rPr>
      </w:pPr>
      <w:r>
        <w:rPr>
          <w:rFonts w:hint="default" w:ascii="Times New Roman" w:hAnsi="Times New Roman" w:eastAsia="方正仿宋_GBK" w:cs="Times New Roman"/>
          <w:b w:val="0"/>
          <w:bCs w:val="0"/>
          <w:color w:val="auto"/>
          <w:kern w:val="0"/>
          <w:sz w:val="32"/>
          <w:szCs w:val="32"/>
          <w:lang w:val="en-US" w:eastAsia="zh-CN" w:bidi="ar"/>
        </w:rPr>
        <w:t>保护区内建设项目需要开展环境影响评价的，依法开展环境影响评价。</w:t>
      </w:r>
    </w:p>
    <w:p w14:paraId="4CFFF94D">
      <w:pPr>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新建电力、通信等设施不得危害黑颈鹤等鸟类生存栖息、繁衍。已建成设施存在安全隐患的，建设及管理主体应当按照保护区规划进行改造。</w:t>
      </w:r>
    </w:p>
    <w:p w14:paraId="087CA9B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b/>
          <w:bCs/>
          <w:color w:val="auto"/>
          <w:kern w:val="0"/>
          <w:sz w:val="32"/>
          <w:szCs w:val="32"/>
          <w:lang w:val="en-US" w:eastAsia="zh-CN" w:bidi="ar"/>
        </w:rPr>
        <w:t xml:space="preserve">第十九条 </w:t>
      </w:r>
      <w:r>
        <w:rPr>
          <w:rFonts w:hint="default" w:ascii="Times New Roman" w:hAnsi="Times New Roman" w:eastAsia="方正仿宋_GBK" w:cs="Times New Roman"/>
          <w:color w:val="auto"/>
          <w:sz w:val="32"/>
          <w:szCs w:val="32"/>
        </w:rPr>
        <w:t>在保护区内开展活动，不得干扰黑颈鹤等国家重点保护野生动物觅食、栖息。</w:t>
      </w:r>
    </w:p>
    <w:p w14:paraId="7EEADF1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进入保护区的机动车辆，应当按照规定路线和地点行驶和停靠。</w:t>
      </w:r>
      <w:r>
        <w:rPr>
          <w:rFonts w:hint="default" w:ascii="Times New Roman" w:hAnsi="Times New Roman" w:eastAsia="方正仿宋_GBK" w:cs="Times New Roman"/>
          <w:color w:val="auto"/>
          <w:sz w:val="32"/>
          <w:szCs w:val="32"/>
          <w:lang w:eastAsia="zh-CN"/>
        </w:rPr>
        <w:t>具体</w:t>
      </w:r>
      <w:r>
        <w:rPr>
          <w:rFonts w:hint="default" w:ascii="Times New Roman" w:hAnsi="Times New Roman" w:eastAsia="方正仿宋_GBK" w:cs="Times New Roman"/>
          <w:color w:val="auto"/>
          <w:sz w:val="32"/>
          <w:szCs w:val="32"/>
        </w:rPr>
        <w:t>路线和地点由</w:t>
      </w:r>
      <w:r>
        <w:rPr>
          <w:rFonts w:hint="default" w:ascii="Times New Roman" w:hAnsi="Times New Roman" w:eastAsia="方正仿宋_GBK" w:cs="Times New Roman"/>
          <w:color w:val="auto"/>
          <w:sz w:val="32"/>
          <w:szCs w:val="32"/>
          <w:lang w:eastAsia="zh-CN"/>
        </w:rPr>
        <w:t>保护区管理机构</w:t>
      </w:r>
      <w:r>
        <w:rPr>
          <w:rFonts w:hint="default" w:ascii="Times New Roman" w:hAnsi="Times New Roman" w:eastAsia="方正仿宋_GBK" w:cs="Times New Roman"/>
          <w:color w:val="auto"/>
          <w:sz w:val="32"/>
          <w:szCs w:val="32"/>
          <w:lang w:val="en-US" w:eastAsia="zh-CN"/>
        </w:rPr>
        <w:t>根据保护需要提出意见，由公安机关交通管理部门依法</w:t>
      </w:r>
      <w:r>
        <w:rPr>
          <w:rFonts w:hint="default" w:ascii="Times New Roman" w:hAnsi="Times New Roman" w:eastAsia="方正仿宋_GBK" w:cs="Times New Roman"/>
          <w:color w:val="auto"/>
          <w:sz w:val="32"/>
          <w:szCs w:val="32"/>
        </w:rPr>
        <w:t>划定，并向社会公布</w:t>
      </w:r>
      <w:r>
        <w:rPr>
          <w:rFonts w:hint="default" w:ascii="Times New Roman" w:hAnsi="Times New Roman" w:eastAsia="方正仿宋_GBK" w:cs="Times New Roman"/>
          <w:color w:val="auto"/>
          <w:sz w:val="32"/>
          <w:szCs w:val="32"/>
          <w:lang w:eastAsia="zh-CN"/>
        </w:rPr>
        <w:t>。</w:t>
      </w:r>
    </w:p>
    <w:p w14:paraId="6DEE9F5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b/>
          <w:bCs/>
          <w:color w:val="auto"/>
          <w:kern w:val="0"/>
          <w:sz w:val="32"/>
          <w:szCs w:val="32"/>
          <w:lang w:val="en-US" w:eastAsia="zh-CN" w:bidi="ar"/>
        </w:rPr>
        <w:t xml:space="preserve">第二十条 </w:t>
      </w:r>
      <w:r>
        <w:rPr>
          <w:rFonts w:hint="default" w:ascii="Times New Roman" w:hAnsi="Times New Roman" w:eastAsia="方正仿宋_GBK" w:cs="Times New Roman"/>
          <w:color w:val="auto"/>
          <w:sz w:val="32"/>
          <w:szCs w:val="32"/>
        </w:rPr>
        <w:t>黑颈鹤等国家重点保护野生动物造成</w:t>
      </w:r>
      <w:r>
        <w:rPr>
          <w:rFonts w:hint="default" w:ascii="Times New Roman" w:hAnsi="Times New Roman" w:eastAsia="方正仿宋_GBK" w:cs="Times New Roman"/>
          <w:color w:val="auto"/>
          <w:sz w:val="32"/>
          <w:szCs w:val="32"/>
          <w:lang w:eastAsia="zh-CN"/>
        </w:rPr>
        <w:t>保护区</w:t>
      </w:r>
      <w:r>
        <w:rPr>
          <w:rFonts w:hint="default" w:ascii="Times New Roman" w:hAnsi="Times New Roman" w:eastAsia="方正仿宋_GBK" w:cs="Times New Roman"/>
          <w:color w:val="auto"/>
          <w:sz w:val="32"/>
          <w:szCs w:val="32"/>
        </w:rPr>
        <w:t>农作物损害的，应当依法给予补偿。</w:t>
      </w:r>
      <w:r>
        <w:rPr>
          <w:rFonts w:hint="default" w:ascii="Times New Roman" w:hAnsi="Times New Roman" w:eastAsia="方正仿宋_GBK" w:cs="Times New Roman"/>
          <w:color w:val="auto"/>
          <w:sz w:val="32"/>
          <w:szCs w:val="32"/>
          <w:lang w:eastAsia="zh-CN"/>
        </w:rPr>
        <w:t>补偿经费纳入财政预算。</w:t>
      </w:r>
    </w:p>
    <w:p w14:paraId="41233FC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b/>
          <w:bCs/>
          <w:color w:val="auto"/>
          <w:kern w:val="0"/>
          <w:sz w:val="32"/>
          <w:szCs w:val="32"/>
          <w:lang w:val="en-US" w:eastAsia="zh-CN" w:bidi="ar"/>
        </w:rPr>
        <w:t>第二十一条</w:t>
      </w:r>
      <w:r>
        <w:rPr>
          <w:rFonts w:hint="default" w:ascii="Times New Roman" w:hAnsi="Times New Roman" w:eastAsia="方正仿宋_GBK" w:cs="Times New Roman"/>
          <w:color w:val="auto"/>
          <w:kern w:val="0"/>
          <w:sz w:val="32"/>
          <w:szCs w:val="32"/>
          <w:lang w:val="en-US" w:eastAsia="zh-CN" w:bidi="ar"/>
        </w:rPr>
        <w:t xml:space="preserve"> </w:t>
      </w:r>
      <w:r>
        <w:rPr>
          <w:rFonts w:hint="default" w:ascii="Times New Roman" w:hAnsi="Times New Roman" w:eastAsia="方正仿宋_GBK" w:cs="Times New Roman"/>
          <w:color w:val="auto"/>
          <w:sz w:val="32"/>
          <w:szCs w:val="32"/>
          <w:lang w:eastAsia="zh-CN"/>
        </w:rPr>
        <w:t>任何单位、个人发现受伤、病弱、饥饿、受困、迷途、死亡的黑颈鹤及其他国家重点保护野生动物，应当向当地野生动物行政主管部门报告，由其采取救护措施，也可以送保护区管理机构收容救护。对伤愈且具备野外生存能力的野生动物，应当放归原生境。对死亡野生动物尸体进行科学处置。</w:t>
      </w:r>
    </w:p>
    <w:p w14:paraId="259E68F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保护区管理机构</w:t>
      </w:r>
      <w:r>
        <w:rPr>
          <w:rFonts w:hint="default" w:ascii="Times New Roman" w:hAnsi="Times New Roman" w:eastAsia="方正仿宋_GBK" w:cs="Times New Roman"/>
          <w:color w:val="auto"/>
          <w:sz w:val="32"/>
          <w:szCs w:val="32"/>
        </w:rPr>
        <w:t>应当建设野生动物收容救护设施。</w:t>
      </w:r>
    </w:p>
    <w:p w14:paraId="20DD00F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kern w:val="0"/>
          <w:sz w:val="32"/>
          <w:szCs w:val="32"/>
          <w:lang w:val="en-US" w:eastAsia="zh-CN" w:bidi="ar"/>
        </w:rPr>
        <w:t>第二十二条</w:t>
      </w:r>
      <w:r>
        <w:rPr>
          <w:rFonts w:hint="default" w:ascii="Times New Roman" w:hAnsi="Times New Roman" w:eastAsia="方正仿宋_GBK" w:cs="Times New Roman"/>
          <w:color w:val="auto"/>
          <w:kern w:val="0"/>
          <w:sz w:val="32"/>
          <w:szCs w:val="32"/>
          <w:lang w:val="en-US" w:eastAsia="zh-CN" w:bidi="ar"/>
        </w:rPr>
        <w:t xml:space="preserve"> </w:t>
      </w:r>
      <w:r>
        <w:rPr>
          <w:rFonts w:hint="default" w:ascii="Times New Roman" w:hAnsi="Times New Roman" w:eastAsia="方正仿宋_GBK" w:cs="Times New Roman"/>
          <w:color w:val="auto"/>
          <w:sz w:val="32"/>
          <w:szCs w:val="32"/>
        </w:rPr>
        <w:t>违反本办法规定的行为，</w:t>
      </w:r>
      <w:r>
        <w:rPr>
          <w:rFonts w:hint="default" w:ascii="Times New Roman" w:hAnsi="Times New Roman" w:eastAsia="方正仿宋_GBK" w:cs="Times New Roman"/>
          <w:color w:val="auto"/>
          <w:sz w:val="32"/>
          <w:szCs w:val="32"/>
          <w:lang w:eastAsia="zh-CN"/>
        </w:rPr>
        <w:t>依照</w:t>
      </w:r>
      <w:r>
        <w:rPr>
          <w:rFonts w:hint="default" w:ascii="Times New Roman" w:hAnsi="Times New Roman" w:eastAsia="方正仿宋_GBK" w:cs="Times New Roman"/>
          <w:color w:val="auto"/>
          <w:sz w:val="32"/>
          <w:szCs w:val="32"/>
        </w:rPr>
        <w:t>《中华人民共和国生态环境法典》《中华人民共和国自然保护区条例》等有关法律法规</w:t>
      </w:r>
      <w:r>
        <w:rPr>
          <w:rFonts w:hint="default" w:ascii="Times New Roman" w:hAnsi="Times New Roman" w:eastAsia="方正仿宋_GBK" w:cs="Times New Roman"/>
          <w:color w:val="auto"/>
          <w:sz w:val="32"/>
          <w:szCs w:val="32"/>
          <w:lang w:eastAsia="zh-CN"/>
        </w:rPr>
        <w:t>进行处理。</w:t>
      </w:r>
    </w:p>
    <w:p w14:paraId="68C2DCF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b/>
          <w:bCs/>
          <w:color w:val="auto"/>
          <w:kern w:val="0"/>
          <w:sz w:val="32"/>
          <w:szCs w:val="32"/>
          <w:lang w:val="en-US" w:eastAsia="zh-CN" w:bidi="ar"/>
        </w:rPr>
        <w:t>第二十三条</w:t>
      </w:r>
      <w:r>
        <w:rPr>
          <w:rFonts w:hint="default" w:ascii="Times New Roman" w:hAnsi="Times New Roman" w:eastAsia="方正仿宋_GBK" w:cs="Times New Roman"/>
          <w:color w:val="auto"/>
          <w:kern w:val="0"/>
          <w:sz w:val="32"/>
          <w:szCs w:val="32"/>
          <w:lang w:val="en-US" w:eastAsia="zh-CN" w:bidi="ar"/>
        </w:rPr>
        <w:t xml:space="preserve"> </w:t>
      </w:r>
      <w:r>
        <w:rPr>
          <w:rFonts w:hint="default" w:ascii="Times New Roman" w:hAnsi="Times New Roman" w:eastAsia="方正仿宋_GBK" w:cs="Times New Roman"/>
          <w:color w:val="auto"/>
          <w:sz w:val="32"/>
          <w:szCs w:val="32"/>
          <w:lang w:val="en-US" w:eastAsia="zh-CN"/>
        </w:rPr>
        <w:t>保护区区域内的单位和个人以及进入保护区的人员不服从保护区管理机构依法管理的，保护区管理机构有权予以劝阻、制止；构成扰乱公共秩序等违反治安管理行为的，由公安机关依法予以治安管理处罚。</w:t>
      </w:r>
    </w:p>
    <w:p w14:paraId="14D0BA9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kern w:val="0"/>
          <w:sz w:val="32"/>
          <w:szCs w:val="32"/>
          <w:lang w:val="en-US" w:eastAsia="zh-CN" w:bidi="ar"/>
        </w:rPr>
        <w:t>第二十四条</w:t>
      </w:r>
      <w:r>
        <w:rPr>
          <w:rFonts w:hint="default" w:ascii="Times New Roman" w:hAnsi="Times New Roman" w:eastAsia="方正仿宋_GBK" w:cs="Times New Roman"/>
          <w:color w:val="auto"/>
          <w:kern w:val="0"/>
          <w:sz w:val="32"/>
          <w:szCs w:val="32"/>
          <w:lang w:val="en-US" w:eastAsia="zh-CN" w:bidi="ar"/>
        </w:rPr>
        <w:t xml:space="preserve"> </w:t>
      </w:r>
      <w:r>
        <w:rPr>
          <w:rFonts w:hint="default" w:ascii="Times New Roman" w:hAnsi="Times New Roman" w:eastAsia="方正仿宋_GBK" w:cs="Times New Roman"/>
          <w:color w:val="auto"/>
          <w:sz w:val="32"/>
          <w:szCs w:val="32"/>
          <w:lang w:eastAsia="zh-CN"/>
        </w:rPr>
        <w:t>保护区管理机构</w:t>
      </w:r>
      <w:r>
        <w:rPr>
          <w:rFonts w:hint="default" w:ascii="Times New Roman" w:hAnsi="Times New Roman" w:eastAsia="方正仿宋_GBK" w:cs="Times New Roman"/>
          <w:color w:val="auto"/>
          <w:sz w:val="32"/>
          <w:szCs w:val="32"/>
        </w:rPr>
        <w:t>发现违法违规行为，应当进行劝阻、制止，并视其情节移送有关部门依法处置。有关部门办结后，应当将处理结果反馈</w:t>
      </w:r>
      <w:r>
        <w:rPr>
          <w:rFonts w:hint="default" w:ascii="Times New Roman" w:hAnsi="Times New Roman" w:eastAsia="方正仿宋_GBK" w:cs="Times New Roman"/>
          <w:color w:val="auto"/>
          <w:sz w:val="32"/>
          <w:szCs w:val="32"/>
          <w:lang w:eastAsia="zh-CN"/>
        </w:rPr>
        <w:t>保护区管理机构</w:t>
      </w:r>
      <w:r>
        <w:rPr>
          <w:rFonts w:hint="default" w:ascii="Times New Roman" w:hAnsi="Times New Roman" w:eastAsia="方正仿宋_GBK" w:cs="Times New Roman"/>
          <w:color w:val="auto"/>
          <w:sz w:val="32"/>
          <w:szCs w:val="32"/>
        </w:rPr>
        <w:t>。</w:t>
      </w:r>
    </w:p>
    <w:p w14:paraId="0F5AA0F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kern w:val="0"/>
          <w:sz w:val="32"/>
          <w:szCs w:val="32"/>
          <w:lang w:val="en-US" w:eastAsia="zh-CN" w:bidi="ar"/>
        </w:rPr>
        <w:t xml:space="preserve">第二十五条 </w:t>
      </w:r>
      <w:r>
        <w:rPr>
          <w:rFonts w:hint="default" w:ascii="Times New Roman" w:hAnsi="Times New Roman" w:eastAsia="方正仿宋_GBK" w:cs="Times New Roman"/>
          <w:color w:val="auto"/>
          <w:sz w:val="32"/>
          <w:szCs w:val="32"/>
        </w:rPr>
        <w:t>国家工作人员在保护区保护管理工作中玩忽职守、滥用职权、徇私舞弊的，依法给予处分；构成犯罪的，依法追究刑事责任。</w:t>
      </w:r>
    </w:p>
    <w:p w14:paraId="01F1C58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kern w:val="0"/>
          <w:sz w:val="32"/>
          <w:szCs w:val="32"/>
          <w:lang w:val="en-US" w:eastAsia="zh-CN" w:bidi="ar"/>
        </w:rPr>
        <w:t xml:space="preserve">第二十六条 </w:t>
      </w:r>
      <w:r>
        <w:rPr>
          <w:rFonts w:hint="default" w:ascii="Times New Roman" w:hAnsi="Times New Roman" w:eastAsia="方正仿宋_GBK" w:cs="Times New Roman"/>
          <w:color w:val="auto"/>
          <w:sz w:val="32"/>
          <w:szCs w:val="32"/>
        </w:rPr>
        <w:t>本办法自2026年 × 月 × 日起施行。</w:t>
      </w:r>
    </w:p>
    <w:p w14:paraId="67EA4AC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auto"/>
          <w:sz w:val="32"/>
          <w:szCs w:val="32"/>
        </w:rPr>
      </w:pPr>
    </w:p>
    <w:p w14:paraId="7C1C02A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color w:val="auto"/>
          <w:sz w:val="32"/>
          <w:szCs w:val="32"/>
          <w:lang w:val="en-US" w:eastAsia="zh-CN"/>
        </w:rPr>
      </w:pPr>
    </w:p>
    <w:p w14:paraId="17B63EE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color w:val="auto"/>
          <w:sz w:val="32"/>
          <w:szCs w:val="32"/>
          <w:lang w:val="en-US" w:eastAsia="zh-CN"/>
        </w:rPr>
      </w:pPr>
    </w:p>
    <w:p w14:paraId="6DE5934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color w:val="auto"/>
          <w:sz w:val="32"/>
          <w:szCs w:val="32"/>
          <w:lang w:val="en-US" w:eastAsia="zh-CN"/>
        </w:rPr>
      </w:pPr>
    </w:p>
    <w:p w14:paraId="4DC7B7E2">
      <w:pPr>
        <w:ind w:left="0" w:leftChars="0" w:firstLine="0" w:firstLineChars="0"/>
      </w:pPr>
    </w:p>
    <w:sectPr>
      <w:footerReference r:id="rId5" w:type="default"/>
      <w:pgSz w:w="11906" w:h="16838"/>
      <w:pgMar w:top="2098" w:right="1474" w:bottom="1984" w:left="1587" w:header="851" w:footer="1474"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Arial Unicode MS"/>
    <w:panose1 w:val="02000000000000000000"/>
    <w:charset w:val="86"/>
    <w:family w:val="auto"/>
    <w:pitch w:val="default"/>
    <w:sig w:usb0="00000001" w:usb1="08000000" w:usb2="00000000" w:usb3="00000000" w:csb0="00040000" w:csb1="00000000"/>
  </w:font>
  <w:font w:name="方正黑体_GBK">
    <w:altName w:val="Arial Unicode MS"/>
    <w:panose1 w:val="02000000000000000000"/>
    <w:charset w:val="86"/>
    <w:family w:val="auto"/>
    <w:pitch w:val="default"/>
    <w:sig w:usb0="00000001" w:usb1="08000000" w:usb2="00000000" w:usb3="00000000" w:csb0="00040000" w:csb1="00000000"/>
  </w:font>
  <w:font w:name="方正楷体_GBK">
    <w:altName w:val="Arial Unicode MS"/>
    <w:panose1 w:val="03000509000000000000"/>
    <w:charset w:val="86"/>
    <w:family w:val="auto"/>
    <w:pitch w:val="default"/>
    <w:sig w:usb0="00000001" w:usb1="080E0000" w:usb2="00000000" w:usb3="00000000" w:csb0="00040000" w:csb1="00000000"/>
  </w:font>
  <w:font w:name="方正小标宋_GBK">
    <w:altName w:val="Arial Unicode MS"/>
    <w:panose1 w:val="03000509000000000000"/>
    <w:charset w:val="86"/>
    <w:family w:val="auto"/>
    <w:pitch w:val="default"/>
    <w:sig w:usb0="00000001" w:usb1="080E0000" w:usb2="00000000" w:usb3="00000000" w:csb0="00040000" w:csb1="00000000"/>
  </w:font>
  <w:font w:name="方正仿宋_GB2312">
    <w:altName w:val="仿宋"/>
    <w:panose1 w:val="02000000000000000000"/>
    <w:charset w:val="00"/>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53F48">
    <w:pPr>
      <w:pStyle w:val="4"/>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DFBCD30">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EPMeEBAADMAwAADgAAAGRycy9lMm9Eb2MueG1srVPNjtMwEL4j8Q6W&#10;7zRpD6iKmq6AahESAqSFB3Adp7FkeyyP26Q8ALwBJy7cea4+B2Mn6S7LZQ9ckvnzN/N9Hm9uBmvY&#10;SQXU4Gq+XJScKSeh0e5Q8y+fb1+sOcMoXCMMOFXzs0J+s33+bNP7Sq2gA9OowAjEYdX7mncx+qoo&#10;UHbKClyAV46SLQQrIrnhUDRB9IRuTbEqy5dFD6HxAaRCpOhuTPIJMTwFENpWS7UDebTKxRE1KCMi&#10;UcJOe+TbPG3bKhk/ti2qyEzNiWnMX2pC9j59i+1GVIcgfKflNIJ4ygiPOFmhHTW9Qu1EFOwY9D9Q&#10;VssACG1cSLDFSCQrQiyW5SNt7jrhVeZCUqO/io7/D1Z+OH0KTDe0CZw5YenCLz++X37+vvz6xpZJ&#10;nt5jRVV3nuri8BqGVDrFkYKJ9dAGm/7Eh1GexD1fxVVDZDIdWq/W65JSknKzQzjF/XEfML5VYFky&#10;ah7o9rKo4vQe41g6l6RuDm61MRQXlXF/BQhzjKi8AtPpxGScOFlx2A8TjT00Z2JHj4K6dhC+ctbT&#10;StTc0QvgzLxzpHjantkIs7GfDeEkHax55Gw038Rxy44+6EOX9y6NiP7VMdLcmU4aY+xNMiSHLjkL&#10;Mi1k2qKHfq66f4Tb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esQ8x4QEAAMwDAAAOAAAA&#10;AAAAAAEAIAAAAB4BAABkcnMvZTJvRG9jLnhtbFBLBQYAAAAABgAGAFkBAABxBQAAAAA=&#10;">
              <v:fill on="f" focussize="0,0"/>
              <v:stroke on="f"/>
              <v:imagedata o:title=""/>
              <o:lock v:ext="edit" aspectratio="f"/>
              <v:textbox inset="0mm,0mm,0mm,0mm" style="mso-fit-shape-to-text:t;">
                <w:txbxContent>
                  <w:p w14:paraId="6DFBCD30">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DE0872"/>
    <w:multiLevelType w:val="singleLevel"/>
    <w:tmpl w:val="FFDE0872"/>
    <w:lvl w:ilvl="0" w:tentative="0">
      <w:start w:val="1"/>
      <w:numFmt w:val="chineseCounting"/>
      <w:suff w:val="space"/>
      <w:lvlText w:val="第%1条"/>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83E4F436"/>
    <w:rsid w:val="2FF7521F"/>
    <w:rsid w:val="3EDA577A"/>
    <w:rsid w:val="40656392"/>
    <w:rsid w:val="5BAAB827"/>
    <w:rsid w:val="7FFC5CE3"/>
    <w:rsid w:val="83E4F43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420" w:firstLineChars="200"/>
      <w:jc w:val="both"/>
    </w:pPr>
    <w:rPr>
      <w:rFonts w:ascii="Times New Roman" w:hAnsi="Times New Roman" w:eastAsia="方正仿宋_GBK" w:cs="Times New Roman"/>
      <w:kern w:val="2"/>
      <w:sz w:val="32"/>
      <w:szCs w:val="24"/>
      <w:lang w:val="en-US" w:eastAsia="zh-CN" w:bidi="ar-SA"/>
    </w:rPr>
  </w:style>
  <w:style w:type="paragraph" w:styleId="2">
    <w:name w:val="heading 1"/>
    <w:basedOn w:val="1"/>
    <w:next w:val="1"/>
    <w:qFormat/>
    <w:uiPriority w:val="0"/>
    <w:pPr>
      <w:keepNext w:val="0"/>
      <w:keepLines/>
      <w:spacing w:beforeLines="0" w:beforeAutospacing="0" w:afterLines="0" w:afterAutospacing="0" w:line="560" w:lineRule="exact"/>
      <w:outlineLvl w:val="0"/>
    </w:pPr>
    <w:rPr>
      <w:rFonts w:eastAsia="方正黑体_GBK"/>
      <w:kern w:val="44"/>
      <w:sz w:val="32"/>
    </w:rPr>
  </w:style>
  <w:style w:type="paragraph" w:styleId="3">
    <w:name w:val="heading 2"/>
    <w:basedOn w:val="1"/>
    <w:next w:val="1"/>
    <w:unhideWhenUsed/>
    <w:qFormat/>
    <w:uiPriority w:val="0"/>
    <w:pPr>
      <w:keepNext w:val="0"/>
      <w:keepLines/>
      <w:spacing w:beforeLines="0" w:beforeAutospacing="0" w:afterLines="0" w:afterAutospacing="0" w:line="560" w:lineRule="exact"/>
      <w:outlineLvl w:val="1"/>
    </w:pPr>
    <w:rPr>
      <w:rFonts w:ascii="Times New Roman" w:hAnsi="Times New Roman" w:eastAsia="方正楷体_GBK"/>
    </w:rPr>
  </w:style>
  <w:style w:type="character" w:default="1" w:styleId="7">
    <w:name w:val="Default Paragraph Font"/>
    <w:semiHidden/>
    <w:qFormat/>
    <w:uiPriority w:val="0"/>
  </w:style>
  <w:style w:type="table" w:default="1" w:styleId="6">
    <w:name w:val="Normal Table"/>
    <w:semiHidden/>
    <w:qFormat/>
    <w:uiPriority w:val="0"/>
    <w:tblPr>
      <w:tblStyle w:val="6"/>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spacing w:line="240" w:lineRule="auto"/>
      <w:ind w:firstLine="0" w:firstLineChars="0"/>
      <w:jc w:val="left"/>
    </w:pPr>
    <w:rPr>
      <w:rFonts w:ascii="宋体" w:hAnsi="宋体" w:eastAsia="宋体"/>
      <w:sz w:val="28"/>
    </w:rPr>
  </w:style>
  <w:style w:type="paragraph" w:styleId="5">
    <w:name w:val="Normal (Web)"/>
    <w:basedOn w:val="1"/>
    <w:qFormat/>
    <w:uiPriority w:val="0"/>
    <w:rPr>
      <w:sz w:val="24"/>
    </w:rPr>
  </w:style>
  <w:style w:type="paragraph" w:customStyle="1" w:styleId="8">
    <w:name w:val="正文标题"/>
    <w:basedOn w:val="1"/>
    <w:qFormat/>
    <w:uiPriority w:val="0"/>
    <w:pPr>
      <w:ind w:firstLine="0" w:firstLineChars="0"/>
      <w:jc w:val="center"/>
    </w:pPr>
    <w:rPr>
      <w:rFonts w:ascii="Times New Roman" w:hAnsi="Times New Roman" w:eastAsia="方正小标宋_GBK"/>
      <w:sz w:val="4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491</Words>
  <Characters>491</Characters>
  <Lines>0</Lines>
  <Paragraphs>0</Paragraphs>
  <TotalTime>0</TotalTime>
  <ScaleCrop>false</ScaleCrop>
  <LinksUpToDate>false</LinksUpToDate>
  <CharactersWithSpaces>494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2026-10-28T15:58:00Z</dcterms:created>
  <dc:creator>段葳</dc:creator>
  <cp:lastModifiedBy>郭丽娜</cp:lastModifiedBy>
  <dcterms:modified xsi:type="dcterms:W3CDTF">2026-10-28T08:57:34Z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B84CC4F8416544C9A0075CF0C3CA87F8_13</vt:lpwstr>
  </property>
</Properties>
</file>