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9814" w:type="dxa"/>
        <w:tblInd w:w="-210" w:type="dxa"/>
        <w:tblLayout w:type="fixed"/>
        <w:tblCellMar>
          <w:top w:w="0" w:type="dxa"/>
          <w:left w:w="108" w:type="dxa"/>
          <w:bottom w:w="0" w:type="dxa"/>
          <w:right w:w="108" w:type="dxa"/>
        </w:tblCellMar>
      </w:tblPr>
      <w:tblGrid>
        <w:gridCol w:w="1756"/>
        <w:gridCol w:w="2246"/>
        <w:gridCol w:w="1276"/>
        <w:gridCol w:w="1559"/>
        <w:gridCol w:w="1276"/>
        <w:gridCol w:w="1701"/>
      </w:tblGrid>
      <w:tr w14:paraId="5481ED85">
        <w:tblPrEx>
          <w:tblCellMar>
            <w:top w:w="0" w:type="dxa"/>
            <w:left w:w="108" w:type="dxa"/>
            <w:bottom w:w="0" w:type="dxa"/>
            <w:right w:w="108" w:type="dxa"/>
          </w:tblCellMar>
        </w:tblPrEx>
        <w:trPr>
          <w:trHeight w:val="0" w:hRule="atLeast"/>
        </w:trPr>
        <w:tc>
          <w:tcPr>
            <w:tcW w:w="1756" w:type="dxa"/>
            <w:tcBorders>
              <w:top w:val="single" w:color="auto" w:sz="4" w:space="0"/>
              <w:left w:val="single" w:color="auto" w:sz="4" w:space="0"/>
              <w:bottom w:val="single" w:color="auto" w:sz="4" w:space="0"/>
              <w:right w:val="single" w:color="auto" w:sz="4" w:space="0"/>
            </w:tcBorders>
            <w:shd w:val="clear" w:color="auto" w:fill="C0C0C0"/>
            <w:vAlign w:val="center"/>
          </w:tcPr>
          <w:p w14:paraId="1DBF56A6">
            <w:pPr>
              <w:widowControl/>
              <w:spacing w:line="280" w:lineRule="exact"/>
              <w:jc w:val="left"/>
              <w:rPr>
                <w:rFonts w:hint="default" w:ascii="Times New Roman" w:hAnsi="Times New Roman" w:eastAsia="宋体" w:cs="Times New Roman"/>
                <w:kern w:val="0"/>
                <w:sz w:val="24"/>
                <w:szCs w:val="24"/>
              </w:rPr>
            </w:pPr>
            <w:bookmarkStart w:id="0" w:name="_GoBack"/>
            <w:bookmarkEnd w:id="0"/>
            <w:r>
              <w:rPr>
                <w:rFonts w:hint="default" w:ascii="Times New Roman" w:hAnsi="Times New Roman" w:eastAsia="宋体" w:cs="Times New Roman"/>
                <w:sz w:val="24"/>
                <w:szCs w:val="24"/>
              </w:rPr>
              <w:t xml:space="preserve"> </w:t>
            </w:r>
            <w:r>
              <w:rPr>
                <w:rFonts w:hint="default" w:ascii="Times New Roman" w:hAnsi="Times New Roman" w:eastAsia="宋体" w:cs="Times New Roman"/>
                <w:kern w:val="0"/>
                <w:sz w:val="24"/>
                <w:szCs w:val="24"/>
              </w:rPr>
              <w:t>项目名称</w:t>
            </w:r>
          </w:p>
        </w:tc>
        <w:tc>
          <w:tcPr>
            <w:tcW w:w="2246" w:type="dxa"/>
            <w:tcBorders>
              <w:top w:val="single" w:color="auto" w:sz="4" w:space="0"/>
              <w:left w:val="nil"/>
              <w:bottom w:val="single" w:color="auto" w:sz="4" w:space="0"/>
              <w:right w:val="single" w:color="auto" w:sz="4" w:space="0"/>
            </w:tcBorders>
            <w:shd w:val="clear" w:color="auto" w:fill="auto"/>
            <w:vAlign w:val="center"/>
          </w:tcPr>
          <w:p w14:paraId="39CCD1B0">
            <w:pPr>
              <w:widowControl/>
              <w:spacing w:line="280" w:lineRule="exact"/>
              <w:jc w:val="center"/>
              <w:rPr>
                <w:rFonts w:hint="eastAsia" w:ascii="Times New Roman" w:hAnsi="Times New Roman" w:eastAsia="宋体" w:cs="Times New Roman"/>
                <w:sz w:val="24"/>
                <w:szCs w:val="24"/>
                <w:lang w:eastAsia="zh-CN"/>
              </w:rPr>
            </w:pPr>
            <w:r>
              <w:rPr>
                <w:rFonts w:hint="eastAsia" w:ascii="仿宋" w:hAnsi="仿宋" w:eastAsia="仿宋" w:cs="仿宋"/>
                <w:sz w:val="24"/>
                <w:szCs w:val="24"/>
                <w:lang w:eastAsia="zh-CN"/>
              </w:rPr>
              <w:t>大草房至六合一110kV送出线路工程</w:t>
            </w:r>
          </w:p>
        </w:tc>
        <w:tc>
          <w:tcPr>
            <w:tcW w:w="1276" w:type="dxa"/>
            <w:tcBorders>
              <w:top w:val="single" w:color="auto" w:sz="4" w:space="0"/>
              <w:left w:val="nil"/>
              <w:bottom w:val="single" w:color="auto" w:sz="4" w:space="0"/>
              <w:right w:val="single" w:color="auto" w:sz="4" w:space="0"/>
            </w:tcBorders>
            <w:shd w:val="clear" w:color="auto" w:fill="C0C0C0"/>
            <w:vAlign w:val="center"/>
          </w:tcPr>
          <w:p w14:paraId="43DD2935">
            <w:pPr>
              <w:widowControl/>
              <w:spacing w:line="280" w:lineRule="exact"/>
              <w:jc w:val="left"/>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建设地点</w:t>
            </w:r>
          </w:p>
        </w:tc>
        <w:tc>
          <w:tcPr>
            <w:tcW w:w="1559" w:type="dxa"/>
            <w:tcBorders>
              <w:top w:val="single" w:color="auto" w:sz="4" w:space="0"/>
              <w:left w:val="nil"/>
              <w:bottom w:val="single" w:color="auto" w:sz="4" w:space="0"/>
              <w:right w:val="single" w:color="auto" w:sz="4" w:space="0"/>
            </w:tcBorders>
            <w:shd w:val="clear" w:color="auto" w:fill="auto"/>
            <w:vAlign w:val="center"/>
          </w:tcPr>
          <w:p w14:paraId="11747858">
            <w:pPr>
              <w:widowControl/>
              <w:spacing w:line="280" w:lineRule="exact"/>
              <w:jc w:val="center"/>
              <w:rPr>
                <w:rFonts w:hint="eastAsia" w:ascii="Times New Roman" w:hAnsi="Times New Roman" w:eastAsia="宋体" w:cs="Times New Roman"/>
                <w:sz w:val="24"/>
                <w:szCs w:val="24"/>
                <w:lang w:val="en-US" w:eastAsia="zh-CN"/>
              </w:rPr>
            </w:pPr>
            <w:r>
              <w:rPr>
                <w:rFonts w:hint="default" w:ascii="仿宋" w:hAnsi="仿宋" w:eastAsia="仿宋" w:cs="仿宋"/>
                <w:sz w:val="24"/>
                <w:szCs w:val="24"/>
                <w:lang w:eastAsia="zh-CN"/>
              </w:rPr>
              <w:t>会泽县</w:t>
            </w:r>
            <w:r>
              <w:rPr>
                <w:rFonts w:hint="default" w:ascii="仿宋" w:hAnsi="仿宋" w:eastAsia="仿宋" w:cs="仿宋"/>
                <w:sz w:val="24"/>
                <w:szCs w:val="24"/>
                <w:lang w:val="en-US" w:eastAsia="zh-CN"/>
              </w:rPr>
              <w:t>宝云街道、乐业</w:t>
            </w:r>
            <w:r>
              <w:rPr>
                <w:rFonts w:hint="default" w:ascii="仿宋" w:hAnsi="仿宋" w:eastAsia="仿宋" w:cs="仿宋"/>
                <w:sz w:val="24"/>
                <w:szCs w:val="24"/>
                <w:lang w:eastAsia="zh-CN"/>
              </w:rPr>
              <w:t>镇</w:t>
            </w:r>
            <w:r>
              <w:rPr>
                <w:rFonts w:hint="default" w:ascii="仿宋" w:hAnsi="仿宋" w:eastAsia="仿宋" w:cs="仿宋"/>
                <w:sz w:val="24"/>
                <w:szCs w:val="24"/>
                <w:lang w:val="en-US" w:eastAsia="zh-CN"/>
              </w:rPr>
              <w:t>、五星乡</w:t>
            </w:r>
            <w:r>
              <w:rPr>
                <w:rFonts w:hint="eastAsia" w:ascii="仿宋" w:hAnsi="仿宋" w:eastAsia="仿宋" w:cs="仿宋"/>
                <w:sz w:val="24"/>
                <w:szCs w:val="24"/>
                <w:lang w:val="en-US" w:eastAsia="zh-CN"/>
              </w:rPr>
              <w:t>境内</w:t>
            </w:r>
          </w:p>
        </w:tc>
        <w:tc>
          <w:tcPr>
            <w:tcW w:w="1276" w:type="dxa"/>
            <w:tcBorders>
              <w:top w:val="single" w:color="auto" w:sz="4" w:space="0"/>
              <w:left w:val="nil"/>
              <w:bottom w:val="single" w:color="auto" w:sz="4" w:space="0"/>
              <w:right w:val="single" w:color="auto" w:sz="4" w:space="0"/>
            </w:tcBorders>
            <w:shd w:val="clear" w:color="auto" w:fill="C0C0C0"/>
            <w:vAlign w:val="center"/>
          </w:tcPr>
          <w:p w14:paraId="5128E352">
            <w:pPr>
              <w:widowControl/>
              <w:spacing w:line="280" w:lineRule="exact"/>
              <w:jc w:val="left"/>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建设单位</w:t>
            </w:r>
          </w:p>
        </w:tc>
        <w:tc>
          <w:tcPr>
            <w:tcW w:w="1701" w:type="dxa"/>
            <w:tcBorders>
              <w:top w:val="single" w:color="auto" w:sz="4" w:space="0"/>
              <w:left w:val="nil"/>
              <w:bottom w:val="single" w:color="auto" w:sz="4" w:space="0"/>
              <w:right w:val="single" w:color="auto" w:sz="4" w:space="0"/>
            </w:tcBorders>
            <w:vAlign w:val="center"/>
          </w:tcPr>
          <w:p w14:paraId="4CCDCD48">
            <w:pPr>
              <w:widowControl/>
              <w:spacing w:line="280" w:lineRule="exact"/>
              <w:jc w:val="center"/>
              <w:rPr>
                <w:rFonts w:hint="eastAsia" w:ascii="Times New Roman" w:hAnsi="Times New Roman" w:eastAsia="宋体" w:cs="Times New Roman"/>
                <w:sz w:val="24"/>
                <w:szCs w:val="24"/>
                <w:lang w:eastAsia="zh-CN"/>
              </w:rPr>
            </w:pPr>
            <w:r>
              <w:rPr>
                <w:rFonts w:hint="eastAsia" w:ascii="仿宋" w:hAnsi="仿宋" w:eastAsia="仿宋" w:cs="仿宋"/>
                <w:sz w:val="24"/>
                <w:szCs w:val="24"/>
                <w:lang w:eastAsia="zh-CN"/>
              </w:rPr>
              <w:t>云南华电道成清洁能源有限公司</w:t>
            </w:r>
          </w:p>
        </w:tc>
      </w:tr>
      <w:tr w14:paraId="76EC4F68">
        <w:tblPrEx>
          <w:tblCellMar>
            <w:top w:w="0" w:type="dxa"/>
            <w:left w:w="108" w:type="dxa"/>
            <w:bottom w:w="0" w:type="dxa"/>
            <w:right w:w="108" w:type="dxa"/>
          </w:tblCellMar>
        </w:tblPrEx>
        <w:trPr>
          <w:trHeight w:val="0" w:hRule="atLeast"/>
        </w:trPr>
        <w:tc>
          <w:tcPr>
            <w:tcW w:w="1756" w:type="dxa"/>
            <w:tcBorders>
              <w:top w:val="nil"/>
              <w:left w:val="single" w:color="auto" w:sz="4" w:space="0"/>
              <w:bottom w:val="single" w:color="auto" w:sz="4" w:space="0"/>
              <w:right w:val="single" w:color="auto" w:sz="4" w:space="0"/>
            </w:tcBorders>
            <w:shd w:val="clear" w:color="auto" w:fill="C0C0C0"/>
            <w:vAlign w:val="center"/>
          </w:tcPr>
          <w:p w14:paraId="5D9B99BC">
            <w:pPr>
              <w:widowControl/>
              <w:spacing w:line="280" w:lineRule="exact"/>
              <w:jc w:val="left"/>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环评文件类型</w:t>
            </w:r>
          </w:p>
        </w:tc>
        <w:tc>
          <w:tcPr>
            <w:tcW w:w="2246" w:type="dxa"/>
            <w:tcBorders>
              <w:top w:val="nil"/>
              <w:left w:val="nil"/>
              <w:bottom w:val="single" w:color="auto" w:sz="4" w:space="0"/>
              <w:right w:val="single" w:color="auto" w:sz="4" w:space="0"/>
            </w:tcBorders>
            <w:shd w:val="clear" w:color="auto" w:fill="auto"/>
            <w:vAlign w:val="center"/>
          </w:tcPr>
          <w:p w14:paraId="0BA6C561">
            <w:pPr>
              <w:widowControl/>
              <w:spacing w:line="280" w:lineRule="exact"/>
              <w:jc w:val="center"/>
              <w:rPr>
                <w:rFonts w:hint="default" w:ascii="Times New Roman" w:hAnsi="Times New Roman" w:eastAsia="宋体" w:cs="Times New Roman"/>
                <w:kern w:val="0"/>
                <w:sz w:val="24"/>
                <w:szCs w:val="24"/>
                <w:lang w:val="en-US" w:eastAsia="zh-CN"/>
              </w:rPr>
            </w:pPr>
            <w:r>
              <w:rPr>
                <w:rFonts w:hint="default" w:ascii="仿宋" w:hAnsi="仿宋" w:eastAsia="仿宋" w:cs="仿宋"/>
                <w:sz w:val="24"/>
                <w:szCs w:val="24"/>
                <w:lang w:val="en-US" w:eastAsia="zh-CN"/>
              </w:rPr>
              <w:t>报告表</w:t>
            </w:r>
          </w:p>
        </w:tc>
        <w:tc>
          <w:tcPr>
            <w:tcW w:w="1276" w:type="dxa"/>
            <w:tcBorders>
              <w:top w:val="nil"/>
              <w:left w:val="nil"/>
              <w:bottom w:val="single" w:color="auto" w:sz="4" w:space="0"/>
              <w:right w:val="single" w:color="auto" w:sz="4" w:space="0"/>
            </w:tcBorders>
            <w:shd w:val="clear" w:color="auto" w:fill="C0C0C0"/>
            <w:vAlign w:val="center"/>
          </w:tcPr>
          <w:p w14:paraId="27F31B45">
            <w:pPr>
              <w:widowControl/>
              <w:spacing w:line="280" w:lineRule="exact"/>
              <w:jc w:val="left"/>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环境影响评价机构</w:t>
            </w:r>
          </w:p>
        </w:tc>
        <w:tc>
          <w:tcPr>
            <w:tcW w:w="4536" w:type="dxa"/>
            <w:gridSpan w:val="3"/>
            <w:tcBorders>
              <w:top w:val="single" w:color="auto" w:sz="4" w:space="0"/>
              <w:left w:val="nil"/>
              <w:bottom w:val="single" w:color="auto" w:sz="4" w:space="0"/>
              <w:right w:val="single" w:color="000000" w:sz="4" w:space="0"/>
            </w:tcBorders>
            <w:vAlign w:val="center"/>
          </w:tcPr>
          <w:p w14:paraId="21D24BF7">
            <w:pPr>
              <w:widowControl/>
              <w:spacing w:line="280" w:lineRule="exact"/>
              <w:jc w:val="center"/>
              <w:rPr>
                <w:rFonts w:hint="default" w:ascii="Times New Roman" w:hAnsi="Times New Roman" w:eastAsia="宋体" w:cs="Times New Roman"/>
                <w:kern w:val="0"/>
                <w:sz w:val="24"/>
                <w:szCs w:val="24"/>
                <w:lang w:val="en-US" w:eastAsia="zh-CN"/>
              </w:rPr>
            </w:pPr>
            <w:r>
              <w:rPr>
                <w:rFonts w:hint="default" w:ascii="仿宋" w:hAnsi="仿宋" w:eastAsia="仿宋" w:cs="仿宋"/>
                <w:sz w:val="24"/>
                <w:szCs w:val="24"/>
                <w:lang w:val="en-US" w:eastAsia="zh-CN"/>
              </w:rPr>
              <w:t>云南江楚环保科技有限公司</w:t>
            </w:r>
          </w:p>
        </w:tc>
      </w:tr>
      <w:tr w14:paraId="0CED0C65">
        <w:tblPrEx>
          <w:tblCellMar>
            <w:top w:w="0" w:type="dxa"/>
            <w:left w:w="108" w:type="dxa"/>
            <w:bottom w:w="0" w:type="dxa"/>
            <w:right w:w="108" w:type="dxa"/>
          </w:tblCellMar>
        </w:tblPrEx>
        <w:trPr>
          <w:trHeight w:val="0"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6F6A789C">
            <w:pPr>
              <w:widowControl/>
              <w:spacing w:line="28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项目概况</w:t>
            </w:r>
          </w:p>
        </w:tc>
      </w:tr>
      <w:tr w14:paraId="14FFC167">
        <w:tblPrEx>
          <w:tblCellMar>
            <w:top w:w="0" w:type="dxa"/>
            <w:left w:w="108" w:type="dxa"/>
            <w:bottom w:w="0" w:type="dxa"/>
            <w:right w:w="108" w:type="dxa"/>
          </w:tblCellMar>
        </w:tblPrEx>
        <w:trPr>
          <w:trHeight w:val="0"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1AACEC9C">
            <w:pPr>
              <w:keepNext w:val="0"/>
              <w:keepLines w:val="0"/>
              <w:pageBreakBefore w:val="0"/>
              <w:widowControl/>
              <w:kinsoku/>
              <w:wordWrap/>
              <w:overflowPunct/>
              <w:topLinePunct w:val="0"/>
              <w:autoSpaceDE/>
              <w:autoSpaceDN/>
              <w:bidi w:val="0"/>
              <w:adjustRightInd w:val="0"/>
              <w:snapToGrid w:val="0"/>
              <w:spacing w:line="360" w:lineRule="exact"/>
              <w:ind w:firstLine="480" w:firstLineChars="200"/>
              <w:jc w:val="both"/>
              <w:textAlignment w:val="auto"/>
              <w:rPr>
                <w:rFonts w:hint="default" w:ascii="Times New Roman" w:hAnsi="Times New Roman" w:eastAsia="宋体" w:cs="Times New Roman"/>
                <w:sz w:val="24"/>
                <w:szCs w:val="24"/>
              </w:rPr>
            </w:pPr>
            <w:r>
              <w:rPr>
                <w:rFonts w:hint="default" w:ascii="仿宋" w:hAnsi="仿宋" w:eastAsia="仿宋" w:cs="仿宋"/>
                <w:sz w:val="24"/>
                <w:szCs w:val="24"/>
                <w:lang w:val="en-US" w:eastAsia="zh-CN"/>
              </w:rPr>
              <w:t>本工程建设内容为新建1回</w:t>
            </w:r>
            <w:r>
              <w:rPr>
                <w:rFonts w:hint="eastAsia" w:ascii="仿宋" w:hAnsi="仿宋" w:eastAsia="仿宋" w:cs="仿宋"/>
                <w:sz w:val="24"/>
                <w:szCs w:val="24"/>
                <w:lang w:val="en-US" w:eastAsia="zh-CN"/>
              </w:rPr>
              <w:t>11</w:t>
            </w:r>
            <w:r>
              <w:rPr>
                <w:rFonts w:hint="default" w:ascii="仿宋" w:hAnsi="仿宋" w:eastAsia="仿宋" w:cs="仿宋"/>
                <w:sz w:val="24"/>
                <w:szCs w:val="24"/>
                <w:lang w:val="en-US" w:eastAsia="zh-CN"/>
              </w:rPr>
              <w:t>0kV架空线路，起于大草山光伏升压站，讫于六合一光伏升压站，线路全长16km</w:t>
            </w:r>
            <w:r>
              <w:rPr>
                <w:rFonts w:hint="eastAsia" w:ascii="仿宋" w:hAnsi="仿宋" w:eastAsia="仿宋" w:cs="仿宋"/>
                <w:sz w:val="24"/>
                <w:szCs w:val="24"/>
                <w:lang w:val="en-US" w:eastAsia="zh-CN"/>
              </w:rPr>
              <w:t>，新建铁塔45基（其中单回耐张塔17基，单回塔基直线塔28基），采用三角、垂直排列</w:t>
            </w:r>
            <w:r>
              <w:rPr>
                <w:rFonts w:hint="default" w:ascii="仿宋" w:hAnsi="仿宋" w:eastAsia="仿宋" w:cs="仿宋"/>
                <w:sz w:val="24"/>
                <w:szCs w:val="24"/>
                <w:lang w:val="en-US" w:eastAsia="zh-CN"/>
              </w:rPr>
              <w:t>。</w:t>
            </w:r>
          </w:p>
        </w:tc>
      </w:tr>
      <w:tr w14:paraId="30F52FA5">
        <w:tblPrEx>
          <w:tblCellMar>
            <w:top w:w="0" w:type="dxa"/>
            <w:left w:w="108" w:type="dxa"/>
            <w:bottom w:w="0" w:type="dxa"/>
            <w:right w:w="108" w:type="dxa"/>
          </w:tblCellMar>
        </w:tblPrEx>
        <w:trPr>
          <w:trHeight w:val="0"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15DF8908">
            <w:pPr>
              <w:widowControl/>
              <w:spacing w:line="28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项目主要环境影响</w:t>
            </w:r>
          </w:p>
        </w:tc>
      </w:tr>
      <w:tr w14:paraId="7B07977B">
        <w:tblPrEx>
          <w:tblCellMar>
            <w:top w:w="0" w:type="dxa"/>
            <w:left w:w="108" w:type="dxa"/>
            <w:bottom w:w="0" w:type="dxa"/>
            <w:right w:w="108" w:type="dxa"/>
          </w:tblCellMar>
        </w:tblPrEx>
        <w:trPr>
          <w:trHeight w:val="0"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31F643FD">
            <w:pPr>
              <w:keepNext w:val="0"/>
              <w:keepLines w:val="0"/>
              <w:pageBreakBefore w:val="0"/>
              <w:widowControl w:val="0"/>
              <w:kinsoku/>
              <w:wordWrap/>
              <w:overflowPunct/>
              <w:topLinePunct w:val="0"/>
              <w:autoSpaceDE/>
              <w:autoSpaceDN/>
              <w:bidi w:val="0"/>
              <w:adjustRightInd w:val="0"/>
              <w:snapToGrid w:val="0"/>
              <w:spacing w:line="360" w:lineRule="exact"/>
              <w:ind w:firstLine="482" w:firstLineChars="200"/>
              <w:textAlignment w:val="auto"/>
              <w:rPr>
                <w:rFonts w:hint="eastAsia" w:ascii="仿宋" w:hAnsi="仿宋" w:eastAsia="仿宋" w:cs="仿宋"/>
                <w:color w:val="auto"/>
                <w:kern w:val="0"/>
                <w:sz w:val="24"/>
                <w:szCs w:val="24"/>
              </w:rPr>
            </w:pPr>
            <w:r>
              <w:rPr>
                <w:rFonts w:hint="eastAsia" w:ascii="仿宋" w:hAnsi="仿宋" w:eastAsia="仿宋" w:cs="仿宋"/>
                <w:b/>
                <w:bCs/>
                <w:color w:val="auto"/>
                <w:kern w:val="0"/>
                <w:sz w:val="24"/>
                <w:szCs w:val="24"/>
                <w:lang w:eastAsia="zh-CN"/>
              </w:rPr>
              <w:t>一、</w:t>
            </w:r>
            <w:r>
              <w:rPr>
                <w:rFonts w:hint="eastAsia" w:ascii="仿宋" w:hAnsi="仿宋" w:eastAsia="仿宋" w:cs="仿宋"/>
                <w:b/>
                <w:bCs/>
                <w:color w:val="auto"/>
                <w:kern w:val="0"/>
                <w:sz w:val="24"/>
                <w:szCs w:val="24"/>
              </w:rPr>
              <w:t>施工期影响：</w:t>
            </w:r>
            <w:r>
              <w:rPr>
                <w:rFonts w:hint="eastAsia" w:ascii="仿宋" w:hAnsi="仿宋" w:eastAsia="仿宋" w:cs="仿宋"/>
                <w:color w:val="auto"/>
                <w:kern w:val="0"/>
                <w:sz w:val="24"/>
                <w:szCs w:val="24"/>
              </w:rPr>
              <w:t>①噪声：施工机械和运输车辆</w:t>
            </w:r>
            <w:r>
              <w:rPr>
                <w:rFonts w:hint="eastAsia" w:ascii="仿宋" w:hAnsi="仿宋" w:eastAsia="仿宋" w:cs="仿宋"/>
                <w:color w:val="auto"/>
                <w:kern w:val="0"/>
                <w:sz w:val="24"/>
                <w:szCs w:val="24"/>
                <w:lang w:val="en-US" w:eastAsia="zh-CN"/>
              </w:rPr>
              <w:t>噪声</w:t>
            </w:r>
            <w:r>
              <w:rPr>
                <w:rFonts w:hint="eastAsia" w:ascii="仿宋" w:hAnsi="仿宋" w:eastAsia="仿宋" w:cs="仿宋"/>
                <w:color w:val="auto"/>
                <w:kern w:val="0"/>
                <w:sz w:val="24"/>
                <w:szCs w:val="24"/>
              </w:rPr>
              <w:t>；②固体废物：土石方，建筑垃圾及生活垃圾；③废水：施工废水及生活污水；④废气：扬尘。</w:t>
            </w:r>
          </w:p>
          <w:p w14:paraId="6F7A8952">
            <w:pPr>
              <w:keepNext w:val="0"/>
              <w:keepLines w:val="0"/>
              <w:pageBreakBefore w:val="0"/>
              <w:widowControl w:val="0"/>
              <w:kinsoku/>
              <w:wordWrap/>
              <w:overflowPunct/>
              <w:topLinePunct w:val="0"/>
              <w:autoSpaceDE/>
              <w:autoSpaceDN/>
              <w:bidi w:val="0"/>
              <w:adjustRightInd w:val="0"/>
              <w:snapToGrid w:val="0"/>
              <w:spacing w:line="360" w:lineRule="exact"/>
              <w:ind w:firstLine="482" w:firstLineChars="200"/>
              <w:textAlignment w:val="auto"/>
              <w:rPr>
                <w:rFonts w:hint="default" w:ascii="Times New Roman" w:hAnsi="Times New Roman" w:eastAsia="宋体" w:cs="Times New Roman"/>
                <w:sz w:val="24"/>
                <w:szCs w:val="24"/>
              </w:rPr>
            </w:pPr>
            <w:r>
              <w:rPr>
                <w:rFonts w:hint="eastAsia" w:ascii="仿宋" w:hAnsi="仿宋" w:eastAsia="仿宋" w:cs="仿宋"/>
                <w:b/>
                <w:bCs/>
                <w:color w:val="auto"/>
                <w:kern w:val="0"/>
                <w:sz w:val="24"/>
                <w:szCs w:val="24"/>
                <w:lang w:eastAsia="zh-CN"/>
              </w:rPr>
              <w:t>二、</w:t>
            </w:r>
            <w:r>
              <w:rPr>
                <w:rFonts w:hint="eastAsia" w:ascii="仿宋" w:hAnsi="仿宋" w:eastAsia="仿宋" w:cs="仿宋"/>
                <w:b/>
                <w:bCs/>
                <w:color w:val="auto"/>
                <w:kern w:val="0"/>
                <w:sz w:val="24"/>
                <w:szCs w:val="24"/>
              </w:rPr>
              <w:t>运营期影响：</w:t>
            </w:r>
            <w:r>
              <w:rPr>
                <w:rFonts w:hint="eastAsia" w:ascii="仿宋" w:hAnsi="仿宋" w:eastAsia="仿宋" w:cs="仿宋"/>
                <w:color w:val="auto"/>
                <w:kern w:val="0"/>
                <w:sz w:val="24"/>
                <w:szCs w:val="24"/>
              </w:rPr>
              <w:t>①噪声：</w:t>
            </w:r>
            <w:r>
              <w:rPr>
                <w:rFonts w:hint="eastAsia" w:ascii="仿宋" w:hAnsi="仿宋" w:eastAsia="仿宋" w:cs="仿宋"/>
                <w:color w:val="auto"/>
                <w:kern w:val="0"/>
                <w:sz w:val="24"/>
                <w:szCs w:val="24"/>
                <w:lang w:eastAsia="zh-CN"/>
              </w:rPr>
              <w:t>设备</w:t>
            </w:r>
            <w:r>
              <w:rPr>
                <w:rFonts w:hint="eastAsia" w:ascii="仿宋" w:hAnsi="仿宋" w:eastAsia="仿宋" w:cs="仿宋"/>
                <w:color w:val="auto"/>
                <w:kern w:val="0"/>
                <w:sz w:val="24"/>
                <w:szCs w:val="24"/>
              </w:rPr>
              <w:t>噪声；②固体废物：</w:t>
            </w:r>
            <w:r>
              <w:rPr>
                <w:rFonts w:hint="eastAsia" w:ascii="仿宋" w:hAnsi="仿宋" w:eastAsia="仿宋" w:cs="仿宋"/>
                <w:color w:val="auto"/>
                <w:kern w:val="0"/>
                <w:sz w:val="24"/>
                <w:szCs w:val="24"/>
                <w:lang w:val="en-US" w:eastAsia="zh-CN"/>
              </w:rPr>
              <w:t>废旧设备及生活垃圾</w:t>
            </w:r>
            <w:r>
              <w:rPr>
                <w:rFonts w:hint="eastAsia" w:ascii="仿宋" w:hAnsi="仿宋" w:eastAsia="仿宋" w:cs="仿宋"/>
                <w:color w:val="auto"/>
                <w:kern w:val="0"/>
                <w:sz w:val="24"/>
                <w:szCs w:val="24"/>
                <w:lang w:eastAsia="zh-CN"/>
              </w:rPr>
              <w:t>等</w:t>
            </w:r>
            <w:r>
              <w:rPr>
                <w:rFonts w:hint="eastAsia" w:ascii="仿宋" w:hAnsi="仿宋" w:eastAsia="仿宋" w:cs="仿宋"/>
                <w:color w:val="auto"/>
                <w:kern w:val="0"/>
                <w:sz w:val="24"/>
                <w:szCs w:val="24"/>
              </w:rPr>
              <w:t>。③</w:t>
            </w:r>
            <w:r>
              <w:rPr>
                <w:rFonts w:hint="eastAsia" w:ascii="仿宋" w:hAnsi="仿宋" w:eastAsia="仿宋" w:cs="仿宋"/>
                <w:color w:val="auto"/>
                <w:kern w:val="0"/>
                <w:sz w:val="24"/>
                <w:szCs w:val="24"/>
                <w:lang w:val="en-US" w:eastAsia="zh-CN"/>
              </w:rPr>
              <w:t>电磁：工频电场、工频磁场；</w:t>
            </w:r>
            <w:r>
              <w:rPr>
                <w:rFonts w:hint="eastAsia" w:ascii="仿宋" w:hAnsi="仿宋" w:eastAsia="仿宋" w:cs="仿宋"/>
                <w:color w:val="auto"/>
                <w:kern w:val="0"/>
                <w:sz w:val="24"/>
                <w:szCs w:val="24"/>
              </w:rPr>
              <w:t>④</w:t>
            </w:r>
            <w:r>
              <w:rPr>
                <w:rFonts w:hint="eastAsia" w:ascii="仿宋" w:hAnsi="仿宋" w:eastAsia="仿宋" w:cs="仿宋"/>
                <w:color w:val="auto"/>
                <w:kern w:val="0"/>
                <w:sz w:val="24"/>
                <w:szCs w:val="24"/>
                <w:lang w:val="en-US" w:eastAsia="zh-CN"/>
              </w:rPr>
              <w:t>废水。</w:t>
            </w:r>
          </w:p>
        </w:tc>
      </w:tr>
      <w:tr w14:paraId="2F9A8239">
        <w:tblPrEx>
          <w:tblCellMar>
            <w:top w:w="0" w:type="dxa"/>
            <w:left w:w="108" w:type="dxa"/>
            <w:bottom w:w="0" w:type="dxa"/>
            <w:right w:w="108" w:type="dxa"/>
          </w:tblCellMar>
        </w:tblPrEx>
        <w:trPr>
          <w:trHeight w:val="0"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63A48C74">
            <w:pPr>
              <w:widowControl/>
              <w:spacing w:line="28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项目预防及减轻不良环境影响的对策和措施</w:t>
            </w:r>
          </w:p>
        </w:tc>
      </w:tr>
      <w:tr w14:paraId="69ED103D">
        <w:tblPrEx>
          <w:tblCellMar>
            <w:top w:w="0" w:type="dxa"/>
            <w:left w:w="108" w:type="dxa"/>
            <w:bottom w:w="0" w:type="dxa"/>
            <w:right w:w="108" w:type="dxa"/>
          </w:tblCellMar>
        </w:tblPrEx>
        <w:trPr>
          <w:trHeight w:val="0"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73680AFB">
            <w:pPr>
              <w:keepNext w:val="0"/>
              <w:keepLines w:val="0"/>
              <w:pageBreakBefore w:val="0"/>
              <w:widowControl/>
              <w:kinsoku/>
              <w:wordWrap/>
              <w:overflowPunct/>
              <w:topLinePunct w:val="0"/>
              <w:autoSpaceDE/>
              <w:autoSpaceDN/>
              <w:bidi w:val="0"/>
              <w:adjustRightInd w:val="0"/>
              <w:snapToGrid w:val="0"/>
              <w:spacing w:line="360" w:lineRule="exact"/>
              <w:ind w:firstLine="482" w:firstLineChars="200"/>
              <w:jc w:val="both"/>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rPr>
              <w:t>一</w:t>
            </w:r>
            <w:r>
              <w:rPr>
                <w:rFonts w:hint="eastAsia" w:ascii="仿宋" w:hAnsi="仿宋" w:eastAsia="仿宋" w:cs="仿宋"/>
                <w:b/>
                <w:bCs/>
                <w:sz w:val="24"/>
                <w:szCs w:val="24"/>
                <w:lang w:eastAsia="zh-CN"/>
              </w:rPr>
              <w:t>、施工</w:t>
            </w:r>
            <w:r>
              <w:rPr>
                <w:rFonts w:hint="eastAsia" w:ascii="仿宋" w:hAnsi="仿宋" w:eastAsia="仿宋" w:cs="仿宋"/>
                <w:b/>
                <w:bCs/>
                <w:sz w:val="24"/>
                <w:szCs w:val="24"/>
              </w:rPr>
              <w:t>期</w:t>
            </w:r>
            <w:r>
              <w:rPr>
                <w:rFonts w:hint="eastAsia" w:ascii="仿宋" w:hAnsi="仿宋" w:eastAsia="仿宋" w:cs="仿宋"/>
                <w:b/>
                <w:bCs/>
                <w:sz w:val="24"/>
                <w:szCs w:val="24"/>
                <w:lang w:val="en-US" w:eastAsia="zh-CN"/>
              </w:rPr>
              <w:t>措施</w:t>
            </w:r>
          </w:p>
          <w:p w14:paraId="08C165DF">
            <w:pPr>
              <w:keepNext w:val="0"/>
              <w:keepLines w:val="0"/>
              <w:pageBreakBefore w:val="0"/>
              <w:widowControl/>
              <w:kinsoku/>
              <w:wordWrap/>
              <w:overflowPunct/>
              <w:topLinePunct w:val="0"/>
              <w:autoSpaceDE/>
              <w:autoSpaceDN/>
              <w:bidi w:val="0"/>
              <w:adjustRightInd w:val="0"/>
              <w:snapToGrid w:val="0"/>
              <w:spacing w:line="360" w:lineRule="exact"/>
              <w:ind w:left="480" w:leftChars="150" w:firstLine="0" w:firstLineChars="0"/>
              <w:jc w:val="both"/>
              <w:textAlignment w:val="auto"/>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CN"/>
              </w:rPr>
              <w:t>1</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废气：加强对施工现场和物料运输的管理，临时堆土遮盖、洒水降尘等抑尘措施。</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CN"/>
              </w:rPr>
              <w:t>2</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噪声：合理安排施工时间；选用符合国家标准施工机械和车辆，尽量采用低噪声的施工机械和工艺</w:t>
            </w:r>
            <w:r>
              <w:rPr>
                <w:rFonts w:hint="eastAsia" w:ascii="仿宋" w:hAnsi="仿宋" w:eastAsia="仿宋" w:cs="仿宋"/>
                <w:color w:val="auto"/>
                <w:kern w:val="0"/>
                <w:sz w:val="24"/>
                <w:szCs w:val="24"/>
                <w:lang w:eastAsia="zh-CN"/>
              </w:rPr>
              <w:t>，限制夜间施工；确需夜间施工须办理手续并公告。</w:t>
            </w:r>
          </w:p>
          <w:p w14:paraId="5738700D">
            <w:pPr>
              <w:keepNext w:val="0"/>
              <w:keepLines w:val="0"/>
              <w:pageBreakBefore w:val="0"/>
              <w:widowControl/>
              <w:kinsoku/>
              <w:wordWrap/>
              <w:overflowPunct/>
              <w:topLinePunct w:val="0"/>
              <w:autoSpaceDE/>
              <w:autoSpaceDN/>
              <w:bidi w:val="0"/>
              <w:adjustRightInd w:val="0"/>
              <w:snapToGrid w:val="0"/>
              <w:spacing w:line="360" w:lineRule="exact"/>
              <w:ind w:left="480" w:leftChars="150" w:firstLine="0" w:firstLineChars="0"/>
              <w:jc w:val="both"/>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w:t>
            </w:r>
            <w:r>
              <w:rPr>
                <w:rFonts w:hint="eastAsia" w:ascii="仿宋" w:hAnsi="仿宋" w:eastAsia="仿宋" w:cs="仿宋"/>
                <w:color w:val="auto"/>
                <w:kern w:val="0"/>
                <w:sz w:val="24"/>
                <w:szCs w:val="24"/>
              </w:rPr>
              <w:t>废水：</w:t>
            </w:r>
            <w:r>
              <w:rPr>
                <w:rFonts w:hint="eastAsia" w:ascii="仿宋" w:hAnsi="仿宋" w:eastAsia="仿宋" w:cs="仿宋"/>
                <w:color w:val="auto"/>
                <w:kern w:val="0"/>
                <w:sz w:val="24"/>
                <w:szCs w:val="24"/>
                <w:lang w:val="en-US" w:eastAsia="zh-CN"/>
              </w:rPr>
              <w:t>设置车辆清洗池；施工废水产生量较小，回用于施工作业和洒水降尘等，不外排。</w:t>
            </w:r>
          </w:p>
          <w:p w14:paraId="6036A28C">
            <w:pPr>
              <w:keepNext w:val="0"/>
              <w:keepLines w:val="0"/>
              <w:pageBreakBefore w:val="0"/>
              <w:widowControl/>
              <w:kinsoku/>
              <w:wordWrap/>
              <w:overflowPunct/>
              <w:topLinePunct w:val="0"/>
              <w:autoSpaceDE/>
              <w:autoSpaceDN/>
              <w:bidi w:val="0"/>
              <w:adjustRightInd w:val="0"/>
              <w:snapToGrid w:val="0"/>
              <w:spacing w:line="360" w:lineRule="exact"/>
              <w:ind w:left="480" w:leftChars="150" w:firstLine="0" w:firstLineChars="0"/>
              <w:jc w:val="both"/>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固体废物：分别堆放</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CN"/>
              </w:rPr>
              <w:t>生活垃圾收集后委托环卫部门处置；建筑垃圾集中收集、回收利用，不可利用的委托有资质的单位运至相关指定地点规范处置；废土石方按照相关要求处置，并采取临时覆盖，后期植被恢复。</w:t>
            </w:r>
          </w:p>
          <w:p w14:paraId="2ADA5EF4">
            <w:pPr>
              <w:keepNext w:val="0"/>
              <w:keepLines w:val="0"/>
              <w:pageBreakBefore w:val="0"/>
              <w:widowControl/>
              <w:kinsoku/>
              <w:wordWrap/>
              <w:overflowPunct/>
              <w:topLinePunct w:val="0"/>
              <w:autoSpaceDE/>
              <w:autoSpaceDN/>
              <w:bidi w:val="0"/>
              <w:adjustRightInd w:val="0"/>
              <w:snapToGrid w:val="0"/>
              <w:spacing w:line="360" w:lineRule="exact"/>
              <w:ind w:left="480" w:leftChars="150" w:firstLine="0" w:firstLineChars="0"/>
              <w:jc w:val="both"/>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CN"/>
              </w:rPr>
              <w:t>5</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生态</w:t>
            </w:r>
            <w:r>
              <w:rPr>
                <w:rFonts w:hint="eastAsia" w:ascii="仿宋" w:hAnsi="仿宋" w:eastAsia="仿宋" w:cs="仿宋"/>
                <w:color w:val="auto"/>
                <w:kern w:val="0"/>
                <w:sz w:val="24"/>
                <w:szCs w:val="24"/>
                <w:lang w:val="en-US" w:eastAsia="zh-CN"/>
              </w:rPr>
              <w:t>环境</w:t>
            </w:r>
            <w:r>
              <w:rPr>
                <w:rFonts w:hint="eastAsia" w:ascii="仿宋" w:hAnsi="仿宋" w:eastAsia="仿宋" w:cs="仿宋"/>
                <w:color w:val="auto"/>
                <w:kern w:val="0"/>
                <w:sz w:val="24"/>
                <w:szCs w:val="24"/>
              </w:rPr>
              <w:t>：严格控制施工范围；严禁引入外来物种，严禁捕猎、捕食野生动物</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剥离的表土装袋集中堆存，后期回用</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采取临时拦挡及覆盖等，</w:t>
            </w:r>
            <w:r>
              <w:rPr>
                <w:rFonts w:hint="eastAsia" w:ascii="仿宋" w:hAnsi="仿宋" w:eastAsia="仿宋" w:cs="仿宋"/>
                <w:color w:val="auto"/>
                <w:kern w:val="0"/>
                <w:sz w:val="24"/>
                <w:szCs w:val="24"/>
                <w:lang w:val="en-US" w:eastAsia="zh-CN"/>
              </w:rPr>
              <w:t>减少</w:t>
            </w:r>
            <w:r>
              <w:rPr>
                <w:rFonts w:hint="eastAsia" w:ascii="仿宋" w:hAnsi="仿宋" w:eastAsia="仿宋" w:cs="仿宋"/>
                <w:color w:val="auto"/>
                <w:kern w:val="0"/>
                <w:sz w:val="24"/>
                <w:szCs w:val="24"/>
              </w:rPr>
              <w:t>水土流失。施工完成后，应对施工现场进行清理平整并及时进行植被恢复。</w:t>
            </w:r>
          </w:p>
          <w:p w14:paraId="1BE9D42D">
            <w:pPr>
              <w:keepNext w:val="0"/>
              <w:keepLines w:val="0"/>
              <w:pageBreakBefore w:val="0"/>
              <w:widowControl/>
              <w:numPr>
                <w:ilvl w:val="0"/>
                <w:numId w:val="1"/>
              </w:numPr>
              <w:kinsoku/>
              <w:wordWrap/>
              <w:overflowPunct/>
              <w:topLinePunct w:val="0"/>
              <w:autoSpaceDE/>
              <w:autoSpaceDN/>
              <w:bidi w:val="0"/>
              <w:adjustRightInd w:val="0"/>
              <w:snapToGrid w:val="0"/>
              <w:spacing w:line="360" w:lineRule="exact"/>
              <w:ind w:firstLine="482" w:firstLineChars="200"/>
              <w:jc w:val="both"/>
              <w:textAlignment w:val="auto"/>
              <w:rPr>
                <w:rFonts w:hint="eastAsia" w:ascii="仿宋" w:hAnsi="仿宋" w:eastAsia="仿宋" w:cs="仿宋"/>
                <w:b/>
                <w:color w:val="auto"/>
                <w:kern w:val="0"/>
                <w:sz w:val="24"/>
                <w:szCs w:val="24"/>
              </w:rPr>
            </w:pPr>
            <w:r>
              <w:rPr>
                <w:rFonts w:hint="eastAsia" w:ascii="仿宋" w:hAnsi="仿宋" w:eastAsia="仿宋" w:cs="仿宋"/>
                <w:b/>
                <w:color w:val="auto"/>
                <w:kern w:val="0"/>
                <w:sz w:val="24"/>
                <w:szCs w:val="24"/>
              </w:rPr>
              <w:t>运营期对策措施</w:t>
            </w:r>
          </w:p>
          <w:p w14:paraId="0F6B0D72">
            <w:pPr>
              <w:keepNext w:val="0"/>
              <w:keepLines w:val="0"/>
              <w:pageBreakBefore w:val="0"/>
              <w:widowControl/>
              <w:numPr>
                <w:ilvl w:val="0"/>
                <w:numId w:val="2"/>
              </w:numPr>
              <w:kinsoku/>
              <w:wordWrap/>
              <w:overflowPunct/>
              <w:topLinePunct w:val="0"/>
              <w:autoSpaceDE/>
              <w:autoSpaceDN/>
              <w:bidi w:val="0"/>
              <w:adjustRightInd w:val="0"/>
              <w:snapToGrid w:val="0"/>
              <w:spacing w:line="360" w:lineRule="exact"/>
              <w:ind w:firstLine="480" w:firstLineChars="200"/>
              <w:jc w:val="both"/>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eastAsia="zh-CN"/>
              </w:rPr>
              <w:t>电磁</w:t>
            </w: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按照相关要求设计，进行跟踪监测，确保工频电场、工频磁场满足《电磁环境控制限值》（GB8702-2014）中限值要求。</w:t>
            </w:r>
          </w:p>
          <w:p w14:paraId="630E0D2D">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firstLine="480" w:firstLineChars="200"/>
              <w:jc w:val="both"/>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CN"/>
              </w:rPr>
              <w:t>2</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废水：</w:t>
            </w:r>
            <w:r>
              <w:rPr>
                <w:rFonts w:hint="eastAsia" w:ascii="仿宋" w:hAnsi="仿宋" w:eastAsia="仿宋" w:cs="仿宋"/>
                <w:color w:val="auto"/>
                <w:kern w:val="0"/>
                <w:sz w:val="24"/>
                <w:szCs w:val="24"/>
                <w:lang w:val="en-US" w:eastAsia="zh-CN"/>
              </w:rPr>
              <w:t>输电线路运行期不产生废水。</w:t>
            </w:r>
          </w:p>
          <w:p w14:paraId="7E507FC1">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firstLine="480" w:firstLineChars="200"/>
              <w:jc w:val="both"/>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CN"/>
              </w:rPr>
              <w:t>3</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噪声：选择低噪</w:t>
            </w:r>
            <w:r>
              <w:rPr>
                <w:rFonts w:hint="eastAsia" w:ascii="仿宋" w:hAnsi="仿宋" w:eastAsia="仿宋" w:cs="仿宋"/>
                <w:color w:val="auto"/>
                <w:kern w:val="0"/>
                <w:sz w:val="24"/>
                <w:szCs w:val="24"/>
                <w:lang w:eastAsia="zh-CN"/>
              </w:rPr>
              <w:t>声</w:t>
            </w:r>
            <w:r>
              <w:rPr>
                <w:rFonts w:hint="eastAsia" w:ascii="仿宋" w:hAnsi="仿宋" w:eastAsia="仿宋" w:cs="仿宋"/>
                <w:color w:val="auto"/>
                <w:kern w:val="0"/>
                <w:sz w:val="24"/>
                <w:szCs w:val="24"/>
                <w:lang w:val="en-US" w:eastAsia="zh-CN"/>
              </w:rPr>
              <w:t>设备，开展线路噪声监测，保护目标噪声满足《声环境质量标准》（GB3096-2008）相应功能区标准限值要求。</w:t>
            </w:r>
          </w:p>
          <w:p w14:paraId="30B4422C">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firstLine="480" w:firstLineChars="200"/>
              <w:jc w:val="both"/>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固体废弃物：架空线路运营期间产生的固体废物主要为运行检修维护更换下来的绝缘子等金具，统一回收处理。</w:t>
            </w:r>
          </w:p>
          <w:p w14:paraId="2F633DE2">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firstLine="480" w:firstLineChars="200"/>
              <w:jc w:val="both"/>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CN"/>
              </w:rPr>
              <w:t>5</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环境风险：</w:t>
            </w:r>
            <w:r>
              <w:rPr>
                <w:rFonts w:hint="eastAsia" w:ascii="仿宋" w:hAnsi="仿宋" w:eastAsia="仿宋" w:cs="仿宋"/>
                <w:color w:val="auto"/>
                <w:kern w:val="0"/>
                <w:sz w:val="24"/>
                <w:szCs w:val="24"/>
                <w:lang w:val="en-US" w:eastAsia="zh-CN"/>
              </w:rPr>
              <w:t>不新增主变油坑，事故油池、危废暂存间等</w:t>
            </w:r>
            <w:r>
              <w:rPr>
                <w:rFonts w:hint="eastAsia" w:ascii="仿宋" w:hAnsi="仿宋" w:eastAsia="仿宋" w:cs="仿宋"/>
                <w:color w:val="auto"/>
                <w:kern w:val="0"/>
                <w:sz w:val="24"/>
                <w:szCs w:val="24"/>
              </w:rPr>
              <w:t>。</w:t>
            </w:r>
          </w:p>
          <w:p w14:paraId="584C4A3E">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firstLine="480" w:firstLineChars="200"/>
              <w:jc w:val="both"/>
              <w:textAlignment w:val="auto"/>
              <w:rPr>
                <w:rFonts w:hint="default" w:ascii="Times New Roman" w:hAnsi="Times New Roman" w:eastAsia="宋体" w:cs="Times New Roman"/>
                <w:sz w:val="24"/>
                <w:szCs w:val="24"/>
              </w:rPr>
            </w:pP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CN"/>
              </w:rPr>
              <w:t>6</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CN"/>
              </w:rPr>
              <w:t>生态环境</w:t>
            </w:r>
            <w:r>
              <w:rPr>
                <w:rFonts w:hint="eastAsia" w:ascii="仿宋" w:hAnsi="仿宋" w:eastAsia="仿宋" w:cs="仿宋"/>
                <w:color w:val="auto"/>
                <w:kern w:val="0"/>
                <w:sz w:val="24"/>
                <w:szCs w:val="24"/>
              </w:rPr>
              <w:t>：对工作人员加强管理，在项目区周边设置生态保护警示牌，告知工作人员</w:t>
            </w:r>
            <w:r>
              <w:rPr>
                <w:rFonts w:hint="eastAsia" w:ascii="仿宋" w:hAnsi="仿宋" w:eastAsia="仿宋" w:cs="仿宋"/>
                <w:color w:val="auto"/>
                <w:kern w:val="0"/>
                <w:sz w:val="24"/>
                <w:szCs w:val="24"/>
                <w:lang w:val="en-US" w:eastAsia="zh-CN"/>
              </w:rPr>
              <w:t>生态保护红线</w:t>
            </w:r>
            <w:r>
              <w:rPr>
                <w:rFonts w:hint="eastAsia" w:ascii="仿宋" w:hAnsi="仿宋" w:eastAsia="仿宋" w:cs="仿宋"/>
                <w:color w:val="auto"/>
                <w:kern w:val="0"/>
                <w:sz w:val="24"/>
                <w:szCs w:val="24"/>
              </w:rPr>
              <w:t>区的位置及范围，</w:t>
            </w:r>
            <w:r>
              <w:rPr>
                <w:rFonts w:hint="eastAsia" w:ascii="仿宋" w:hAnsi="仿宋" w:eastAsia="仿宋" w:cs="仿宋"/>
                <w:color w:val="auto"/>
                <w:kern w:val="0"/>
                <w:sz w:val="24"/>
                <w:szCs w:val="24"/>
                <w:lang w:val="en-US" w:eastAsia="zh-CN"/>
              </w:rPr>
              <w:t>尽量减少</w:t>
            </w:r>
            <w:r>
              <w:rPr>
                <w:rFonts w:hint="eastAsia" w:ascii="仿宋" w:hAnsi="仿宋" w:eastAsia="仿宋" w:cs="仿宋"/>
                <w:color w:val="auto"/>
                <w:kern w:val="0"/>
                <w:sz w:val="24"/>
                <w:szCs w:val="24"/>
              </w:rPr>
              <w:t>工作人员进入</w:t>
            </w:r>
            <w:r>
              <w:rPr>
                <w:rFonts w:hint="eastAsia" w:ascii="仿宋" w:hAnsi="仿宋" w:eastAsia="仿宋" w:cs="仿宋"/>
                <w:color w:val="auto"/>
                <w:kern w:val="0"/>
                <w:sz w:val="24"/>
                <w:szCs w:val="24"/>
                <w:lang w:val="en-US" w:eastAsia="zh-CN"/>
              </w:rPr>
              <w:t>生态保护红线</w:t>
            </w:r>
            <w:r>
              <w:rPr>
                <w:rFonts w:hint="eastAsia" w:ascii="仿宋" w:hAnsi="仿宋" w:eastAsia="仿宋" w:cs="仿宋"/>
                <w:color w:val="auto"/>
                <w:kern w:val="0"/>
                <w:sz w:val="24"/>
                <w:szCs w:val="24"/>
              </w:rPr>
              <w:t>区内活动。</w:t>
            </w:r>
          </w:p>
        </w:tc>
      </w:tr>
      <w:tr w14:paraId="3A67A0B1">
        <w:tblPrEx>
          <w:tblCellMar>
            <w:top w:w="0" w:type="dxa"/>
            <w:left w:w="108" w:type="dxa"/>
            <w:bottom w:w="0" w:type="dxa"/>
            <w:right w:w="108" w:type="dxa"/>
          </w:tblCellMar>
        </w:tblPrEx>
        <w:trPr>
          <w:trHeight w:val="0"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35862924">
            <w:pPr>
              <w:widowControl/>
              <w:spacing w:line="28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公众参与情况</w:t>
            </w:r>
          </w:p>
        </w:tc>
      </w:tr>
      <w:tr w14:paraId="3AF9BF1E">
        <w:tblPrEx>
          <w:tblCellMar>
            <w:top w:w="0" w:type="dxa"/>
            <w:left w:w="108" w:type="dxa"/>
            <w:bottom w:w="0" w:type="dxa"/>
            <w:right w:w="108" w:type="dxa"/>
          </w:tblCellMar>
        </w:tblPrEx>
        <w:trPr>
          <w:trHeight w:val="975"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7833D3CD">
            <w:pPr>
              <w:widowControl/>
              <w:spacing w:line="280" w:lineRule="exact"/>
              <w:ind w:firstLine="480" w:firstLineChars="200"/>
              <w:jc w:val="left"/>
              <w:rPr>
                <w:rFonts w:hint="default" w:ascii="Times New Roman" w:hAnsi="Times New Roman" w:eastAsia="宋体" w:cs="Times New Roman"/>
                <w:sz w:val="24"/>
                <w:szCs w:val="24"/>
              </w:rPr>
            </w:pPr>
            <w:r>
              <w:rPr>
                <w:rFonts w:hint="eastAsia" w:ascii="仿宋" w:hAnsi="仿宋" w:eastAsia="仿宋" w:cs="仿宋"/>
                <w:sz w:val="24"/>
                <w:szCs w:val="24"/>
                <w:lang w:val="en-US" w:eastAsia="zh-CN"/>
              </w:rPr>
              <w:t>无。</w:t>
            </w:r>
          </w:p>
        </w:tc>
      </w:tr>
      <w:tr w14:paraId="2C29187F">
        <w:tblPrEx>
          <w:tblCellMar>
            <w:top w:w="0" w:type="dxa"/>
            <w:left w:w="108" w:type="dxa"/>
            <w:bottom w:w="0" w:type="dxa"/>
            <w:right w:w="108" w:type="dxa"/>
          </w:tblCellMar>
        </w:tblPrEx>
        <w:trPr>
          <w:trHeight w:val="730" w:hRule="atLeast"/>
        </w:trPr>
        <w:tc>
          <w:tcPr>
            <w:tcW w:w="4002" w:type="dxa"/>
            <w:gridSpan w:val="2"/>
            <w:tcBorders>
              <w:top w:val="single" w:color="auto" w:sz="4" w:space="0"/>
              <w:left w:val="single" w:color="auto" w:sz="4" w:space="0"/>
              <w:bottom w:val="single" w:color="auto" w:sz="4" w:space="0"/>
              <w:right w:val="single" w:color="auto" w:sz="4" w:space="0"/>
            </w:tcBorders>
            <w:shd w:val="clear" w:color="auto" w:fill="C0C0C0"/>
            <w:vAlign w:val="center"/>
          </w:tcPr>
          <w:p w14:paraId="02B6990D">
            <w:pPr>
              <w:widowControl/>
              <w:spacing w:line="280" w:lineRule="exact"/>
              <w:jc w:val="left"/>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建设单位或地方政府所作出的相关承诺文件</w:t>
            </w:r>
          </w:p>
        </w:tc>
        <w:tc>
          <w:tcPr>
            <w:tcW w:w="5812" w:type="dxa"/>
            <w:gridSpan w:val="4"/>
            <w:tcBorders>
              <w:top w:val="single" w:color="auto" w:sz="4" w:space="0"/>
              <w:left w:val="nil"/>
              <w:bottom w:val="single" w:color="auto" w:sz="4" w:space="0"/>
              <w:right w:val="single" w:color="auto" w:sz="4" w:space="0"/>
            </w:tcBorders>
            <w:vAlign w:val="center"/>
          </w:tcPr>
          <w:p w14:paraId="7211BA86">
            <w:pPr>
              <w:pStyle w:val="7"/>
              <w:rPr>
                <w:rFonts w:hint="eastAsia" w:ascii="Times New Roman" w:hAnsi="Times New Roman" w:eastAsia="宋体" w:cs="Times New Roman"/>
                <w:sz w:val="24"/>
                <w:szCs w:val="24"/>
                <w:lang w:eastAsia="zh-CN"/>
              </w:rPr>
            </w:pPr>
            <w:r>
              <w:rPr>
                <w:rFonts w:hint="eastAsia" w:ascii="仿宋" w:hAnsi="仿宋" w:eastAsia="仿宋" w:cs="仿宋"/>
                <w:snapToGrid/>
                <w:kern w:val="32"/>
                <w:sz w:val="24"/>
                <w:szCs w:val="24"/>
                <w:lang w:val="en-US" w:eastAsia="zh-CN" w:bidi="ar-SA"/>
              </w:rPr>
              <w:t>同意信息公开说明</w:t>
            </w:r>
            <w:r>
              <w:rPr>
                <w:rFonts w:hint="eastAsia" w:ascii="仿宋" w:hAnsi="仿宋" w:eastAsia="仿宋" w:cs="仿宋"/>
                <w:snapToGrid/>
                <w:color w:val="auto"/>
                <w:kern w:val="0"/>
                <w:sz w:val="24"/>
                <w:szCs w:val="24"/>
                <w:lang w:val="en-US" w:eastAsia="zh-CN" w:bidi="ar-SA"/>
              </w:rPr>
              <w:t>。</w:t>
            </w:r>
          </w:p>
        </w:tc>
      </w:tr>
      <w:tr w14:paraId="1295464C">
        <w:tblPrEx>
          <w:tblCellMar>
            <w:top w:w="0" w:type="dxa"/>
            <w:left w:w="108" w:type="dxa"/>
            <w:bottom w:w="0" w:type="dxa"/>
            <w:right w:w="108" w:type="dxa"/>
          </w:tblCellMar>
        </w:tblPrEx>
        <w:trPr>
          <w:trHeight w:val="1020" w:hRule="atLeast"/>
        </w:trPr>
        <w:tc>
          <w:tcPr>
            <w:tcW w:w="9814" w:type="dxa"/>
            <w:gridSpan w:val="6"/>
            <w:tcBorders>
              <w:top w:val="single" w:color="auto" w:sz="4" w:space="0"/>
              <w:left w:val="nil"/>
              <w:bottom w:val="nil"/>
              <w:right w:val="nil"/>
            </w:tcBorders>
            <w:vAlign w:val="center"/>
          </w:tcPr>
          <w:p w14:paraId="0CD005E5">
            <w:pPr>
              <w:widowControl/>
              <w:spacing w:line="280" w:lineRule="exact"/>
              <w:jc w:val="left"/>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注:项目概况、项目主要环境影响、项目预防及减轻不良环境影响的对策和措施、公众参与情况、建设单位或地方政府所作出的相关承诺文件部分由建设单位填写。公众反馈意见联系方式部分由行政审批机关填写。</w:t>
            </w:r>
          </w:p>
        </w:tc>
      </w:tr>
    </w:tbl>
    <w:p w14:paraId="3FC09490">
      <w:pPr>
        <w:rPr>
          <w:color w:val="FF0000"/>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1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Arial Unicode MS"/>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1" w:fontKey="{3763E111-5699-409A-A73A-8AF9DF6763D5}"/>
  </w:font>
  <w:font w:name="WPSEMBED1">
    <w:panose1 w:val="03000509000000000000"/>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CDA839"/>
    <w:multiLevelType w:val="singleLevel"/>
    <w:tmpl w:val="D4CDA839"/>
    <w:lvl w:ilvl="0" w:tentative="0">
      <w:start w:val="1"/>
      <w:numFmt w:val="decimal"/>
      <w:suff w:val="nothing"/>
      <w:lvlText w:val="（%1）"/>
      <w:lvlJc w:val="left"/>
    </w:lvl>
  </w:abstractNum>
  <w:abstractNum w:abstractNumId="1">
    <w:nsid w:val="EA0F1A07"/>
    <w:multiLevelType w:val="singleLevel"/>
    <w:tmpl w:val="EA0F1A07"/>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BiYzQ1NDY1YjQ0MjBjMWNmZDQyYjE1NzJjMWYwMDcifQ=="/>
  </w:docVars>
  <w:rsids>
    <w:rsidRoot w:val="392E2078"/>
    <w:rsid w:val="0007389C"/>
    <w:rsid w:val="00150BE9"/>
    <w:rsid w:val="00156B39"/>
    <w:rsid w:val="001A0782"/>
    <w:rsid w:val="001A6B62"/>
    <w:rsid w:val="001B3A2B"/>
    <w:rsid w:val="001F034E"/>
    <w:rsid w:val="001F679B"/>
    <w:rsid w:val="00294DBA"/>
    <w:rsid w:val="002B6C2D"/>
    <w:rsid w:val="002C62B4"/>
    <w:rsid w:val="00322D57"/>
    <w:rsid w:val="00327286"/>
    <w:rsid w:val="00330F90"/>
    <w:rsid w:val="00335349"/>
    <w:rsid w:val="003C1AD7"/>
    <w:rsid w:val="003C4CF8"/>
    <w:rsid w:val="003C6F96"/>
    <w:rsid w:val="003E6693"/>
    <w:rsid w:val="00473C47"/>
    <w:rsid w:val="00485878"/>
    <w:rsid w:val="004A6061"/>
    <w:rsid w:val="004D701F"/>
    <w:rsid w:val="004E159E"/>
    <w:rsid w:val="005010C4"/>
    <w:rsid w:val="005107E1"/>
    <w:rsid w:val="005370B8"/>
    <w:rsid w:val="00542698"/>
    <w:rsid w:val="005A0DCF"/>
    <w:rsid w:val="005B283A"/>
    <w:rsid w:val="0060088D"/>
    <w:rsid w:val="0061485D"/>
    <w:rsid w:val="0062265A"/>
    <w:rsid w:val="006C6412"/>
    <w:rsid w:val="006D5270"/>
    <w:rsid w:val="006E4B40"/>
    <w:rsid w:val="006E5771"/>
    <w:rsid w:val="00702618"/>
    <w:rsid w:val="00705F2D"/>
    <w:rsid w:val="00773626"/>
    <w:rsid w:val="007A0516"/>
    <w:rsid w:val="007C11E2"/>
    <w:rsid w:val="0081762D"/>
    <w:rsid w:val="00833B43"/>
    <w:rsid w:val="00841044"/>
    <w:rsid w:val="00863CCD"/>
    <w:rsid w:val="00871427"/>
    <w:rsid w:val="00872120"/>
    <w:rsid w:val="00873527"/>
    <w:rsid w:val="008A3643"/>
    <w:rsid w:val="008A7183"/>
    <w:rsid w:val="008C224E"/>
    <w:rsid w:val="008C796D"/>
    <w:rsid w:val="008C7996"/>
    <w:rsid w:val="008C7D47"/>
    <w:rsid w:val="008D6010"/>
    <w:rsid w:val="00906E2D"/>
    <w:rsid w:val="009B5EE1"/>
    <w:rsid w:val="009D1793"/>
    <w:rsid w:val="009D3485"/>
    <w:rsid w:val="009D5CDC"/>
    <w:rsid w:val="00A560A2"/>
    <w:rsid w:val="00A7390A"/>
    <w:rsid w:val="00A752B3"/>
    <w:rsid w:val="00A84CD0"/>
    <w:rsid w:val="00AA08DA"/>
    <w:rsid w:val="00B22E4F"/>
    <w:rsid w:val="00B4670A"/>
    <w:rsid w:val="00B547C9"/>
    <w:rsid w:val="00B55F2A"/>
    <w:rsid w:val="00BA1007"/>
    <w:rsid w:val="00BA59BE"/>
    <w:rsid w:val="00BA7231"/>
    <w:rsid w:val="00BC32D8"/>
    <w:rsid w:val="00BD0857"/>
    <w:rsid w:val="00BD1407"/>
    <w:rsid w:val="00C36231"/>
    <w:rsid w:val="00C71183"/>
    <w:rsid w:val="00C96052"/>
    <w:rsid w:val="00CC1BB9"/>
    <w:rsid w:val="00CD2BAA"/>
    <w:rsid w:val="00CD608E"/>
    <w:rsid w:val="00D233CF"/>
    <w:rsid w:val="00DA65D2"/>
    <w:rsid w:val="00DC4E67"/>
    <w:rsid w:val="00DC7CEE"/>
    <w:rsid w:val="00E46C95"/>
    <w:rsid w:val="00E90C9E"/>
    <w:rsid w:val="00ED0EFF"/>
    <w:rsid w:val="00EE1F18"/>
    <w:rsid w:val="00EE5CE6"/>
    <w:rsid w:val="00F530BA"/>
    <w:rsid w:val="00F86E32"/>
    <w:rsid w:val="00FD24C7"/>
    <w:rsid w:val="00FD5740"/>
    <w:rsid w:val="00FF23D3"/>
    <w:rsid w:val="013830D2"/>
    <w:rsid w:val="01437794"/>
    <w:rsid w:val="02F4218D"/>
    <w:rsid w:val="03344A05"/>
    <w:rsid w:val="05275651"/>
    <w:rsid w:val="05B86C53"/>
    <w:rsid w:val="07A53F59"/>
    <w:rsid w:val="081E3E37"/>
    <w:rsid w:val="0870623F"/>
    <w:rsid w:val="0E7539A2"/>
    <w:rsid w:val="13B34670"/>
    <w:rsid w:val="175C524E"/>
    <w:rsid w:val="17FC2877"/>
    <w:rsid w:val="1A3C46BC"/>
    <w:rsid w:val="1B020E5E"/>
    <w:rsid w:val="1C8733A0"/>
    <w:rsid w:val="201D4921"/>
    <w:rsid w:val="20547DB6"/>
    <w:rsid w:val="21602F6F"/>
    <w:rsid w:val="21DD5A71"/>
    <w:rsid w:val="22862C6A"/>
    <w:rsid w:val="245D4345"/>
    <w:rsid w:val="24694EB2"/>
    <w:rsid w:val="25502092"/>
    <w:rsid w:val="292F5527"/>
    <w:rsid w:val="2B002CE4"/>
    <w:rsid w:val="2CA10B4F"/>
    <w:rsid w:val="2CAD1D69"/>
    <w:rsid w:val="2EE11733"/>
    <w:rsid w:val="2F923676"/>
    <w:rsid w:val="2FC57EA9"/>
    <w:rsid w:val="301D5EC7"/>
    <w:rsid w:val="33682ACB"/>
    <w:rsid w:val="34185686"/>
    <w:rsid w:val="35313D1A"/>
    <w:rsid w:val="38002C65"/>
    <w:rsid w:val="392E2078"/>
    <w:rsid w:val="39984AC7"/>
    <w:rsid w:val="3B020811"/>
    <w:rsid w:val="3B1810C5"/>
    <w:rsid w:val="3B2E26FF"/>
    <w:rsid w:val="3C272C37"/>
    <w:rsid w:val="3D9C18A1"/>
    <w:rsid w:val="3EDD372A"/>
    <w:rsid w:val="4155672C"/>
    <w:rsid w:val="426C2071"/>
    <w:rsid w:val="43BD5ED1"/>
    <w:rsid w:val="449625B7"/>
    <w:rsid w:val="45BD33BC"/>
    <w:rsid w:val="462F6647"/>
    <w:rsid w:val="47F24AD5"/>
    <w:rsid w:val="4866291F"/>
    <w:rsid w:val="4B402719"/>
    <w:rsid w:val="4B9C7ABA"/>
    <w:rsid w:val="4C985FBF"/>
    <w:rsid w:val="4D2F5EED"/>
    <w:rsid w:val="4DC60339"/>
    <w:rsid w:val="4E3A4B0F"/>
    <w:rsid w:val="4EC40453"/>
    <w:rsid w:val="4F7B2ACC"/>
    <w:rsid w:val="50153BC8"/>
    <w:rsid w:val="51E81108"/>
    <w:rsid w:val="52385E17"/>
    <w:rsid w:val="54752240"/>
    <w:rsid w:val="555D267C"/>
    <w:rsid w:val="5653575C"/>
    <w:rsid w:val="577942AD"/>
    <w:rsid w:val="579D53A6"/>
    <w:rsid w:val="58FF0EBE"/>
    <w:rsid w:val="5998453C"/>
    <w:rsid w:val="5A834766"/>
    <w:rsid w:val="5BED57C7"/>
    <w:rsid w:val="5D2E69AB"/>
    <w:rsid w:val="5DCC4393"/>
    <w:rsid w:val="5E951367"/>
    <w:rsid w:val="5F257633"/>
    <w:rsid w:val="60EA0DC0"/>
    <w:rsid w:val="614E3CA3"/>
    <w:rsid w:val="64CE0A00"/>
    <w:rsid w:val="66336F03"/>
    <w:rsid w:val="66B00A67"/>
    <w:rsid w:val="6AB93F9D"/>
    <w:rsid w:val="6B5D7B2E"/>
    <w:rsid w:val="6C8A7DA4"/>
    <w:rsid w:val="714078D6"/>
    <w:rsid w:val="715F713D"/>
    <w:rsid w:val="747E39E9"/>
    <w:rsid w:val="74857523"/>
    <w:rsid w:val="77533B6A"/>
    <w:rsid w:val="78CD4DAD"/>
    <w:rsid w:val="79377A43"/>
    <w:rsid w:val="79CC62C5"/>
    <w:rsid w:val="79EF4D86"/>
    <w:rsid w:val="7E5F22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方正仿宋_GBK" w:cs="Times New Roman"/>
      <w:kern w:val="32"/>
      <w:sz w:val="32"/>
      <w:szCs w:val="32"/>
      <w:lang w:val="en-US" w:eastAsia="zh-CN" w:bidi="ar-SA"/>
    </w:rPr>
  </w:style>
  <w:style w:type="paragraph" w:styleId="2">
    <w:name w:val="heading 2"/>
    <w:basedOn w:val="1"/>
    <w:next w:val="1"/>
    <w:link w:val="25"/>
    <w:qFormat/>
    <w:uiPriority w:val="0"/>
    <w:pPr>
      <w:tabs>
        <w:tab w:val="left" w:pos="5882"/>
      </w:tabs>
      <w:adjustRightInd w:val="0"/>
      <w:snapToGrid w:val="0"/>
      <w:spacing w:beforeLines="50"/>
      <w:jc w:val="left"/>
      <w:outlineLvl w:val="1"/>
    </w:pPr>
    <w:rPr>
      <w:rFonts w:ascii="Times New Roman" w:hAnsi="Times New Roman" w:eastAsia="宋体"/>
      <w:b/>
      <w:kern w:val="0"/>
      <w:sz w:val="24"/>
      <w:szCs w:val="24"/>
    </w:rPr>
  </w:style>
  <w:style w:type="paragraph" w:styleId="3">
    <w:name w:val="heading 3"/>
    <w:basedOn w:val="1"/>
    <w:next w:val="1"/>
    <w:link w:val="20"/>
    <w:qFormat/>
    <w:uiPriority w:val="0"/>
    <w:pPr>
      <w:topLinePunct/>
      <w:spacing w:before="120" w:line="480" w:lineRule="exact"/>
      <w:outlineLvl w:val="2"/>
    </w:pPr>
    <w:rPr>
      <w:rFonts w:ascii="Times New Roman" w:hAnsi="Times New Roman" w:eastAsia="楷体_GB2312"/>
      <w:b/>
      <w:bCs/>
      <w:color w:val="000000"/>
      <w:kern w:val="2"/>
      <w:sz w:val="28"/>
      <w:szCs w:val="28"/>
    </w:rPr>
  </w:style>
  <w:style w:type="paragraph" w:styleId="4">
    <w:name w:val="heading 4"/>
    <w:basedOn w:val="1"/>
    <w:next w:val="1"/>
    <w:link w:val="23"/>
    <w:qFormat/>
    <w:uiPriority w:val="0"/>
    <w:pPr>
      <w:keepNext/>
      <w:keepLines/>
      <w:spacing w:before="280" w:after="290" w:line="376" w:lineRule="auto"/>
      <w:outlineLvl w:val="3"/>
    </w:pPr>
    <w:rPr>
      <w:rFonts w:ascii="Arial" w:hAnsi="Arial" w:eastAsia="黑体"/>
      <w:b/>
      <w:bCs/>
      <w:kern w:val="2"/>
      <w:sz w:val="28"/>
      <w:szCs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Body Text"/>
    <w:basedOn w:val="1"/>
    <w:next w:val="6"/>
    <w:qFormat/>
    <w:uiPriority w:val="1"/>
    <w:rPr>
      <w:sz w:val="24"/>
      <w:szCs w:val="24"/>
    </w:rPr>
  </w:style>
  <w:style w:type="paragraph" w:customStyle="1" w:styleId="6">
    <w:name w:val="明显引用1"/>
    <w:next w:val="1"/>
    <w:qFormat/>
    <w:uiPriority w:val="0"/>
    <w:pPr>
      <w:wordWrap w:val="0"/>
      <w:spacing w:before="360" w:after="360"/>
      <w:ind w:left="950" w:right="950"/>
      <w:jc w:val="center"/>
    </w:pPr>
    <w:rPr>
      <w:rFonts w:ascii="Times New Roman" w:hAnsi="Times New Roman" w:eastAsia="宋体" w:cs="Times New Roman"/>
      <w:i/>
      <w:sz w:val="21"/>
      <w:lang w:val="en-US" w:eastAsia="zh-CN" w:bidi="ar-SA"/>
    </w:rPr>
  </w:style>
  <w:style w:type="paragraph" w:styleId="7">
    <w:name w:val="Plain Text"/>
    <w:basedOn w:val="1"/>
    <w:next w:val="1"/>
    <w:qFormat/>
    <w:uiPriority w:val="0"/>
    <w:rPr>
      <w:rFonts w:ascii="宋体"/>
      <w:snapToGrid w:val="0"/>
      <w:kern w:val="0"/>
      <w:szCs w:val="20"/>
    </w:rPr>
  </w:style>
  <w:style w:type="paragraph" w:styleId="8">
    <w:name w:val="footer"/>
    <w:basedOn w:val="1"/>
    <w:link w:val="24"/>
    <w:qFormat/>
    <w:uiPriority w:val="0"/>
    <w:pPr>
      <w:tabs>
        <w:tab w:val="center" w:pos="4153"/>
        <w:tab w:val="right" w:pos="8306"/>
      </w:tabs>
      <w:snapToGrid w:val="0"/>
      <w:jc w:val="left"/>
    </w:pPr>
    <w:rPr>
      <w:sz w:val="18"/>
      <w:szCs w:val="18"/>
    </w:rPr>
  </w:style>
  <w:style w:type="paragraph" w:styleId="9">
    <w:name w:val="header"/>
    <w:basedOn w:val="1"/>
    <w:link w:val="22"/>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jc w:val="left"/>
    </w:pPr>
    <w:rPr>
      <w:rFonts w:eastAsia="宋体"/>
      <w:kern w:val="0"/>
      <w:sz w:val="24"/>
    </w:rPr>
  </w:style>
  <w:style w:type="paragraph" w:styleId="11">
    <w:name w:val="Title"/>
    <w:basedOn w:val="1"/>
    <w:qFormat/>
    <w:uiPriority w:val="0"/>
    <w:pPr>
      <w:adjustRightInd w:val="0"/>
      <w:snapToGrid w:val="0"/>
      <w:spacing w:before="240" w:after="60" w:line="360" w:lineRule="auto"/>
      <w:ind w:firstLine="200" w:firstLineChars="200"/>
      <w:jc w:val="center"/>
      <w:outlineLvl w:val="0"/>
    </w:pPr>
    <w:rPr>
      <w:rFonts w:ascii="Cambria" w:hAnsi="Cambria"/>
      <w:b/>
      <w:bCs/>
    </w:rPr>
  </w:style>
  <w:style w:type="character" w:styleId="14">
    <w:name w:val="Strong"/>
    <w:basedOn w:val="13"/>
    <w:qFormat/>
    <w:uiPriority w:val="0"/>
    <w:rPr>
      <w:b/>
    </w:rPr>
  </w:style>
  <w:style w:type="character" w:styleId="15">
    <w:name w:val="annotation reference"/>
    <w:basedOn w:val="13"/>
    <w:qFormat/>
    <w:uiPriority w:val="0"/>
    <w:rPr>
      <w:sz w:val="21"/>
      <w:szCs w:val="21"/>
    </w:rPr>
  </w:style>
  <w:style w:type="paragraph" w:customStyle="1" w:styleId="16">
    <w:name w:val="Default"/>
    <w:basedOn w:val="17"/>
    <w:next w:val="5"/>
    <w:qFormat/>
    <w:uiPriority w:val="99"/>
    <w:pPr>
      <w:widowControl w:val="0"/>
      <w:autoSpaceDE w:val="0"/>
      <w:autoSpaceDN w:val="0"/>
      <w:adjustRightInd w:val="0"/>
    </w:pPr>
    <w:rPr>
      <w:rFonts w:ascii="宋体" w:cs="宋体"/>
      <w:color w:val="000000"/>
      <w:sz w:val="24"/>
      <w:szCs w:val="24"/>
      <w:lang w:val="en-US" w:eastAsia="zh-CN" w:bidi="ar-SA"/>
    </w:rPr>
  </w:style>
  <w:style w:type="paragraph" w:customStyle="1" w:styleId="17">
    <w:name w:val="纯文本1"/>
    <w:basedOn w:val="1"/>
    <w:qFormat/>
    <w:uiPriority w:val="0"/>
    <w:pPr>
      <w:suppressAutoHyphens/>
    </w:pPr>
    <w:rPr>
      <w:rFonts w:ascii="宋体" w:hAnsi="宋体" w:eastAsia="宋体" w:cs="Times New Roman"/>
      <w:kern w:val="1"/>
      <w:sz w:val="28"/>
      <w:lang w:eastAsia="ar-SA"/>
    </w:rPr>
  </w:style>
  <w:style w:type="paragraph" w:customStyle="1" w:styleId="18">
    <w:name w:val="Normal Indent1"/>
    <w:basedOn w:val="1"/>
    <w:next w:val="1"/>
    <w:qFormat/>
    <w:uiPriority w:val="99"/>
    <w:pPr>
      <w:ind w:firstLine="420"/>
    </w:pPr>
  </w:style>
  <w:style w:type="paragraph" w:customStyle="1" w:styleId="19">
    <w:name w:val="正本文字"/>
    <w:basedOn w:val="1"/>
    <w:autoRedefine/>
    <w:qFormat/>
    <w:uiPriority w:val="0"/>
    <w:pPr>
      <w:adjustRightInd w:val="0"/>
      <w:snapToGrid w:val="0"/>
      <w:spacing w:line="360" w:lineRule="auto"/>
      <w:ind w:firstLine="480" w:firstLineChars="200"/>
      <w:jc w:val="left"/>
    </w:pPr>
    <w:rPr>
      <w:rFonts w:cs="宋体"/>
      <w:kern w:val="18"/>
      <w:sz w:val="24"/>
    </w:rPr>
  </w:style>
  <w:style w:type="character" w:customStyle="1" w:styleId="20">
    <w:name w:val="标题 3 字符"/>
    <w:link w:val="3"/>
    <w:qFormat/>
    <w:uiPriority w:val="0"/>
    <w:rPr>
      <w:rFonts w:eastAsia="楷体_GB2312"/>
      <w:b/>
      <w:bCs/>
      <w:color w:val="000000"/>
      <w:kern w:val="2"/>
      <w:sz w:val="28"/>
      <w:szCs w:val="28"/>
    </w:rPr>
  </w:style>
  <w:style w:type="character" w:customStyle="1" w:styleId="21">
    <w:name w:val="标题 3 Char"/>
    <w:semiHidden/>
    <w:qFormat/>
    <w:uiPriority w:val="0"/>
    <w:rPr>
      <w:rFonts w:ascii="Calibri" w:hAnsi="Calibri" w:eastAsia="方正仿宋_GBK"/>
      <w:b/>
      <w:bCs/>
      <w:kern w:val="32"/>
      <w:sz w:val="32"/>
      <w:szCs w:val="32"/>
    </w:rPr>
  </w:style>
  <w:style w:type="character" w:customStyle="1" w:styleId="22">
    <w:name w:val="页眉 字符"/>
    <w:link w:val="9"/>
    <w:qFormat/>
    <w:uiPriority w:val="0"/>
    <w:rPr>
      <w:rFonts w:ascii="Calibri" w:hAnsi="Calibri" w:eastAsia="方正仿宋_GBK"/>
      <w:kern w:val="32"/>
      <w:sz w:val="18"/>
      <w:szCs w:val="18"/>
    </w:rPr>
  </w:style>
  <w:style w:type="character" w:customStyle="1" w:styleId="23">
    <w:name w:val="标题 4 字符"/>
    <w:link w:val="4"/>
    <w:qFormat/>
    <w:uiPriority w:val="0"/>
    <w:rPr>
      <w:rFonts w:ascii="Arial" w:hAnsi="Arial" w:eastAsia="黑体"/>
      <w:b/>
      <w:bCs/>
      <w:kern w:val="2"/>
      <w:sz w:val="28"/>
      <w:szCs w:val="28"/>
    </w:rPr>
  </w:style>
  <w:style w:type="character" w:customStyle="1" w:styleId="24">
    <w:name w:val="页脚 字符"/>
    <w:link w:val="8"/>
    <w:qFormat/>
    <w:uiPriority w:val="0"/>
    <w:rPr>
      <w:rFonts w:ascii="Calibri" w:hAnsi="Calibri" w:eastAsia="方正仿宋_GBK"/>
      <w:kern w:val="32"/>
      <w:sz w:val="18"/>
      <w:szCs w:val="18"/>
    </w:rPr>
  </w:style>
  <w:style w:type="character" w:customStyle="1" w:styleId="25">
    <w:name w:val="标题 2 字符"/>
    <w:link w:val="2"/>
    <w:qFormat/>
    <w:uiPriority w:val="0"/>
    <w:rPr>
      <w:rFonts w:eastAsia="宋体"/>
      <w:b/>
      <w:sz w:val="24"/>
      <w:szCs w:val="24"/>
    </w:rPr>
  </w:style>
  <w:style w:type="character" w:customStyle="1" w:styleId="26">
    <w:name w:val="标题 4 Char"/>
    <w:semiHidden/>
    <w:qFormat/>
    <w:uiPriority w:val="0"/>
    <w:rPr>
      <w:rFonts w:ascii="Cambria" w:hAnsi="Cambria" w:eastAsia="宋体" w:cs="Times New Roman"/>
      <w:b/>
      <w:bCs/>
      <w:kern w:val="32"/>
      <w:sz w:val="28"/>
      <w:szCs w:val="28"/>
    </w:rPr>
  </w:style>
  <w:style w:type="character" w:customStyle="1" w:styleId="27">
    <w:name w:val="正文 旺源文字段落 Char"/>
    <w:link w:val="28"/>
    <w:qFormat/>
    <w:uiPriority w:val="0"/>
    <w:rPr>
      <w:rFonts w:ascii="宋体" w:hAnsi="宋体" w:cs="宋体"/>
      <w:kern w:val="24"/>
      <w:sz w:val="24"/>
      <w:szCs w:val="24"/>
    </w:rPr>
  </w:style>
  <w:style w:type="paragraph" w:customStyle="1" w:styleId="28">
    <w:name w:val="正文 旺源文字段落"/>
    <w:basedOn w:val="1"/>
    <w:link w:val="27"/>
    <w:qFormat/>
    <w:uiPriority w:val="0"/>
    <w:pPr>
      <w:spacing w:line="500" w:lineRule="exact"/>
      <w:ind w:firstLine="420"/>
    </w:pPr>
    <w:rPr>
      <w:rFonts w:ascii="宋体" w:hAnsi="宋体" w:eastAsia="宋体"/>
      <w:kern w:val="24"/>
      <w:sz w:val="24"/>
      <w:szCs w:val="24"/>
    </w:rPr>
  </w:style>
  <w:style w:type="paragraph" w:customStyle="1" w:styleId="29">
    <w:name w:val="LH样式"/>
    <w:basedOn w:val="1"/>
    <w:qFormat/>
    <w:uiPriority w:val="0"/>
    <w:pPr>
      <w:spacing w:line="480" w:lineRule="exact"/>
      <w:ind w:firstLine="520" w:firstLineChars="200"/>
    </w:pPr>
    <w:rPr>
      <w:rFonts w:ascii="Times New Roman" w:hAnsi="Times New Roman" w:eastAsia="宋体"/>
      <w:color w:val="00B0F0"/>
      <w:kern w:val="2"/>
      <w:sz w:val="26"/>
      <w:szCs w:val="26"/>
    </w:rPr>
  </w:style>
  <w:style w:type="paragraph" w:customStyle="1" w:styleId="30">
    <w:name w:val="正文2"/>
    <w:basedOn w:val="1"/>
    <w:qFormat/>
    <w:uiPriority w:val="0"/>
    <w:pPr>
      <w:spacing w:line="360" w:lineRule="auto"/>
      <w:ind w:firstLine="200" w:firstLineChars="200"/>
    </w:pPr>
    <w:rPr>
      <w:rFonts w:ascii="Times New Roman" w:hAnsi="Times New Roman" w:eastAsia="宋体"/>
      <w:sz w:val="24"/>
      <w:szCs w:val="20"/>
    </w:rPr>
  </w:style>
  <w:style w:type="paragraph" w:customStyle="1" w:styleId="31">
    <w:name w:val="Table Text"/>
    <w:basedOn w:val="1"/>
    <w:semiHidden/>
    <w:qFormat/>
    <w:uiPriority w:val="0"/>
    <w:rPr>
      <w:rFonts w:ascii="宋体" w:hAnsi="宋体" w:eastAsia="宋体" w:cs="宋体"/>
      <w:sz w:val="21"/>
      <w:szCs w:val="21"/>
      <w:lang w:val="en-US" w:eastAsia="en-US" w:bidi="ar-SA"/>
    </w:rPr>
  </w:style>
  <w:style w:type="paragraph" w:customStyle="1" w:styleId="32">
    <w:name w:val="H正文"/>
    <w:basedOn w:val="1"/>
    <w:qFormat/>
    <w:uiPriority w:val="0"/>
    <w:pPr>
      <w:adjustRightInd w:val="0"/>
      <w:spacing w:line="400" w:lineRule="exact"/>
      <w:ind w:firstLine="200" w:firstLineChars="200"/>
      <w:textAlignment w:val="baseline"/>
    </w:pPr>
    <w:rPr>
      <w:rFonts w:ascii="Times New Roman" w:hAnsi="Times New Roman" w:eastAsia="宋体"/>
      <w:snapToGrid w:val="0"/>
      <w:spacing w:val="6"/>
      <w:kern w:val="2"/>
      <w:sz w:val="21"/>
      <w:szCs w:val="24"/>
    </w:rPr>
  </w:style>
  <w:style w:type="paragraph" w:customStyle="1" w:styleId="33">
    <w:name w:val="正缩1"/>
    <w:basedOn w:val="1"/>
    <w:qFormat/>
    <w:uiPriority w:val="0"/>
    <w:pPr>
      <w:adjustRightInd w:val="0"/>
      <w:snapToGrid w:val="0"/>
      <w:spacing w:line="500" w:lineRule="exact"/>
      <w:ind w:firstLine="567"/>
    </w:pPr>
    <w:rPr>
      <w:rFonts w:ascii="Times New Roman" w:eastAsia="仿宋_GB2312"/>
      <w:color w:val="000000"/>
      <w:kern w:val="2"/>
      <w:sz w:val="28"/>
    </w:rPr>
  </w:style>
  <w:style w:type="paragraph" w:customStyle="1" w:styleId="34">
    <w:name w:val="【正文】"/>
    <w:basedOn w:val="1"/>
    <w:qFormat/>
    <w:uiPriority w:val="0"/>
    <w:rPr>
      <w:rFonts w:cs="宋体"/>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2</Pages>
  <Words>1335</Words>
  <Characters>1405</Characters>
  <Lines>97</Lines>
  <Paragraphs>85</Paragraphs>
  <TotalTime>0</TotalTime>
  <ScaleCrop>false</ScaleCrop>
  <LinksUpToDate>false</LinksUpToDate>
  <CharactersWithSpaces>1407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2019-10-22T01:39:00Z</dcterms:created>
  <dc:creator>lenovo</dc:creator>
  <cp:lastModifiedBy>郭丽娜</cp:lastModifiedBy>
  <cp:lastPrinted>2016-09-13T03:08:00Z</cp:lastPrinted>
  <dcterms:modified xsi:type="dcterms:W3CDTF">2026-10-28T03:11:02Z</dcterms:modified>
  <dc:title>曲靖市环境保护局</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1C44C23F78E3406EBDFCDB8E39BC347F_13</vt:lpwstr>
  </property>
  <property fmtid="{D5CDD505-2E9C-101B-9397-08002B2CF9AE}" pid="4" name="KSOTemplateDocerSaveRecord">
    <vt:lpwstr>eyJoZGlkIjoiYTA0OTFiNTllN2E3YTc2MDc5ZTIwYTg0ZjFlZjFlMWQiLCJ1c2VySWQiOiIzNzMyMDUyODEifQ==</vt:lpwstr>
  </property>
</Properties>
</file>