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4"/>
        <w:tblW w:w="9814" w:type="dxa"/>
        <w:tblInd w:w="-208" w:type="dxa"/>
        <w:tblLayout w:type="fixed"/>
        <w:tblCellMar>
          <w:top w:w="0" w:type="dxa"/>
          <w:left w:w="108" w:type="dxa"/>
          <w:bottom w:w="0" w:type="dxa"/>
          <w:right w:w="108" w:type="dxa"/>
        </w:tblCellMar>
      </w:tblPr>
      <w:tblGrid>
        <w:gridCol w:w="1756"/>
        <w:gridCol w:w="1866"/>
        <w:gridCol w:w="1470"/>
        <w:gridCol w:w="1745"/>
        <w:gridCol w:w="1276"/>
        <w:gridCol w:w="1701"/>
      </w:tblGrid>
      <w:tr w14:paraId="63F4160E">
        <w:tblPrEx>
          <w:tblCellMar>
            <w:top w:w="0" w:type="dxa"/>
            <w:left w:w="108" w:type="dxa"/>
            <w:bottom w:w="0" w:type="dxa"/>
            <w:right w:w="108" w:type="dxa"/>
          </w:tblCellMar>
        </w:tblPrEx>
        <w:trPr>
          <w:trHeight w:val="571" w:hRule="atLeast"/>
        </w:trPr>
        <w:tc>
          <w:tcPr>
            <w:tcW w:w="1756" w:type="dxa"/>
            <w:tcBorders>
              <w:top w:val="single" w:color="auto" w:sz="4" w:space="0"/>
              <w:left w:val="single" w:color="auto" w:sz="4" w:space="0"/>
              <w:bottom w:val="single" w:color="auto" w:sz="4" w:space="0"/>
              <w:right w:val="single" w:color="auto" w:sz="4" w:space="0"/>
            </w:tcBorders>
            <w:shd w:val="clear" w:color="auto" w:fill="C0C0C0"/>
            <w:vAlign w:val="center"/>
          </w:tcPr>
          <w:p w14:paraId="24D09A60">
            <w:pPr>
              <w:widowControl/>
              <w:spacing w:line="280"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项目名称</w:t>
            </w:r>
          </w:p>
        </w:tc>
        <w:tc>
          <w:tcPr>
            <w:tcW w:w="1866" w:type="dxa"/>
            <w:tcBorders>
              <w:top w:val="single" w:color="auto" w:sz="4" w:space="0"/>
              <w:left w:val="nil"/>
              <w:bottom w:val="single" w:color="auto" w:sz="4" w:space="0"/>
              <w:right w:val="single" w:color="auto" w:sz="4" w:space="0"/>
            </w:tcBorders>
            <w:shd w:val="clear" w:color="auto" w:fill="auto"/>
            <w:vAlign w:val="center"/>
          </w:tcPr>
          <w:p w14:paraId="02F54F64">
            <w:pPr>
              <w:widowControl/>
              <w:spacing w:line="280" w:lineRule="exact"/>
              <w:jc w:val="center"/>
              <w:rPr>
                <w:rFonts w:hint="eastAsia" w:ascii="仿宋" w:hAnsi="仿宋" w:eastAsia="仿宋" w:cs="仿宋"/>
                <w:sz w:val="24"/>
                <w:szCs w:val="24"/>
              </w:rPr>
            </w:pPr>
            <w:r>
              <w:rPr>
                <w:rFonts w:hint="eastAsia" w:ascii="仿宋" w:hAnsi="仿宋" w:eastAsia="仿宋" w:cs="仿宋"/>
                <w:sz w:val="24"/>
                <w:szCs w:val="24"/>
                <w:lang w:val="en-US" w:eastAsia="zh-CN"/>
              </w:rPr>
              <w:t>10万吨热法磷酸生产项目</w:t>
            </w:r>
          </w:p>
        </w:tc>
        <w:tc>
          <w:tcPr>
            <w:tcW w:w="1470" w:type="dxa"/>
            <w:tcBorders>
              <w:top w:val="single" w:color="auto" w:sz="4" w:space="0"/>
              <w:left w:val="nil"/>
              <w:bottom w:val="single" w:color="auto" w:sz="4" w:space="0"/>
              <w:right w:val="single" w:color="auto" w:sz="4" w:space="0"/>
            </w:tcBorders>
            <w:shd w:val="clear" w:color="auto" w:fill="C0C0C0"/>
            <w:vAlign w:val="center"/>
          </w:tcPr>
          <w:p w14:paraId="223AC5B9">
            <w:pPr>
              <w:widowControl/>
              <w:spacing w:line="280"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建设地点</w:t>
            </w:r>
          </w:p>
        </w:tc>
        <w:tc>
          <w:tcPr>
            <w:tcW w:w="1745" w:type="dxa"/>
            <w:tcBorders>
              <w:top w:val="single" w:color="auto" w:sz="4" w:space="0"/>
              <w:left w:val="nil"/>
              <w:bottom w:val="single" w:color="auto" w:sz="4" w:space="0"/>
              <w:right w:val="single" w:color="auto" w:sz="4" w:space="0"/>
            </w:tcBorders>
            <w:shd w:val="clear" w:color="auto" w:fill="auto"/>
            <w:vAlign w:val="center"/>
          </w:tcPr>
          <w:p w14:paraId="4C10DCE4">
            <w:pPr>
              <w:widowControl/>
              <w:spacing w:line="280" w:lineRule="exact"/>
              <w:jc w:val="center"/>
              <w:rPr>
                <w:rFonts w:hint="eastAsia" w:ascii="仿宋" w:hAnsi="仿宋" w:eastAsia="仿宋" w:cs="仿宋"/>
                <w:sz w:val="24"/>
                <w:szCs w:val="24"/>
              </w:rPr>
            </w:pPr>
            <w:r>
              <w:rPr>
                <w:rFonts w:hint="eastAsia" w:ascii="仿宋" w:hAnsi="仿宋" w:eastAsia="仿宋" w:cs="仿宋"/>
                <w:sz w:val="24"/>
                <w:szCs w:val="24"/>
                <w:lang w:val="en-US" w:eastAsia="zh-CN"/>
              </w:rPr>
              <w:t>曲靖高新技术产业开发区花山化工园区</w:t>
            </w:r>
          </w:p>
        </w:tc>
        <w:tc>
          <w:tcPr>
            <w:tcW w:w="1276" w:type="dxa"/>
            <w:tcBorders>
              <w:top w:val="single" w:color="auto" w:sz="4" w:space="0"/>
              <w:left w:val="nil"/>
              <w:bottom w:val="single" w:color="auto" w:sz="4" w:space="0"/>
              <w:right w:val="single" w:color="auto" w:sz="4" w:space="0"/>
            </w:tcBorders>
            <w:shd w:val="clear" w:color="auto" w:fill="C0C0C0"/>
            <w:vAlign w:val="center"/>
          </w:tcPr>
          <w:p w14:paraId="1C0AF66E">
            <w:pPr>
              <w:widowControl/>
              <w:spacing w:line="280"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建设单位</w:t>
            </w:r>
          </w:p>
        </w:tc>
        <w:tc>
          <w:tcPr>
            <w:tcW w:w="1701" w:type="dxa"/>
            <w:tcBorders>
              <w:top w:val="single" w:color="auto" w:sz="4" w:space="0"/>
              <w:left w:val="nil"/>
              <w:bottom w:val="single" w:color="auto" w:sz="4" w:space="0"/>
              <w:right w:val="single" w:color="auto" w:sz="4" w:space="0"/>
            </w:tcBorders>
            <w:vAlign w:val="center"/>
          </w:tcPr>
          <w:p w14:paraId="4B8E15CD">
            <w:pPr>
              <w:widowControl/>
              <w:spacing w:line="280" w:lineRule="exact"/>
              <w:jc w:val="center"/>
              <w:rPr>
                <w:rFonts w:hint="eastAsia" w:ascii="仿宋" w:hAnsi="仿宋" w:eastAsia="仿宋" w:cs="仿宋"/>
                <w:sz w:val="24"/>
                <w:szCs w:val="24"/>
                <w:lang w:val="en-US"/>
              </w:rPr>
            </w:pPr>
            <w:r>
              <w:rPr>
                <w:rFonts w:hint="eastAsia" w:ascii="仿宋" w:hAnsi="仿宋" w:eastAsia="仿宋" w:cs="仿宋"/>
                <w:sz w:val="24"/>
                <w:szCs w:val="24"/>
                <w:lang w:val="en-US" w:eastAsia="zh-CN"/>
              </w:rPr>
              <w:t>曲靖常宜联合科技有限公司</w:t>
            </w:r>
          </w:p>
        </w:tc>
      </w:tr>
      <w:tr w14:paraId="650C7549">
        <w:tblPrEx>
          <w:tblCellMar>
            <w:top w:w="0" w:type="dxa"/>
            <w:left w:w="108" w:type="dxa"/>
            <w:bottom w:w="0" w:type="dxa"/>
            <w:right w:w="108" w:type="dxa"/>
          </w:tblCellMar>
        </w:tblPrEx>
        <w:trPr>
          <w:trHeight w:val="987" w:hRule="atLeast"/>
        </w:trPr>
        <w:tc>
          <w:tcPr>
            <w:tcW w:w="1756" w:type="dxa"/>
            <w:tcBorders>
              <w:top w:val="nil"/>
              <w:left w:val="single" w:color="auto" w:sz="4" w:space="0"/>
              <w:bottom w:val="single" w:color="auto" w:sz="4" w:space="0"/>
              <w:right w:val="single" w:color="auto" w:sz="4" w:space="0"/>
            </w:tcBorders>
            <w:shd w:val="clear" w:color="auto" w:fill="C0C0C0"/>
            <w:vAlign w:val="center"/>
          </w:tcPr>
          <w:p w14:paraId="59CA6384">
            <w:pPr>
              <w:widowControl/>
              <w:spacing w:line="280"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环评文件类型</w:t>
            </w:r>
          </w:p>
        </w:tc>
        <w:tc>
          <w:tcPr>
            <w:tcW w:w="1866" w:type="dxa"/>
            <w:tcBorders>
              <w:top w:val="nil"/>
              <w:left w:val="nil"/>
              <w:bottom w:val="single" w:color="auto" w:sz="4" w:space="0"/>
              <w:right w:val="single" w:color="auto" w:sz="4" w:space="0"/>
            </w:tcBorders>
            <w:shd w:val="clear" w:color="auto" w:fill="auto"/>
            <w:vAlign w:val="center"/>
          </w:tcPr>
          <w:p w14:paraId="1A3286E2">
            <w:pPr>
              <w:widowControl/>
              <w:spacing w:line="280" w:lineRule="exact"/>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报告书</w:t>
            </w:r>
          </w:p>
        </w:tc>
        <w:tc>
          <w:tcPr>
            <w:tcW w:w="1470" w:type="dxa"/>
            <w:tcBorders>
              <w:top w:val="nil"/>
              <w:left w:val="nil"/>
              <w:bottom w:val="single" w:color="auto" w:sz="4" w:space="0"/>
              <w:right w:val="single" w:color="auto" w:sz="4" w:space="0"/>
            </w:tcBorders>
            <w:shd w:val="clear" w:color="auto" w:fill="C0C0C0"/>
            <w:vAlign w:val="center"/>
          </w:tcPr>
          <w:p w14:paraId="3A0E9482">
            <w:pPr>
              <w:widowControl/>
              <w:spacing w:line="280"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环境影响评价机构</w:t>
            </w:r>
          </w:p>
        </w:tc>
        <w:tc>
          <w:tcPr>
            <w:tcW w:w="4722" w:type="dxa"/>
            <w:gridSpan w:val="3"/>
            <w:tcBorders>
              <w:top w:val="single" w:color="auto" w:sz="4" w:space="0"/>
              <w:left w:val="nil"/>
              <w:bottom w:val="single" w:color="auto" w:sz="4" w:space="0"/>
              <w:right w:val="single" w:color="000000" w:sz="4" w:space="0"/>
            </w:tcBorders>
            <w:vAlign w:val="center"/>
          </w:tcPr>
          <w:p w14:paraId="13529565">
            <w:pPr>
              <w:widowControl/>
              <w:spacing w:line="280" w:lineRule="exact"/>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eastAsia="zh-CN"/>
              </w:rPr>
              <w:t>云南涔霖环保科技有限公司</w:t>
            </w:r>
          </w:p>
        </w:tc>
      </w:tr>
      <w:tr w14:paraId="3E249CB9">
        <w:tblPrEx>
          <w:tblCellMar>
            <w:top w:w="0" w:type="dxa"/>
            <w:left w:w="108" w:type="dxa"/>
            <w:bottom w:w="0" w:type="dxa"/>
            <w:right w:w="108" w:type="dxa"/>
          </w:tblCellMar>
        </w:tblPrEx>
        <w:trPr>
          <w:trHeight w:val="586" w:hRule="atLeast"/>
        </w:trPr>
        <w:tc>
          <w:tcPr>
            <w:tcW w:w="9814" w:type="dxa"/>
            <w:gridSpan w:val="6"/>
            <w:tcBorders>
              <w:top w:val="single" w:color="auto" w:sz="4" w:space="0"/>
              <w:left w:val="single" w:color="auto" w:sz="4" w:space="0"/>
              <w:bottom w:val="single" w:color="auto" w:sz="4" w:space="0"/>
              <w:right w:val="single" w:color="auto" w:sz="4" w:space="0"/>
            </w:tcBorders>
            <w:shd w:val="clear" w:color="auto" w:fill="C0C0C0"/>
            <w:vAlign w:val="center"/>
          </w:tcPr>
          <w:p w14:paraId="05F24DE0">
            <w:pPr>
              <w:widowControl/>
              <w:spacing w:line="280" w:lineRule="exact"/>
              <w:jc w:val="center"/>
              <w:rPr>
                <w:rFonts w:ascii="宋体"/>
                <w:kern w:val="0"/>
                <w:sz w:val="24"/>
                <w:szCs w:val="24"/>
              </w:rPr>
            </w:pPr>
            <w:r>
              <w:rPr>
                <w:rFonts w:hint="eastAsia" w:ascii="仿宋" w:hAnsi="仿宋" w:eastAsia="仿宋" w:cs="仿宋"/>
                <w:b/>
                <w:bCs/>
                <w:kern w:val="0"/>
                <w:sz w:val="24"/>
                <w:szCs w:val="24"/>
              </w:rPr>
              <w:t>项目概况</w:t>
            </w:r>
          </w:p>
        </w:tc>
      </w:tr>
      <w:tr w14:paraId="465A603B">
        <w:tblPrEx>
          <w:tblCellMar>
            <w:top w:w="0" w:type="dxa"/>
            <w:left w:w="108" w:type="dxa"/>
            <w:bottom w:w="0" w:type="dxa"/>
            <w:right w:w="108" w:type="dxa"/>
          </w:tblCellMar>
        </w:tblPrEx>
        <w:trPr>
          <w:trHeight w:val="1015" w:hRule="atLeast"/>
        </w:trPr>
        <w:tc>
          <w:tcPr>
            <w:tcW w:w="9814" w:type="dxa"/>
            <w:gridSpan w:val="6"/>
            <w:tcBorders>
              <w:top w:val="single" w:color="auto" w:sz="4" w:space="0"/>
              <w:left w:val="single" w:color="auto" w:sz="4" w:space="0"/>
              <w:bottom w:val="single" w:color="auto" w:sz="4" w:space="0"/>
              <w:right w:val="single" w:color="auto" w:sz="4" w:space="0"/>
            </w:tcBorders>
            <w:vAlign w:val="center"/>
          </w:tcPr>
          <w:p w14:paraId="46A27226">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rPr>
            </w:pPr>
            <w:r>
              <w:rPr>
                <w:rFonts w:hint="eastAsia" w:ascii="仿宋" w:hAnsi="仿宋" w:eastAsia="仿宋" w:cs="仿宋"/>
                <w:sz w:val="24"/>
                <w:szCs w:val="24"/>
                <w:lang w:val="en-US" w:eastAsia="zh-CN"/>
              </w:rPr>
              <w:t>项目位于</w:t>
            </w:r>
            <w:r>
              <w:rPr>
                <w:rFonts w:hint="eastAsia" w:ascii="仿宋" w:hAnsi="仿宋" w:eastAsia="仿宋" w:cs="仿宋"/>
                <w:sz w:val="24"/>
                <w:szCs w:val="24"/>
                <w:lang w:val="zh-CN" w:eastAsia="zh-CN"/>
              </w:rPr>
              <w:t>曲靖常宜联合科技有限公司</w:t>
            </w:r>
            <w:r>
              <w:rPr>
                <w:rFonts w:hint="eastAsia" w:ascii="仿宋" w:hAnsi="仿宋" w:eastAsia="仿宋" w:cs="仿宋"/>
                <w:sz w:val="24"/>
                <w:szCs w:val="24"/>
                <w:lang w:val="en-US" w:eastAsia="zh-CN"/>
              </w:rPr>
              <w:t>厂区内，占地8045.61m</w:t>
            </w:r>
            <w:r>
              <w:rPr>
                <w:rFonts w:hint="eastAsia" w:ascii="仿宋" w:hAnsi="仿宋" w:eastAsia="仿宋" w:cs="仿宋"/>
                <w:sz w:val="24"/>
                <w:szCs w:val="24"/>
                <w:vertAlign w:val="superscript"/>
                <w:lang w:val="en-US" w:eastAsia="zh-CN"/>
              </w:rPr>
              <w:t>2</w:t>
            </w:r>
            <w:r>
              <w:rPr>
                <w:rFonts w:hint="eastAsia" w:ascii="仿宋" w:hAnsi="仿宋" w:eastAsia="仿宋" w:cs="仿宋"/>
                <w:sz w:val="24"/>
                <w:szCs w:val="24"/>
                <w:lang w:val="en-US" w:eastAsia="zh-CN"/>
              </w:rPr>
              <w:t>，为预留用地，新建2条热法磷酸生产线，年产10万吨工业磷酸。项目总投资8000万元</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环保投资210.4万元。</w:t>
            </w:r>
          </w:p>
        </w:tc>
      </w:tr>
      <w:tr w14:paraId="548A335F">
        <w:tblPrEx>
          <w:tblCellMar>
            <w:top w:w="0" w:type="dxa"/>
            <w:left w:w="108" w:type="dxa"/>
            <w:bottom w:w="0" w:type="dxa"/>
            <w:right w:w="108" w:type="dxa"/>
          </w:tblCellMar>
        </w:tblPrEx>
        <w:trPr>
          <w:trHeight w:val="448" w:hRule="atLeast"/>
        </w:trPr>
        <w:tc>
          <w:tcPr>
            <w:tcW w:w="9814" w:type="dxa"/>
            <w:gridSpan w:val="6"/>
            <w:tcBorders>
              <w:top w:val="single" w:color="auto" w:sz="4" w:space="0"/>
              <w:left w:val="single" w:color="auto" w:sz="4" w:space="0"/>
              <w:bottom w:val="single" w:color="auto" w:sz="4" w:space="0"/>
              <w:right w:val="single" w:color="auto" w:sz="4" w:space="0"/>
            </w:tcBorders>
            <w:shd w:val="clear" w:color="auto" w:fill="C0C0C0"/>
            <w:vAlign w:val="center"/>
          </w:tcPr>
          <w:p w14:paraId="0055091D">
            <w:pPr>
              <w:widowControl/>
              <w:spacing w:line="280" w:lineRule="exact"/>
              <w:jc w:val="center"/>
              <w:rPr>
                <w:rFonts w:ascii="宋体"/>
                <w:kern w:val="0"/>
                <w:sz w:val="24"/>
                <w:szCs w:val="24"/>
              </w:rPr>
            </w:pPr>
            <w:r>
              <w:rPr>
                <w:rFonts w:hint="eastAsia" w:ascii="仿宋" w:hAnsi="仿宋" w:eastAsia="仿宋" w:cs="仿宋"/>
                <w:b/>
                <w:bCs/>
                <w:kern w:val="0"/>
                <w:sz w:val="24"/>
                <w:szCs w:val="24"/>
              </w:rPr>
              <w:t>项目主要环境影响</w:t>
            </w:r>
          </w:p>
        </w:tc>
      </w:tr>
      <w:tr w14:paraId="474D666E">
        <w:tblPrEx>
          <w:tblCellMar>
            <w:top w:w="0" w:type="dxa"/>
            <w:left w:w="108" w:type="dxa"/>
            <w:bottom w:w="0" w:type="dxa"/>
            <w:right w:w="108" w:type="dxa"/>
          </w:tblCellMar>
        </w:tblPrEx>
        <w:trPr>
          <w:trHeight w:val="535" w:hRule="atLeast"/>
        </w:trPr>
        <w:tc>
          <w:tcPr>
            <w:tcW w:w="9814" w:type="dxa"/>
            <w:gridSpan w:val="6"/>
            <w:tcBorders>
              <w:top w:val="single" w:color="auto" w:sz="4" w:space="0"/>
              <w:left w:val="single" w:color="auto" w:sz="4" w:space="0"/>
              <w:bottom w:val="single" w:color="auto" w:sz="4" w:space="0"/>
              <w:right w:val="single" w:color="auto" w:sz="4" w:space="0"/>
            </w:tcBorders>
            <w:vAlign w:val="center"/>
          </w:tcPr>
          <w:p w14:paraId="6ADE1246">
            <w:pPr>
              <w:keepNext w:val="0"/>
              <w:keepLines w:val="0"/>
              <w:pageBreakBefore w:val="0"/>
              <w:widowControl w:val="0"/>
              <w:kinsoku/>
              <w:wordWrap/>
              <w:overflowPunct/>
              <w:topLinePunct w:val="0"/>
              <w:autoSpaceDE/>
              <w:autoSpaceDN/>
              <w:bidi w:val="0"/>
              <w:adjustRightInd/>
              <w:snapToGrid/>
              <w:spacing w:line="360" w:lineRule="exact"/>
              <w:textAlignment w:val="auto"/>
              <w:outlineLvl w:val="1"/>
              <w:rPr>
                <w:rFonts w:hint="eastAsia" w:ascii="Times New Roman" w:hAnsi="Times New Roman" w:eastAsia="仿宋" w:cs="Times New Roman"/>
                <w:b/>
                <w:bCs/>
                <w:color w:val="auto"/>
                <w:sz w:val="24"/>
                <w:szCs w:val="24"/>
                <w:lang w:eastAsia="zh-CN"/>
              </w:rPr>
            </w:pPr>
            <w:r>
              <w:rPr>
                <w:rFonts w:hint="default" w:ascii="Times New Roman" w:hAnsi="Times New Roman" w:eastAsia="仿宋" w:cs="Times New Roman"/>
                <w:b/>
                <w:bCs/>
                <w:color w:val="auto"/>
                <w:sz w:val="24"/>
                <w:szCs w:val="24"/>
                <w:lang w:val="en-US" w:eastAsia="zh-CN"/>
              </w:rPr>
              <w:t>1、</w:t>
            </w:r>
            <w:r>
              <w:rPr>
                <w:rFonts w:hint="default" w:ascii="Times New Roman" w:hAnsi="Times New Roman" w:eastAsia="仿宋" w:cs="Times New Roman"/>
                <w:b/>
                <w:bCs/>
                <w:color w:val="auto"/>
                <w:sz w:val="24"/>
                <w:szCs w:val="24"/>
              </w:rPr>
              <w:t>施工期环境</w:t>
            </w:r>
            <w:r>
              <w:rPr>
                <w:rFonts w:hint="eastAsia" w:ascii="Times New Roman" w:hAnsi="Times New Roman" w:eastAsia="仿宋" w:cs="Times New Roman"/>
                <w:b/>
                <w:bCs/>
                <w:color w:val="auto"/>
                <w:sz w:val="24"/>
                <w:szCs w:val="24"/>
                <w:lang w:eastAsia="zh-CN"/>
              </w:rPr>
              <w:t>影响</w:t>
            </w:r>
          </w:p>
          <w:p w14:paraId="3375D065">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ascii="Times New Roman" w:hAnsi="Times New Roman" w:eastAsia="仿宋" w:cs="Times New Roman"/>
                <w:bCs/>
                <w:color w:val="auto"/>
                <w:kern w:val="0"/>
                <w:sz w:val="24"/>
                <w:szCs w:val="24"/>
              </w:rPr>
            </w:pPr>
            <w:r>
              <w:rPr>
                <w:rFonts w:hint="default" w:ascii="Times New Roman" w:hAnsi="Times New Roman" w:eastAsia="仿宋" w:cs="Times New Roman"/>
                <w:bCs/>
                <w:color w:val="auto"/>
                <w:kern w:val="0"/>
                <w:sz w:val="24"/>
                <w:szCs w:val="24"/>
                <w:lang w:val="en-US" w:eastAsia="zh-CN"/>
              </w:rPr>
              <w:t>包括施工扬尘、施工机械废气、少量的焊接烟尘影响；施工废水和施工人员生活污水的影响；机械噪声、施工作业噪声和车辆噪声的影响；施工期建筑垃圾、生活垃圾影响。</w:t>
            </w:r>
          </w:p>
          <w:p w14:paraId="65A425EA">
            <w:pPr>
              <w:keepNext w:val="0"/>
              <w:keepLines w:val="0"/>
              <w:pageBreakBefore w:val="0"/>
              <w:widowControl w:val="0"/>
              <w:kinsoku/>
              <w:wordWrap/>
              <w:overflowPunct/>
              <w:topLinePunct w:val="0"/>
              <w:autoSpaceDE/>
              <w:autoSpaceDN/>
              <w:bidi w:val="0"/>
              <w:adjustRightInd/>
              <w:snapToGrid/>
              <w:spacing w:line="360" w:lineRule="exact"/>
              <w:textAlignment w:val="auto"/>
              <w:outlineLvl w:val="1"/>
              <w:rPr>
                <w:rFonts w:hint="eastAsia" w:ascii="Times New Roman" w:hAnsi="Times New Roman" w:eastAsia="仿宋" w:cs="Times New Roman"/>
                <w:b/>
                <w:bCs/>
                <w:color w:val="auto"/>
                <w:sz w:val="24"/>
                <w:szCs w:val="24"/>
                <w:lang w:val="en-US" w:eastAsia="zh-CN"/>
              </w:rPr>
            </w:pPr>
            <w:r>
              <w:rPr>
                <w:rFonts w:hint="eastAsia" w:ascii="Times New Roman" w:hAnsi="Times New Roman" w:eastAsia="仿宋" w:cs="Times New Roman"/>
                <w:b/>
                <w:bCs/>
                <w:color w:val="auto"/>
                <w:sz w:val="24"/>
                <w:szCs w:val="24"/>
                <w:lang w:val="en-US" w:eastAsia="zh-CN"/>
              </w:rPr>
              <w:t>2</w:t>
            </w:r>
            <w:r>
              <w:rPr>
                <w:rFonts w:hint="default" w:ascii="Times New Roman" w:hAnsi="Times New Roman" w:eastAsia="仿宋" w:cs="Times New Roman"/>
                <w:b/>
                <w:bCs/>
                <w:color w:val="auto"/>
                <w:sz w:val="24"/>
                <w:szCs w:val="24"/>
                <w:lang w:val="en-US" w:eastAsia="zh-CN"/>
              </w:rPr>
              <w:t>、</w:t>
            </w:r>
            <w:r>
              <w:rPr>
                <w:rFonts w:hint="eastAsia" w:ascii="Times New Roman" w:hAnsi="Times New Roman" w:eastAsia="仿宋" w:cs="Times New Roman"/>
                <w:b/>
                <w:bCs/>
                <w:color w:val="auto"/>
                <w:sz w:val="24"/>
                <w:szCs w:val="24"/>
                <w:lang w:val="en-US" w:eastAsia="zh-CN"/>
              </w:rPr>
              <w:t>运营</w:t>
            </w:r>
            <w:r>
              <w:rPr>
                <w:rFonts w:hint="default" w:ascii="Times New Roman" w:hAnsi="Times New Roman" w:eastAsia="仿宋" w:cs="Times New Roman"/>
                <w:b/>
                <w:bCs/>
                <w:color w:val="auto"/>
                <w:sz w:val="24"/>
                <w:szCs w:val="24"/>
                <w:lang w:val="en-US" w:eastAsia="zh-CN"/>
              </w:rPr>
              <w:t>期环境</w:t>
            </w:r>
            <w:r>
              <w:rPr>
                <w:rFonts w:hint="eastAsia" w:ascii="Times New Roman" w:hAnsi="Times New Roman" w:eastAsia="仿宋" w:cs="Times New Roman"/>
                <w:b/>
                <w:bCs/>
                <w:color w:val="auto"/>
                <w:sz w:val="24"/>
                <w:szCs w:val="24"/>
                <w:lang w:val="en-US" w:eastAsia="zh-CN"/>
              </w:rPr>
              <w:t>影响</w:t>
            </w:r>
          </w:p>
          <w:p w14:paraId="1F0F85A4">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废气：吸收塔尾气、锅炉燃烧废气等影响。</w:t>
            </w:r>
          </w:p>
          <w:p w14:paraId="61CBA6E7">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en-US" w:eastAsia="zh-CN"/>
              </w:rPr>
              <w:t>废水：黄磷水封废水、软水/纯水制备废水、冷却循环水强排水、蒸汽冷凝水、设备清洗水、</w:t>
            </w:r>
            <w:r>
              <w:rPr>
                <w:rFonts w:hint="eastAsia" w:ascii="仿宋" w:hAnsi="仿宋" w:eastAsia="仿宋" w:cs="仿宋"/>
                <w:sz w:val="24"/>
                <w:szCs w:val="24"/>
                <w:lang w:val="zh-CN" w:eastAsia="zh-CN"/>
              </w:rPr>
              <w:t>生活污水、</w:t>
            </w:r>
            <w:r>
              <w:rPr>
                <w:rFonts w:hint="eastAsia" w:ascii="仿宋" w:hAnsi="仿宋" w:eastAsia="仿宋" w:cs="仿宋"/>
                <w:sz w:val="24"/>
                <w:szCs w:val="24"/>
                <w:lang w:val="en-US" w:eastAsia="zh-CN"/>
              </w:rPr>
              <w:t>初期雨水等影响</w:t>
            </w:r>
            <w:r>
              <w:rPr>
                <w:rFonts w:hint="eastAsia" w:ascii="仿宋" w:hAnsi="仿宋" w:eastAsia="仿宋" w:cs="仿宋"/>
                <w:sz w:val="24"/>
                <w:szCs w:val="24"/>
                <w:lang w:val="zh-CN" w:eastAsia="zh-CN"/>
              </w:rPr>
              <w:t>。</w:t>
            </w:r>
          </w:p>
          <w:p w14:paraId="7CD867FD">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噪声：泵类、风机、空气压缩机、冷却塔等噪声影响</w:t>
            </w:r>
            <w:r>
              <w:rPr>
                <w:rFonts w:hint="eastAsia" w:ascii="仿宋" w:hAnsi="仿宋" w:eastAsia="仿宋" w:cs="仿宋"/>
                <w:sz w:val="24"/>
                <w:szCs w:val="24"/>
                <w:lang w:val="zh-CN" w:eastAsia="zh-CN"/>
              </w:rPr>
              <w:t>。</w:t>
            </w:r>
          </w:p>
          <w:p w14:paraId="3B78BBB0">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zh-CN" w:eastAsia="zh-CN"/>
              </w:rPr>
              <w:t>固废</w:t>
            </w:r>
            <w:r>
              <w:rPr>
                <w:rFonts w:hint="eastAsia" w:ascii="仿宋" w:hAnsi="仿宋" w:eastAsia="仿宋" w:cs="仿宋"/>
                <w:sz w:val="24"/>
                <w:szCs w:val="24"/>
                <w:lang w:val="en-US" w:eastAsia="zh-CN"/>
              </w:rPr>
              <w:t>：磷酸滤渣、炉渣、收尘、废布袋、废包装材料、纯水/软水制备系统废物、絮凝沉淀渣、生活垃圾等影响。</w:t>
            </w:r>
          </w:p>
          <w:p w14:paraId="29A364C2">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仿宋" w:hAnsi="仿宋" w:eastAsia="仿宋" w:cs="仿宋"/>
                <w:sz w:val="24"/>
                <w:szCs w:val="24"/>
                <w:lang w:val="zh-CN" w:eastAsia="zh-CN"/>
              </w:rPr>
            </w:pPr>
            <w:r>
              <w:rPr>
                <w:rFonts w:hint="eastAsia" w:ascii="仿宋" w:hAnsi="仿宋" w:eastAsia="仿宋" w:cs="仿宋"/>
                <w:color w:val="000000" w:themeColor="text1"/>
                <w:kern w:val="0"/>
                <w:sz w:val="24"/>
                <w:szCs w:val="24"/>
                <w:lang w:val="en-US" w:eastAsia="zh-CN" w:bidi="ar"/>
                <w14:textFill>
                  <w14:solidFill>
                    <w14:schemeClr w14:val="tx1"/>
                  </w14:solidFill>
                </w14:textFill>
              </w:rPr>
              <w:t>项目运行过程地下水、土壤环境的影响</w:t>
            </w:r>
            <w:r>
              <w:rPr>
                <w:rFonts w:hint="eastAsia" w:ascii="仿宋" w:hAnsi="仿宋" w:eastAsia="仿宋" w:cs="仿宋"/>
                <w:sz w:val="24"/>
                <w:szCs w:val="24"/>
                <w:lang w:val="zh-CN" w:eastAsia="zh-CN"/>
              </w:rPr>
              <w:t>。</w:t>
            </w:r>
          </w:p>
          <w:p w14:paraId="02AB01F5">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outlineLvl w:val="1"/>
              <w:rPr>
                <w:rFonts w:hint="eastAsia"/>
              </w:rPr>
            </w:pPr>
            <w:r>
              <w:rPr>
                <w:rFonts w:hint="eastAsia" w:ascii="仿宋" w:hAnsi="仿宋" w:eastAsia="仿宋" w:cs="仿宋"/>
                <w:sz w:val="24"/>
                <w:szCs w:val="24"/>
                <w:lang w:val="en-US" w:eastAsia="zh-CN"/>
              </w:rPr>
              <w:t>项目运行过程中黄磷、五氧化二磷、磷酸等环境风险物质可能导致的</w:t>
            </w:r>
            <w:r>
              <w:rPr>
                <w:rFonts w:hint="eastAsia" w:ascii="仿宋" w:hAnsi="仿宋" w:eastAsia="仿宋" w:cs="仿宋"/>
                <w:sz w:val="24"/>
                <w:szCs w:val="24"/>
                <w:lang w:val="zh-CN" w:eastAsia="zh-CN"/>
              </w:rPr>
              <w:t>环境风险。</w:t>
            </w:r>
          </w:p>
        </w:tc>
      </w:tr>
      <w:tr w14:paraId="5F89E483">
        <w:tblPrEx>
          <w:tblCellMar>
            <w:top w:w="0" w:type="dxa"/>
            <w:left w:w="108" w:type="dxa"/>
            <w:bottom w:w="0" w:type="dxa"/>
            <w:right w:w="108" w:type="dxa"/>
          </w:tblCellMar>
        </w:tblPrEx>
        <w:trPr>
          <w:trHeight w:val="521" w:hRule="atLeast"/>
        </w:trPr>
        <w:tc>
          <w:tcPr>
            <w:tcW w:w="9814" w:type="dxa"/>
            <w:gridSpan w:val="6"/>
            <w:tcBorders>
              <w:top w:val="single" w:color="auto" w:sz="4" w:space="0"/>
              <w:left w:val="single" w:color="auto" w:sz="4" w:space="0"/>
              <w:bottom w:val="single" w:color="auto" w:sz="4" w:space="0"/>
              <w:right w:val="single" w:color="auto" w:sz="4" w:space="0"/>
            </w:tcBorders>
            <w:shd w:val="clear" w:color="auto" w:fill="C0C0C0"/>
            <w:vAlign w:val="center"/>
          </w:tcPr>
          <w:p w14:paraId="4665C5B2">
            <w:pPr>
              <w:widowControl/>
              <w:spacing w:line="280" w:lineRule="exact"/>
              <w:jc w:val="center"/>
              <w:rPr>
                <w:rFonts w:ascii="宋体"/>
                <w:kern w:val="0"/>
                <w:sz w:val="24"/>
                <w:szCs w:val="24"/>
              </w:rPr>
            </w:pPr>
            <w:r>
              <w:rPr>
                <w:rFonts w:hint="eastAsia" w:ascii="仿宋" w:hAnsi="仿宋" w:eastAsia="仿宋" w:cs="仿宋"/>
                <w:b/>
                <w:bCs/>
                <w:kern w:val="0"/>
                <w:sz w:val="24"/>
                <w:szCs w:val="24"/>
              </w:rPr>
              <w:t>项目预防及减轻不良环境影响的对策和措施</w:t>
            </w:r>
          </w:p>
        </w:tc>
      </w:tr>
      <w:tr w14:paraId="4F3E45FE">
        <w:tblPrEx>
          <w:tblCellMar>
            <w:top w:w="0" w:type="dxa"/>
            <w:left w:w="108" w:type="dxa"/>
            <w:bottom w:w="0" w:type="dxa"/>
            <w:right w:w="108" w:type="dxa"/>
          </w:tblCellMar>
        </w:tblPrEx>
        <w:trPr>
          <w:trHeight w:val="5570" w:hRule="atLeast"/>
        </w:trPr>
        <w:tc>
          <w:tcPr>
            <w:tcW w:w="9814" w:type="dxa"/>
            <w:gridSpan w:val="6"/>
            <w:tcBorders>
              <w:top w:val="single" w:color="auto" w:sz="4" w:space="0"/>
              <w:left w:val="single" w:color="auto" w:sz="4" w:space="0"/>
              <w:bottom w:val="single" w:color="auto" w:sz="4" w:space="0"/>
              <w:right w:val="single" w:color="auto" w:sz="4" w:space="0"/>
            </w:tcBorders>
            <w:vAlign w:val="center"/>
          </w:tcPr>
          <w:p w14:paraId="1BB99D2B">
            <w:pPr>
              <w:keepNext w:val="0"/>
              <w:keepLines w:val="0"/>
              <w:pageBreakBefore w:val="0"/>
              <w:widowControl w:val="0"/>
              <w:kinsoku/>
              <w:wordWrap/>
              <w:overflowPunct/>
              <w:topLinePunct w:val="0"/>
              <w:autoSpaceDE/>
              <w:autoSpaceDN/>
              <w:bidi w:val="0"/>
              <w:adjustRightInd/>
              <w:snapToGrid/>
              <w:spacing w:line="360" w:lineRule="exact"/>
              <w:textAlignment w:val="auto"/>
              <w:outlineLvl w:val="1"/>
              <w:rPr>
                <w:rFonts w:hint="default" w:ascii="Times New Roman" w:hAnsi="Times New Roman" w:eastAsia="仿宋" w:cs="Times New Roman"/>
                <w:b/>
                <w:bCs/>
                <w:color w:val="auto"/>
                <w:sz w:val="24"/>
                <w:szCs w:val="24"/>
                <w:lang w:eastAsia="zh-CN"/>
              </w:rPr>
            </w:pPr>
            <w:bookmarkStart w:id="0" w:name="_Toc23411"/>
            <w:bookmarkStart w:id="1" w:name="_Toc16165"/>
            <w:bookmarkStart w:id="2" w:name="_Toc30088"/>
            <w:bookmarkStart w:id="3" w:name="_Toc15213"/>
            <w:r>
              <w:rPr>
                <w:rFonts w:hint="default" w:ascii="Times New Roman" w:hAnsi="Times New Roman" w:eastAsia="仿宋" w:cs="Times New Roman"/>
                <w:b/>
                <w:bCs/>
                <w:color w:val="auto"/>
                <w:sz w:val="24"/>
                <w:szCs w:val="24"/>
                <w:lang w:val="en-US" w:eastAsia="zh-CN"/>
              </w:rPr>
              <w:t>1、</w:t>
            </w:r>
            <w:r>
              <w:rPr>
                <w:rFonts w:hint="default" w:ascii="Times New Roman" w:hAnsi="Times New Roman" w:eastAsia="仿宋" w:cs="Times New Roman"/>
                <w:b/>
                <w:bCs/>
                <w:color w:val="auto"/>
                <w:sz w:val="24"/>
                <w:szCs w:val="24"/>
              </w:rPr>
              <w:t>施工期环境保护措施</w:t>
            </w:r>
            <w:bookmarkEnd w:id="0"/>
            <w:bookmarkEnd w:id="1"/>
            <w:bookmarkEnd w:id="2"/>
            <w:bookmarkEnd w:id="3"/>
          </w:p>
          <w:p w14:paraId="087E9B83">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ascii="Times New Roman" w:hAnsi="Times New Roman" w:eastAsia="仿宋" w:cs="Times New Roman"/>
                <w:bCs/>
                <w:color w:val="auto"/>
                <w:kern w:val="0"/>
                <w:sz w:val="24"/>
                <w:szCs w:val="24"/>
              </w:rPr>
            </w:pPr>
            <w:r>
              <w:rPr>
                <w:rFonts w:hint="eastAsia" w:ascii="Times New Roman" w:hAnsi="Times New Roman" w:eastAsia="仿宋" w:cs="Times New Roman"/>
                <w:bCs/>
                <w:color w:val="auto"/>
                <w:kern w:val="0"/>
                <w:sz w:val="24"/>
                <w:szCs w:val="24"/>
                <w:lang w:val="en-US" w:eastAsia="zh-CN"/>
              </w:rPr>
              <w:t>（1）</w:t>
            </w:r>
            <w:r>
              <w:rPr>
                <w:rFonts w:hint="default" w:ascii="Times New Roman" w:hAnsi="Times New Roman" w:eastAsia="仿宋" w:cs="Times New Roman"/>
                <w:bCs/>
                <w:color w:val="auto"/>
                <w:kern w:val="0"/>
                <w:sz w:val="24"/>
                <w:szCs w:val="24"/>
                <w:lang w:val="en-US"/>
              </w:rPr>
              <w:t>施工期大气环境污染防治措施</w:t>
            </w:r>
          </w:p>
          <w:p w14:paraId="57D95C06">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r>
              <w:rPr>
                <w:rFonts w:hint="default" w:ascii="Times New Roman" w:hAnsi="Times New Roman" w:eastAsia="仿宋" w:cs="Times New Roman"/>
                <w:bCs/>
                <w:color w:val="auto"/>
                <w:kern w:val="0"/>
                <w:sz w:val="24"/>
                <w:szCs w:val="24"/>
                <w:lang w:val="en-US" w:eastAsia="zh-CN"/>
              </w:rPr>
              <w:t>①施工场地定期洒水，减少扬尘产生，晴天一般不少于2次；</w:t>
            </w:r>
          </w:p>
          <w:p w14:paraId="2300797E">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r>
              <w:rPr>
                <w:rFonts w:hint="default" w:ascii="Times New Roman" w:hAnsi="Times New Roman" w:eastAsia="仿宋" w:cs="Times New Roman"/>
                <w:bCs/>
                <w:color w:val="auto"/>
                <w:kern w:val="0"/>
                <w:sz w:val="24"/>
                <w:szCs w:val="24"/>
                <w:lang w:val="en-US" w:eastAsia="zh-CN"/>
              </w:rPr>
              <w:t>②材料运输过程中必须加盖篷布，杜绝抛、撒、飞、漏等扬尘污染。</w:t>
            </w:r>
          </w:p>
          <w:p w14:paraId="768121A3">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r>
              <w:rPr>
                <w:rFonts w:hint="default" w:ascii="Times New Roman" w:hAnsi="Times New Roman" w:eastAsia="仿宋" w:cs="Times New Roman"/>
                <w:bCs/>
                <w:color w:val="auto"/>
                <w:kern w:val="0"/>
                <w:sz w:val="24"/>
                <w:szCs w:val="24"/>
                <w:lang w:val="en-US" w:eastAsia="zh-CN"/>
              </w:rPr>
              <w:t>③设施工道路养护、维修、清扫专职人员，定期对场内施工道路进行清扫、洒水降尘等，保持道路清洁、运行状态良好。并要求车辆行驶时应当低速行驶，以减少扬尘产生。</w:t>
            </w:r>
          </w:p>
          <w:p w14:paraId="45732A4E">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r>
              <w:rPr>
                <w:rFonts w:hint="eastAsia" w:ascii="Times New Roman" w:hAnsi="Times New Roman" w:eastAsia="仿宋" w:cs="Times New Roman"/>
                <w:bCs/>
                <w:color w:val="auto"/>
                <w:kern w:val="0"/>
                <w:sz w:val="24"/>
                <w:szCs w:val="24"/>
                <w:lang w:val="en-US" w:eastAsia="zh-CN"/>
              </w:rPr>
              <w:t>（2）</w:t>
            </w:r>
            <w:r>
              <w:rPr>
                <w:rFonts w:hint="default" w:ascii="Times New Roman" w:hAnsi="Times New Roman" w:eastAsia="仿宋" w:cs="Times New Roman"/>
                <w:bCs/>
                <w:color w:val="auto"/>
                <w:kern w:val="0"/>
                <w:sz w:val="24"/>
                <w:szCs w:val="24"/>
                <w:lang w:val="en-US"/>
              </w:rPr>
              <w:t>施工期</w:t>
            </w:r>
            <w:r>
              <w:rPr>
                <w:rFonts w:hint="default" w:ascii="Times New Roman" w:hAnsi="Times New Roman" w:eastAsia="仿宋" w:cs="Times New Roman"/>
                <w:bCs/>
                <w:color w:val="auto"/>
                <w:kern w:val="0"/>
                <w:sz w:val="24"/>
                <w:szCs w:val="24"/>
                <w:lang w:val="en-US" w:eastAsia="zh-CN"/>
              </w:rPr>
              <w:t>废水</w:t>
            </w:r>
            <w:r>
              <w:rPr>
                <w:rFonts w:hint="default" w:ascii="Times New Roman" w:hAnsi="Times New Roman" w:eastAsia="仿宋" w:cs="Times New Roman"/>
                <w:bCs/>
                <w:color w:val="auto"/>
                <w:kern w:val="0"/>
                <w:sz w:val="24"/>
                <w:szCs w:val="24"/>
                <w:lang w:val="en-US"/>
              </w:rPr>
              <w:t>污染防治措施</w:t>
            </w:r>
          </w:p>
          <w:p w14:paraId="226513A4">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r>
              <w:rPr>
                <w:rFonts w:hint="default" w:ascii="Times New Roman" w:hAnsi="Times New Roman" w:eastAsia="仿宋" w:cs="Times New Roman"/>
                <w:bCs/>
                <w:color w:val="auto"/>
                <w:kern w:val="0"/>
                <w:sz w:val="24"/>
                <w:szCs w:val="24"/>
                <w:lang w:val="en-US" w:eastAsia="zh-CN"/>
              </w:rPr>
              <w:t>①施工废水经1个2m</w:t>
            </w:r>
            <w:r>
              <w:rPr>
                <w:rFonts w:hint="default" w:ascii="Times New Roman" w:hAnsi="Times New Roman" w:eastAsia="仿宋" w:cs="Times New Roman"/>
                <w:bCs/>
                <w:color w:val="auto"/>
                <w:kern w:val="0"/>
                <w:sz w:val="24"/>
                <w:szCs w:val="24"/>
                <w:vertAlign w:val="superscript"/>
                <w:lang w:val="en-US" w:eastAsia="zh-CN"/>
              </w:rPr>
              <w:t>3</w:t>
            </w:r>
            <w:r>
              <w:rPr>
                <w:rFonts w:hint="default" w:ascii="Times New Roman" w:hAnsi="Times New Roman" w:eastAsia="仿宋" w:cs="Times New Roman"/>
                <w:bCs/>
                <w:color w:val="auto"/>
                <w:kern w:val="0"/>
                <w:sz w:val="24"/>
                <w:szCs w:val="24"/>
                <w:lang w:val="en-US" w:eastAsia="zh-CN"/>
              </w:rPr>
              <w:t>沉淀池沉淀处理后用于场地洒水降尘；</w:t>
            </w:r>
          </w:p>
          <w:p w14:paraId="77667D04">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r>
              <w:rPr>
                <w:rFonts w:hint="default" w:ascii="Times New Roman" w:hAnsi="Times New Roman" w:eastAsia="仿宋" w:cs="Times New Roman"/>
                <w:bCs/>
                <w:color w:val="auto"/>
                <w:kern w:val="0"/>
                <w:sz w:val="24"/>
                <w:szCs w:val="24"/>
                <w:lang w:val="en-US" w:eastAsia="zh-CN"/>
              </w:rPr>
              <w:t>②生活污水依托现有项目污水收集处理措施，处理后回用；</w:t>
            </w:r>
          </w:p>
          <w:p w14:paraId="1078884C">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r>
              <w:rPr>
                <w:rFonts w:hint="default" w:ascii="Times New Roman" w:hAnsi="Times New Roman" w:eastAsia="仿宋" w:cs="Times New Roman"/>
                <w:bCs/>
                <w:color w:val="auto"/>
                <w:kern w:val="0"/>
                <w:sz w:val="24"/>
                <w:szCs w:val="24"/>
                <w:lang w:val="en-US" w:eastAsia="zh-CN"/>
              </w:rPr>
              <w:t>③依托厂区内现有初期雨水收集池，收集场地内雨季径流，经沉淀处理后，回用于场地；</w:t>
            </w:r>
          </w:p>
          <w:p w14:paraId="4E84C602">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r>
              <w:rPr>
                <w:rFonts w:hint="default" w:ascii="Times New Roman" w:hAnsi="Times New Roman" w:eastAsia="仿宋" w:cs="Times New Roman"/>
                <w:bCs/>
                <w:color w:val="auto"/>
                <w:kern w:val="0"/>
                <w:sz w:val="24"/>
                <w:szCs w:val="24"/>
                <w:lang w:val="en-US" w:eastAsia="zh-CN"/>
              </w:rPr>
              <w:t>④车辆轮胎进行清洗废水经洗轮胎池收集、沉淀处理后重复循环利用。</w:t>
            </w:r>
          </w:p>
          <w:p w14:paraId="3172E09D">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ascii="Times New Roman" w:hAnsi="Times New Roman" w:eastAsia="仿宋" w:cs="Times New Roman"/>
                <w:bCs/>
                <w:color w:val="auto"/>
                <w:kern w:val="0"/>
                <w:sz w:val="24"/>
                <w:szCs w:val="24"/>
              </w:rPr>
            </w:pPr>
            <w:r>
              <w:rPr>
                <w:rFonts w:hint="eastAsia" w:ascii="Times New Roman" w:hAnsi="Times New Roman" w:eastAsia="仿宋" w:cs="Times New Roman"/>
                <w:bCs/>
                <w:color w:val="auto"/>
                <w:kern w:val="0"/>
                <w:sz w:val="24"/>
                <w:szCs w:val="24"/>
                <w:lang w:val="en-US" w:eastAsia="zh-CN"/>
              </w:rPr>
              <w:t>（3）</w:t>
            </w:r>
            <w:r>
              <w:rPr>
                <w:rFonts w:hint="default" w:ascii="Times New Roman" w:hAnsi="Times New Roman" w:eastAsia="仿宋" w:cs="Times New Roman"/>
                <w:bCs/>
                <w:color w:val="auto"/>
                <w:kern w:val="0"/>
                <w:sz w:val="24"/>
                <w:szCs w:val="24"/>
              </w:rPr>
              <w:t>施工期</w:t>
            </w:r>
            <w:r>
              <w:rPr>
                <w:rFonts w:hint="default" w:ascii="Times New Roman" w:hAnsi="Times New Roman" w:eastAsia="仿宋" w:cs="Times New Roman"/>
                <w:bCs/>
                <w:color w:val="auto"/>
                <w:kern w:val="0"/>
                <w:sz w:val="24"/>
                <w:szCs w:val="24"/>
                <w:lang w:eastAsia="zh-CN"/>
              </w:rPr>
              <w:t>噪声</w:t>
            </w:r>
            <w:r>
              <w:rPr>
                <w:rFonts w:hint="default" w:ascii="Times New Roman" w:hAnsi="Times New Roman" w:eastAsia="仿宋" w:cs="Times New Roman"/>
                <w:bCs/>
                <w:color w:val="auto"/>
                <w:kern w:val="0"/>
                <w:sz w:val="24"/>
                <w:szCs w:val="24"/>
              </w:rPr>
              <w:t>污染防治措施</w:t>
            </w:r>
          </w:p>
          <w:p w14:paraId="7283AFD2">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r>
              <w:rPr>
                <w:rFonts w:hint="default" w:ascii="Times New Roman" w:hAnsi="Times New Roman" w:eastAsia="仿宋" w:cs="Times New Roman"/>
                <w:bCs/>
                <w:color w:val="auto"/>
                <w:kern w:val="0"/>
                <w:sz w:val="24"/>
                <w:szCs w:val="24"/>
                <w:lang w:val="en-US" w:eastAsia="zh-CN"/>
              </w:rPr>
              <w:t>①施工场地边界设置2.5m高围墙；</w:t>
            </w:r>
          </w:p>
          <w:p w14:paraId="2169EB7B">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r>
              <w:rPr>
                <w:rFonts w:hint="default" w:ascii="Times New Roman" w:hAnsi="Times New Roman" w:eastAsia="仿宋" w:cs="Times New Roman"/>
                <w:bCs/>
                <w:color w:val="auto"/>
                <w:kern w:val="0"/>
                <w:sz w:val="24"/>
                <w:szCs w:val="24"/>
                <w:lang w:val="en-US" w:eastAsia="zh-CN"/>
              </w:rPr>
              <w:t>②建设单位应要求施工单位选用低噪设备，加强检修、保养，保持良好的运行状态，减少噪声的产生；</w:t>
            </w:r>
          </w:p>
          <w:p w14:paraId="123DEFC5">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r>
              <w:rPr>
                <w:rFonts w:hint="default" w:ascii="Times New Roman" w:hAnsi="Times New Roman" w:eastAsia="仿宋" w:cs="Times New Roman"/>
                <w:bCs/>
                <w:color w:val="auto"/>
                <w:kern w:val="0"/>
                <w:sz w:val="24"/>
                <w:szCs w:val="24"/>
                <w:lang w:val="en-US" w:eastAsia="zh-CN"/>
              </w:rPr>
              <w:t>③施工期运输车辆应尽量保持良好车况，合理调度，尽可能匀速慢行，施工场的施工车辆经过村庄应低速、禁鸣，以减小载重汽车噪声对周围环境的影响；</w:t>
            </w:r>
          </w:p>
          <w:p w14:paraId="46A0B787">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r>
              <w:rPr>
                <w:rFonts w:hint="default" w:ascii="Times New Roman" w:hAnsi="Times New Roman" w:eastAsia="仿宋" w:cs="Times New Roman"/>
                <w:bCs/>
                <w:color w:val="auto"/>
                <w:kern w:val="0"/>
                <w:sz w:val="24"/>
                <w:szCs w:val="24"/>
                <w:lang w:val="en-US" w:eastAsia="zh-CN"/>
              </w:rPr>
              <w:t>④合理安排施工时间，严禁夜间施工。</w:t>
            </w:r>
          </w:p>
          <w:p w14:paraId="7F3A808D">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ascii="Times New Roman" w:hAnsi="Times New Roman" w:eastAsia="仿宋" w:cs="Times New Roman"/>
                <w:bCs/>
                <w:color w:val="auto"/>
                <w:kern w:val="0"/>
                <w:sz w:val="24"/>
                <w:szCs w:val="24"/>
              </w:rPr>
            </w:pPr>
            <w:r>
              <w:rPr>
                <w:rFonts w:hint="eastAsia" w:ascii="Times New Roman" w:hAnsi="Times New Roman" w:eastAsia="仿宋" w:cs="Times New Roman"/>
                <w:bCs/>
                <w:color w:val="auto"/>
                <w:kern w:val="0"/>
                <w:sz w:val="24"/>
                <w:szCs w:val="24"/>
                <w:lang w:val="en-US" w:eastAsia="zh-CN"/>
              </w:rPr>
              <w:t>（4）</w:t>
            </w:r>
            <w:r>
              <w:rPr>
                <w:rFonts w:hint="default" w:ascii="Times New Roman" w:hAnsi="Times New Roman" w:eastAsia="仿宋" w:cs="Times New Roman"/>
                <w:bCs/>
                <w:color w:val="auto"/>
                <w:kern w:val="0"/>
                <w:sz w:val="24"/>
                <w:szCs w:val="24"/>
              </w:rPr>
              <w:t>施工期固体废物污染防治措施</w:t>
            </w:r>
          </w:p>
          <w:p w14:paraId="7BF5E0CE">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r>
              <w:rPr>
                <w:rFonts w:hint="default" w:ascii="Times New Roman" w:hAnsi="Times New Roman" w:eastAsia="仿宋" w:cs="Times New Roman"/>
                <w:bCs/>
                <w:color w:val="auto"/>
                <w:kern w:val="0"/>
                <w:sz w:val="24"/>
                <w:szCs w:val="24"/>
                <w:lang w:val="en-US" w:eastAsia="zh-CN"/>
              </w:rPr>
              <w:t>项目土方运全部回填，不产生弃方；建筑垃圾分类收集、分类处置，木屑、钢筋等收集后外售给废品收购站，其余建筑垃圾集中在厂内堆放，防止雨水冲刷造成水土流失，定时清运到合法的建筑垃圾处置点处置；施工人员生活垃圾产生量较小，通过加盖垃圾桶统一收集后，委托环卫部门定期清运处置。</w:t>
            </w:r>
          </w:p>
          <w:p w14:paraId="017F1C1E">
            <w:pPr>
              <w:keepNext w:val="0"/>
              <w:keepLines w:val="0"/>
              <w:pageBreakBefore w:val="0"/>
              <w:widowControl w:val="0"/>
              <w:kinsoku/>
              <w:wordWrap/>
              <w:overflowPunct/>
              <w:topLinePunct w:val="0"/>
              <w:autoSpaceDE/>
              <w:autoSpaceDN/>
              <w:bidi w:val="0"/>
              <w:adjustRightInd/>
              <w:snapToGrid/>
              <w:spacing w:line="360" w:lineRule="exact"/>
              <w:textAlignment w:val="auto"/>
              <w:outlineLvl w:val="1"/>
              <w:rPr>
                <w:rFonts w:hint="default" w:ascii="Times New Roman" w:hAnsi="Times New Roman" w:eastAsia="仿宋" w:cs="Times New Roman"/>
                <w:b/>
                <w:bCs/>
                <w:color w:val="auto"/>
                <w:sz w:val="24"/>
                <w:szCs w:val="24"/>
              </w:rPr>
            </w:pPr>
            <w:bookmarkStart w:id="4" w:name="_Toc30966"/>
            <w:bookmarkStart w:id="5" w:name="_Toc21727"/>
            <w:bookmarkStart w:id="6" w:name="_Toc14778"/>
            <w:bookmarkStart w:id="7" w:name="_Toc4086"/>
            <w:r>
              <w:rPr>
                <w:rFonts w:hint="default" w:ascii="Times New Roman" w:hAnsi="Times New Roman" w:eastAsia="仿宋" w:cs="Times New Roman"/>
                <w:b/>
                <w:bCs/>
                <w:color w:val="auto"/>
                <w:sz w:val="24"/>
                <w:szCs w:val="24"/>
              </w:rPr>
              <w:t>2</w:t>
            </w:r>
            <w:r>
              <w:rPr>
                <w:rFonts w:hint="eastAsia" w:ascii="Times New Roman" w:hAnsi="Times New Roman" w:eastAsia="仿宋" w:cs="Times New Roman"/>
                <w:b/>
                <w:bCs/>
                <w:color w:val="auto"/>
                <w:sz w:val="24"/>
                <w:szCs w:val="24"/>
                <w:lang w:eastAsia="zh-CN"/>
              </w:rPr>
              <w:t>、</w:t>
            </w:r>
            <w:r>
              <w:rPr>
                <w:rFonts w:hint="default" w:ascii="Times New Roman" w:hAnsi="Times New Roman" w:eastAsia="仿宋" w:cs="Times New Roman"/>
                <w:b/>
                <w:bCs/>
                <w:color w:val="auto"/>
                <w:sz w:val="24"/>
                <w:szCs w:val="24"/>
              </w:rPr>
              <w:t>运营期环境保护措施</w:t>
            </w:r>
            <w:bookmarkEnd w:id="4"/>
            <w:bookmarkEnd w:id="5"/>
            <w:bookmarkEnd w:id="6"/>
            <w:bookmarkEnd w:id="7"/>
            <w:bookmarkStart w:id="8" w:name="_Toc28553"/>
            <w:bookmarkStart w:id="9" w:name="_Toc17316"/>
            <w:bookmarkStart w:id="10" w:name="_Toc20996"/>
            <w:bookmarkStart w:id="11" w:name="_Toc4230"/>
          </w:p>
          <w:bookmarkEnd w:id="8"/>
          <w:bookmarkEnd w:id="9"/>
          <w:bookmarkEnd w:id="10"/>
          <w:bookmarkEnd w:id="11"/>
          <w:p w14:paraId="2D98FC40">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r>
              <w:rPr>
                <w:rFonts w:hint="eastAsia" w:ascii="Times New Roman" w:hAnsi="Times New Roman" w:eastAsia="仿宋" w:cs="Times New Roman"/>
                <w:bCs/>
                <w:color w:val="auto"/>
                <w:kern w:val="0"/>
                <w:sz w:val="24"/>
                <w:szCs w:val="24"/>
                <w:lang w:val="en-US" w:eastAsia="zh-CN"/>
              </w:rPr>
              <w:t>（1）大气污染物</w:t>
            </w:r>
            <w:r>
              <w:rPr>
                <w:rFonts w:hint="default" w:ascii="Times New Roman" w:hAnsi="Times New Roman" w:eastAsia="仿宋" w:cs="Times New Roman"/>
                <w:bCs/>
                <w:color w:val="auto"/>
                <w:kern w:val="0"/>
                <w:sz w:val="24"/>
                <w:szCs w:val="24"/>
                <w:lang w:val="en-US" w:eastAsia="zh-CN"/>
              </w:rPr>
              <w:t>防治措施</w:t>
            </w:r>
          </w:p>
          <w:p w14:paraId="60A8ACAC">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Times New Roman" w:hAnsi="Times New Roman" w:eastAsia="仿宋" w:cs="Times New Roman"/>
                <w:bCs/>
                <w:color w:val="auto"/>
                <w:kern w:val="0"/>
                <w:sz w:val="24"/>
                <w:szCs w:val="24"/>
                <w:lang w:val="en-US" w:eastAsia="zh-CN" w:bidi="ar-SA"/>
              </w:rPr>
            </w:pPr>
            <w:r>
              <w:rPr>
                <w:rFonts w:hint="eastAsia" w:ascii="Times New Roman" w:hAnsi="Times New Roman" w:eastAsia="仿宋" w:cs="Times New Roman"/>
                <w:bCs/>
                <w:color w:val="auto"/>
                <w:kern w:val="0"/>
                <w:sz w:val="24"/>
                <w:szCs w:val="24"/>
                <w:lang w:val="en-US" w:eastAsia="zh-CN" w:bidi="ar-SA"/>
              </w:rPr>
              <w:t>吸收塔尾气设置废气收集系统和</w:t>
            </w:r>
            <w:r>
              <w:rPr>
                <w:rFonts w:hint="eastAsia" w:ascii="Times New Roman" w:hAnsi="Times New Roman" w:eastAsia="仿宋" w:cs="Times New Roman"/>
                <w:bCs/>
                <w:color w:val="auto"/>
                <w:kern w:val="0"/>
                <w:sz w:val="24"/>
                <w:szCs w:val="24"/>
                <w:lang w:val="zh-CN" w:eastAsia="zh-CN" w:bidi="ar-SA"/>
              </w:rPr>
              <w:t>“</w:t>
            </w:r>
            <w:r>
              <w:rPr>
                <w:rFonts w:hint="eastAsia" w:ascii="Times New Roman" w:hAnsi="Times New Roman" w:eastAsia="仿宋" w:cs="Times New Roman"/>
                <w:bCs/>
                <w:color w:val="auto"/>
                <w:kern w:val="0"/>
                <w:sz w:val="24"/>
                <w:szCs w:val="24"/>
                <w:lang w:val="en-US" w:eastAsia="zh-CN" w:bidi="ar-SA"/>
              </w:rPr>
              <w:t>文丘里</w:t>
            </w:r>
            <w:r>
              <w:rPr>
                <w:rFonts w:hint="default" w:ascii="Times New Roman" w:hAnsi="Times New Roman" w:eastAsia="仿宋" w:cs="Times New Roman"/>
                <w:bCs/>
                <w:color w:val="auto"/>
                <w:kern w:val="0"/>
                <w:sz w:val="24"/>
                <w:szCs w:val="24"/>
                <w:lang w:val="en-US" w:eastAsia="zh-CN" w:bidi="ar-SA"/>
              </w:rPr>
              <w:t>洗涤器</w:t>
            </w:r>
            <w:r>
              <w:rPr>
                <w:rFonts w:hint="eastAsia" w:ascii="Times New Roman" w:hAnsi="Times New Roman" w:eastAsia="仿宋" w:cs="Times New Roman"/>
                <w:bCs/>
                <w:color w:val="auto"/>
                <w:kern w:val="0"/>
                <w:sz w:val="24"/>
                <w:szCs w:val="24"/>
                <w:lang w:val="en-US" w:eastAsia="zh-CN" w:bidi="ar-SA"/>
              </w:rPr>
              <w:t>+复档除沫器+纤维除沫器</w:t>
            </w:r>
            <w:r>
              <w:rPr>
                <w:rFonts w:hint="eastAsia" w:ascii="Times New Roman" w:hAnsi="Times New Roman" w:eastAsia="仿宋" w:cs="Times New Roman"/>
                <w:bCs/>
                <w:color w:val="auto"/>
                <w:kern w:val="0"/>
                <w:sz w:val="24"/>
                <w:szCs w:val="24"/>
                <w:lang w:val="zh-CN" w:eastAsia="zh-CN" w:bidi="ar-SA"/>
              </w:rPr>
              <w:t>”</w:t>
            </w:r>
            <w:r>
              <w:rPr>
                <w:rFonts w:hint="eastAsia" w:ascii="Times New Roman" w:hAnsi="Times New Roman" w:eastAsia="仿宋" w:cs="Times New Roman"/>
                <w:bCs/>
                <w:color w:val="auto"/>
                <w:kern w:val="0"/>
                <w:sz w:val="24"/>
                <w:szCs w:val="24"/>
                <w:lang w:val="en-US" w:eastAsia="zh-CN" w:bidi="ar-SA"/>
              </w:rPr>
              <w:t>装置进行收集处理，每条生产线配1套废气处理装置，2条生产线尾</w:t>
            </w:r>
            <w:r>
              <w:rPr>
                <w:rFonts w:hint="default" w:ascii="Times New Roman" w:hAnsi="Times New Roman" w:eastAsia="仿宋" w:cs="Times New Roman"/>
                <w:bCs/>
                <w:color w:val="auto"/>
                <w:kern w:val="0"/>
                <w:sz w:val="24"/>
                <w:szCs w:val="24"/>
                <w:lang w:val="zh-CN" w:eastAsia="zh-CN" w:bidi="ar-SA"/>
              </w:rPr>
              <w:t>气</w:t>
            </w:r>
            <w:r>
              <w:rPr>
                <w:rFonts w:hint="eastAsia" w:ascii="Times New Roman" w:hAnsi="Times New Roman" w:eastAsia="仿宋" w:cs="Times New Roman"/>
                <w:bCs/>
                <w:color w:val="auto"/>
                <w:kern w:val="0"/>
                <w:sz w:val="24"/>
                <w:szCs w:val="24"/>
                <w:lang w:val="en-US" w:eastAsia="zh-CN" w:bidi="ar-SA"/>
              </w:rPr>
              <w:t>经收集处理后分别用</w:t>
            </w:r>
            <w:r>
              <w:rPr>
                <w:rFonts w:hint="default" w:ascii="Times New Roman" w:hAnsi="Times New Roman" w:eastAsia="仿宋" w:cs="Times New Roman"/>
                <w:bCs/>
                <w:color w:val="auto"/>
                <w:kern w:val="0"/>
                <w:sz w:val="24"/>
                <w:szCs w:val="24"/>
                <w:lang w:val="zh-CN" w:eastAsia="zh-CN" w:bidi="ar-SA"/>
              </w:rPr>
              <w:t>排气筒</w:t>
            </w:r>
            <w:r>
              <w:rPr>
                <w:rFonts w:hint="eastAsia" w:ascii="Times New Roman" w:hAnsi="Times New Roman" w:eastAsia="仿宋" w:cs="Times New Roman"/>
                <w:bCs/>
                <w:color w:val="auto"/>
                <w:kern w:val="0"/>
                <w:sz w:val="24"/>
                <w:szCs w:val="24"/>
                <w:lang w:val="en-US" w:eastAsia="zh-CN" w:bidi="ar-SA"/>
              </w:rPr>
              <w:t>DA007、DA008</w:t>
            </w:r>
            <w:r>
              <w:rPr>
                <w:rFonts w:hint="eastAsia" w:ascii="Times New Roman" w:hAnsi="Times New Roman" w:eastAsia="仿宋" w:cs="Times New Roman"/>
                <w:bCs/>
                <w:color w:val="auto"/>
                <w:kern w:val="0"/>
                <w:sz w:val="24"/>
                <w:szCs w:val="24"/>
                <w:lang w:val="zh-CN" w:eastAsia="zh-CN" w:bidi="ar-SA"/>
              </w:rPr>
              <w:t>（</w:t>
            </w:r>
            <w:r>
              <w:rPr>
                <w:rFonts w:hint="eastAsia" w:ascii="Times New Roman" w:hAnsi="Times New Roman" w:eastAsia="仿宋" w:cs="Times New Roman"/>
                <w:bCs/>
                <w:color w:val="auto"/>
                <w:kern w:val="0"/>
                <w:sz w:val="24"/>
                <w:szCs w:val="24"/>
                <w:lang w:val="en-US" w:eastAsia="zh-CN" w:bidi="ar-SA"/>
              </w:rPr>
              <w:t>高28m，内径1.1m</w:t>
            </w:r>
            <w:r>
              <w:rPr>
                <w:rFonts w:hint="eastAsia" w:ascii="Times New Roman" w:hAnsi="Times New Roman" w:eastAsia="仿宋" w:cs="Times New Roman"/>
                <w:bCs/>
                <w:color w:val="auto"/>
                <w:kern w:val="0"/>
                <w:sz w:val="24"/>
                <w:szCs w:val="24"/>
                <w:lang w:val="zh-CN" w:eastAsia="zh-CN" w:bidi="ar-SA"/>
              </w:rPr>
              <w:t>）</w:t>
            </w:r>
            <w:r>
              <w:rPr>
                <w:rFonts w:hint="default" w:ascii="Times New Roman" w:hAnsi="Times New Roman" w:eastAsia="仿宋" w:cs="Times New Roman"/>
                <w:bCs/>
                <w:color w:val="auto"/>
                <w:kern w:val="0"/>
                <w:sz w:val="24"/>
                <w:szCs w:val="24"/>
                <w:lang w:val="zh-CN" w:eastAsia="zh-CN" w:bidi="ar-SA"/>
              </w:rPr>
              <w:t>外排</w:t>
            </w:r>
            <w:r>
              <w:rPr>
                <w:rFonts w:hint="eastAsia" w:ascii="Times New Roman" w:hAnsi="Times New Roman" w:eastAsia="仿宋" w:cs="Times New Roman"/>
                <w:bCs/>
                <w:color w:val="auto"/>
                <w:kern w:val="0"/>
                <w:sz w:val="24"/>
                <w:szCs w:val="24"/>
                <w:lang w:val="en-US" w:eastAsia="zh-CN" w:bidi="ar-SA"/>
              </w:rPr>
              <w:t>，排放的P</w:t>
            </w:r>
            <w:r>
              <w:rPr>
                <w:rFonts w:hint="eastAsia" w:ascii="Times New Roman" w:hAnsi="Times New Roman" w:eastAsia="仿宋" w:cs="Times New Roman"/>
                <w:bCs/>
                <w:color w:val="auto"/>
                <w:kern w:val="0"/>
                <w:sz w:val="24"/>
                <w:szCs w:val="24"/>
                <w:vertAlign w:val="subscript"/>
                <w:lang w:val="en-US" w:eastAsia="zh-CN" w:bidi="ar-SA"/>
              </w:rPr>
              <w:t>2</w:t>
            </w:r>
            <w:r>
              <w:rPr>
                <w:rFonts w:hint="eastAsia" w:ascii="Times New Roman" w:hAnsi="Times New Roman" w:eastAsia="仿宋" w:cs="Times New Roman"/>
                <w:bCs/>
                <w:color w:val="auto"/>
                <w:kern w:val="0"/>
                <w:sz w:val="24"/>
                <w:szCs w:val="24"/>
                <w:lang w:val="en-US" w:eastAsia="zh-CN" w:bidi="ar-SA"/>
              </w:rPr>
              <w:t>O</w:t>
            </w:r>
            <w:r>
              <w:rPr>
                <w:rFonts w:hint="eastAsia" w:ascii="Times New Roman" w:hAnsi="Times New Roman" w:eastAsia="仿宋" w:cs="Times New Roman"/>
                <w:bCs/>
                <w:color w:val="auto"/>
                <w:kern w:val="0"/>
                <w:sz w:val="24"/>
                <w:szCs w:val="24"/>
                <w:vertAlign w:val="subscript"/>
                <w:lang w:val="en-US" w:eastAsia="zh-CN" w:bidi="ar-SA"/>
              </w:rPr>
              <w:t>5</w:t>
            </w:r>
            <w:r>
              <w:rPr>
                <w:rFonts w:hint="eastAsia" w:ascii="Times New Roman" w:hAnsi="Times New Roman" w:eastAsia="仿宋" w:cs="Times New Roman"/>
                <w:bCs/>
                <w:color w:val="auto"/>
                <w:kern w:val="0"/>
                <w:sz w:val="24"/>
                <w:szCs w:val="24"/>
                <w:lang w:val="en-US" w:eastAsia="zh-CN" w:bidi="ar-SA"/>
              </w:rPr>
              <w:t>能满足《磷酸（热法）生产技术规范》（GB/T28602-2012）附录表C.1中限值要求，氟化物能</w:t>
            </w:r>
            <w:r>
              <w:rPr>
                <w:rFonts w:hint="default" w:ascii="Times New Roman" w:hAnsi="Times New Roman" w:eastAsia="仿宋" w:cs="Times New Roman"/>
                <w:bCs/>
                <w:color w:val="auto"/>
                <w:kern w:val="0"/>
                <w:sz w:val="24"/>
                <w:szCs w:val="24"/>
                <w:lang w:val="zh-CN" w:eastAsia="zh-CN" w:bidi="ar-SA"/>
              </w:rPr>
              <w:t>满足</w:t>
            </w:r>
            <w:r>
              <w:rPr>
                <w:rFonts w:hint="eastAsia" w:ascii="Times New Roman" w:hAnsi="Times New Roman" w:eastAsia="仿宋" w:cs="Times New Roman"/>
                <w:bCs/>
                <w:color w:val="auto"/>
                <w:kern w:val="0"/>
                <w:sz w:val="24"/>
                <w:szCs w:val="24"/>
                <w:lang w:val="en-US" w:eastAsia="zh-CN" w:bidi="ar-SA"/>
              </w:rPr>
              <w:t>《大气污染物综合排放标准》（GB16297-1996）限值要求，砷及其化合物能满足《无机化学工业污染物排放标准》（GB31573-2015）限值要求</w:t>
            </w:r>
            <w:r>
              <w:rPr>
                <w:rFonts w:hint="eastAsia" w:ascii="Times New Roman" w:hAnsi="Times New Roman" w:eastAsia="仿宋" w:cs="Times New Roman"/>
                <w:bCs/>
                <w:color w:val="auto"/>
                <w:kern w:val="0"/>
                <w:sz w:val="24"/>
                <w:szCs w:val="24"/>
                <w:lang w:val="zh-CN" w:eastAsia="zh-CN" w:bidi="ar-SA"/>
              </w:rPr>
              <w:t>；</w:t>
            </w:r>
            <w:r>
              <w:rPr>
                <w:rFonts w:hint="eastAsia" w:ascii="Times New Roman" w:hAnsi="Times New Roman" w:eastAsia="仿宋" w:cs="Times New Roman"/>
                <w:bCs/>
                <w:color w:val="auto"/>
                <w:kern w:val="0"/>
                <w:sz w:val="24"/>
                <w:szCs w:val="24"/>
                <w:lang w:val="en-US" w:eastAsia="zh-CN" w:bidi="ar-SA"/>
              </w:rPr>
              <w:t>锅炉烟气设置1套旋风除尘+袋式除尘装置进行处置，经处理后由1根排气筒</w:t>
            </w:r>
            <w:r>
              <w:rPr>
                <w:rFonts w:hint="eastAsia" w:ascii="Times New Roman" w:hAnsi="Times New Roman" w:eastAsia="仿宋" w:cs="Times New Roman"/>
                <w:bCs/>
                <w:color w:val="auto"/>
                <w:kern w:val="0"/>
                <w:sz w:val="24"/>
                <w:szCs w:val="24"/>
                <w:lang w:val="zh-CN" w:eastAsia="zh-CN" w:bidi="ar-SA"/>
              </w:rPr>
              <w:t>（DA00</w:t>
            </w:r>
            <w:r>
              <w:rPr>
                <w:rFonts w:hint="eastAsia" w:ascii="Times New Roman" w:hAnsi="Times New Roman" w:eastAsia="仿宋" w:cs="Times New Roman"/>
                <w:bCs/>
                <w:color w:val="auto"/>
                <w:kern w:val="0"/>
                <w:sz w:val="24"/>
                <w:szCs w:val="24"/>
                <w:lang w:val="en-US" w:eastAsia="zh-CN" w:bidi="ar-SA"/>
              </w:rPr>
              <w:t>1</w:t>
            </w:r>
            <w:r>
              <w:rPr>
                <w:rFonts w:hint="eastAsia" w:ascii="Times New Roman" w:hAnsi="Times New Roman" w:eastAsia="仿宋" w:cs="Times New Roman"/>
                <w:bCs/>
                <w:color w:val="auto"/>
                <w:kern w:val="0"/>
                <w:sz w:val="24"/>
                <w:szCs w:val="24"/>
                <w:lang w:val="zh-CN" w:eastAsia="zh-CN" w:bidi="ar-SA"/>
              </w:rPr>
              <w:t>，高30m，内径</w:t>
            </w:r>
            <w:r>
              <w:rPr>
                <w:rFonts w:hint="eastAsia" w:ascii="Times New Roman" w:hAnsi="Times New Roman" w:eastAsia="仿宋" w:cs="Times New Roman"/>
                <w:bCs/>
                <w:color w:val="auto"/>
                <w:kern w:val="0"/>
                <w:sz w:val="24"/>
                <w:szCs w:val="24"/>
                <w:lang w:val="en-US" w:eastAsia="zh-CN" w:bidi="ar-SA"/>
              </w:rPr>
              <w:t>0.4</w:t>
            </w:r>
            <w:r>
              <w:rPr>
                <w:rFonts w:hint="eastAsia" w:ascii="Times New Roman" w:hAnsi="Times New Roman" w:eastAsia="仿宋" w:cs="Times New Roman"/>
                <w:bCs/>
                <w:color w:val="auto"/>
                <w:kern w:val="0"/>
                <w:sz w:val="24"/>
                <w:szCs w:val="24"/>
                <w:lang w:val="zh-CN" w:eastAsia="zh-CN" w:bidi="ar-SA"/>
              </w:rPr>
              <w:t>m）</w:t>
            </w:r>
            <w:r>
              <w:rPr>
                <w:rFonts w:hint="eastAsia" w:ascii="Times New Roman" w:hAnsi="Times New Roman" w:eastAsia="仿宋" w:cs="Times New Roman"/>
                <w:bCs/>
                <w:color w:val="auto"/>
                <w:kern w:val="0"/>
                <w:sz w:val="24"/>
                <w:szCs w:val="24"/>
                <w:lang w:val="en-US" w:eastAsia="zh-CN" w:bidi="ar-SA"/>
              </w:rPr>
              <w:t>外排</w:t>
            </w:r>
            <w:r>
              <w:rPr>
                <w:rFonts w:hint="eastAsia" w:ascii="Times New Roman" w:hAnsi="Times New Roman" w:eastAsia="仿宋" w:cs="Times New Roman"/>
                <w:bCs/>
                <w:color w:val="auto"/>
                <w:kern w:val="0"/>
                <w:sz w:val="24"/>
                <w:szCs w:val="24"/>
                <w:lang w:val="zh-CN" w:eastAsia="zh-CN" w:bidi="ar-SA"/>
              </w:rPr>
              <w:t>，</w:t>
            </w:r>
            <w:r>
              <w:rPr>
                <w:rFonts w:hint="eastAsia" w:ascii="Times New Roman" w:hAnsi="Times New Roman" w:eastAsia="仿宋" w:cs="Times New Roman"/>
                <w:bCs/>
                <w:color w:val="auto"/>
                <w:kern w:val="0"/>
                <w:sz w:val="24"/>
                <w:szCs w:val="24"/>
                <w:lang w:val="en-US" w:eastAsia="zh-CN" w:bidi="ar-SA"/>
              </w:rPr>
              <w:t>污染物排放能满足《锅炉大气污染物排放标准》（GB13271-2014）要求。</w:t>
            </w:r>
          </w:p>
          <w:p w14:paraId="24FEA262">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Times New Roman" w:hAnsi="Times New Roman" w:eastAsia="仿宋" w:cs="Times New Roman"/>
                <w:bCs/>
                <w:color w:val="auto"/>
                <w:kern w:val="0"/>
                <w:sz w:val="24"/>
                <w:szCs w:val="24"/>
                <w:lang w:val="en-US" w:eastAsia="zh-CN"/>
              </w:rPr>
            </w:pPr>
            <w:r>
              <w:rPr>
                <w:rFonts w:hint="eastAsia" w:ascii="Times New Roman" w:hAnsi="Times New Roman" w:eastAsia="仿宋" w:cs="Times New Roman"/>
                <w:bCs/>
                <w:color w:val="auto"/>
                <w:kern w:val="0"/>
                <w:sz w:val="24"/>
                <w:szCs w:val="24"/>
                <w:lang w:val="en-US" w:eastAsia="zh-CN"/>
              </w:rPr>
              <w:t>（2）废水污染防治措施</w:t>
            </w:r>
          </w:p>
          <w:p w14:paraId="7620243D">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r>
              <w:rPr>
                <w:rFonts w:hint="default" w:ascii="Times New Roman" w:hAnsi="Times New Roman" w:eastAsia="仿宋" w:cs="Times New Roman"/>
                <w:bCs/>
                <w:color w:val="auto"/>
                <w:kern w:val="0"/>
                <w:sz w:val="24"/>
                <w:szCs w:val="24"/>
                <w:lang w:val="en-US" w:eastAsia="zh-CN"/>
              </w:rPr>
              <w:t>①黄磷暂存槽水封废水依托现有项目综合废水处理站（100m</w:t>
            </w:r>
            <w:r>
              <w:rPr>
                <w:rFonts w:hint="default" w:ascii="Times New Roman" w:hAnsi="Times New Roman" w:eastAsia="仿宋" w:cs="Times New Roman"/>
                <w:bCs/>
                <w:color w:val="auto"/>
                <w:kern w:val="0"/>
                <w:sz w:val="24"/>
                <w:szCs w:val="24"/>
                <w:vertAlign w:val="superscript"/>
                <w:lang w:val="en-US" w:eastAsia="zh-CN"/>
              </w:rPr>
              <w:t>3</w:t>
            </w:r>
            <w:r>
              <w:rPr>
                <w:rFonts w:hint="default" w:ascii="Times New Roman" w:hAnsi="Times New Roman" w:eastAsia="仿宋" w:cs="Times New Roman"/>
                <w:bCs/>
                <w:color w:val="auto"/>
                <w:kern w:val="0"/>
                <w:sz w:val="24"/>
                <w:szCs w:val="24"/>
                <w:lang w:val="en-US" w:eastAsia="zh-CN"/>
              </w:rPr>
              <w:t>/d）处理满足《污水综合排放标准》（GB8978—1996）三级标准后排入园区污水管网，进入花山南片区污水处理厂处理。</w:t>
            </w:r>
          </w:p>
          <w:p w14:paraId="33215D3F">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r>
              <w:rPr>
                <w:rFonts w:hint="default" w:ascii="Times New Roman" w:hAnsi="Times New Roman" w:eastAsia="仿宋" w:cs="Times New Roman"/>
                <w:bCs/>
                <w:color w:val="auto"/>
                <w:kern w:val="0"/>
                <w:sz w:val="24"/>
                <w:szCs w:val="24"/>
                <w:lang w:val="en-US" w:eastAsia="zh-CN"/>
              </w:rPr>
              <w:t>②生活污水依托现有项目隔油池（4m</w:t>
            </w:r>
            <w:r>
              <w:rPr>
                <w:rFonts w:hint="default" w:ascii="Times New Roman" w:hAnsi="Times New Roman" w:eastAsia="仿宋" w:cs="Times New Roman"/>
                <w:bCs/>
                <w:color w:val="auto"/>
                <w:kern w:val="0"/>
                <w:sz w:val="24"/>
                <w:szCs w:val="24"/>
                <w:vertAlign w:val="superscript"/>
                <w:lang w:val="en-US" w:eastAsia="zh-CN"/>
              </w:rPr>
              <w:t>3</w:t>
            </w:r>
            <w:r>
              <w:rPr>
                <w:rFonts w:hint="default" w:ascii="Times New Roman" w:hAnsi="Times New Roman" w:eastAsia="仿宋" w:cs="Times New Roman"/>
                <w:bCs/>
                <w:color w:val="auto"/>
                <w:kern w:val="0"/>
                <w:sz w:val="24"/>
                <w:szCs w:val="24"/>
                <w:lang w:val="en-US" w:eastAsia="zh-CN"/>
              </w:rPr>
              <w:t>）、化粪池（10m</w:t>
            </w:r>
            <w:r>
              <w:rPr>
                <w:rFonts w:hint="default" w:ascii="Times New Roman" w:hAnsi="Times New Roman" w:eastAsia="仿宋" w:cs="Times New Roman"/>
                <w:bCs/>
                <w:color w:val="auto"/>
                <w:kern w:val="0"/>
                <w:sz w:val="24"/>
                <w:szCs w:val="24"/>
                <w:vertAlign w:val="superscript"/>
                <w:lang w:val="en-US" w:eastAsia="zh-CN"/>
              </w:rPr>
              <w:t>3</w:t>
            </w:r>
            <w:r>
              <w:rPr>
                <w:rFonts w:hint="default" w:ascii="Times New Roman" w:hAnsi="Times New Roman" w:eastAsia="仿宋" w:cs="Times New Roman"/>
                <w:bCs/>
                <w:color w:val="auto"/>
                <w:kern w:val="0"/>
                <w:sz w:val="24"/>
                <w:szCs w:val="24"/>
                <w:lang w:val="en-US" w:eastAsia="zh-CN"/>
              </w:rPr>
              <w:t>）预处理，处理满足《污水综合排放标准》（GB8978—1996）三级标准后排入园区污水管网，进入花山南片区污水处理厂处理。</w:t>
            </w:r>
          </w:p>
          <w:p w14:paraId="3B39D233">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r>
              <w:rPr>
                <w:rFonts w:hint="default" w:ascii="Times New Roman" w:hAnsi="Times New Roman" w:eastAsia="仿宋" w:cs="Times New Roman"/>
                <w:bCs/>
                <w:color w:val="auto"/>
                <w:kern w:val="0"/>
                <w:sz w:val="24"/>
                <w:szCs w:val="24"/>
                <w:lang w:val="en-US" w:eastAsia="zh-CN"/>
              </w:rPr>
              <w:t>③项目区初期雨水依托现有项目厂区中部设置初期雨水收集池（448m</w:t>
            </w:r>
            <w:r>
              <w:rPr>
                <w:rFonts w:hint="default" w:ascii="Times New Roman" w:hAnsi="Times New Roman" w:eastAsia="仿宋" w:cs="Times New Roman"/>
                <w:bCs/>
                <w:color w:val="auto"/>
                <w:kern w:val="0"/>
                <w:sz w:val="24"/>
                <w:szCs w:val="24"/>
                <w:vertAlign w:val="superscript"/>
                <w:lang w:val="en-US" w:eastAsia="zh-CN"/>
              </w:rPr>
              <w:t>3</w:t>
            </w:r>
            <w:r>
              <w:rPr>
                <w:rFonts w:hint="default" w:ascii="Times New Roman" w:hAnsi="Times New Roman" w:eastAsia="仿宋" w:cs="Times New Roman"/>
                <w:bCs/>
                <w:color w:val="auto"/>
                <w:kern w:val="0"/>
                <w:sz w:val="24"/>
                <w:szCs w:val="24"/>
                <w:lang w:val="en-US" w:eastAsia="zh-CN"/>
              </w:rPr>
              <w:t>）收集，收集后进入现有项目自建综合废水处理站（100m</w:t>
            </w:r>
            <w:r>
              <w:rPr>
                <w:rFonts w:hint="default" w:ascii="Times New Roman" w:hAnsi="Times New Roman" w:eastAsia="仿宋" w:cs="Times New Roman"/>
                <w:bCs/>
                <w:color w:val="auto"/>
                <w:kern w:val="0"/>
                <w:sz w:val="24"/>
                <w:szCs w:val="24"/>
                <w:vertAlign w:val="superscript"/>
                <w:lang w:val="en-US" w:eastAsia="zh-CN"/>
              </w:rPr>
              <w:t>3</w:t>
            </w:r>
            <w:r>
              <w:rPr>
                <w:rFonts w:hint="default" w:ascii="Times New Roman" w:hAnsi="Times New Roman" w:eastAsia="仿宋" w:cs="Times New Roman"/>
                <w:bCs/>
                <w:color w:val="auto"/>
                <w:kern w:val="0"/>
                <w:sz w:val="24"/>
                <w:szCs w:val="24"/>
                <w:lang w:val="en-US" w:eastAsia="zh-CN"/>
              </w:rPr>
              <w:t>/d）处理满足《污水综合排放标准》（GB8978—1996）三级标准后排入园区污水管网，进入花山南片区污水处理厂处理。</w:t>
            </w:r>
          </w:p>
          <w:p w14:paraId="777979B0">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r>
              <w:rPr>
                <w:rFonts w:hint="default" w:ascii="Times New Roman" w:hAnsi="Times New Roman" w:eastAsia="仿宋" w:cs="Times New Roman"/>
                <w:bCs/>
                <w:color w:val="auto"/>
                <w:kern w:val="0"/>
                <w:sz w:val="24"/>
                <w:szCs w:val="24"/>
                <w:lang w:val="en-US" w:eastAsia="zh-CN"/>
              </w:rPr>
              <w:t>④软水制备废水、纯水制备废水、冷却水循环系统强排水经絮凝沉淀（沉淀池容积50m3）处理满足《污水综合排放标准》（GB8978-1996）三级标准后排入园区污水管网，进入花山南片区污水处理厂处理。</w:t>
            </w:r>
          </w:p>
          <w:p w14:paraId="08CD7B91">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r>
              <w:rPr>
                <w:rFonts w:hint="eastAsia" w:ascii="Times New Roman" w:hAnsi="Times New Roman" w:eastAsia="仿宋" w:cs="Times New Roman"/>
                <w:bCs/>
                <w:color w:val="auto"/>
                <w:kern w:val="0"/>
                <w:sz w:val="24"/>
                <w:szCs w:val="24"/>
                <w:lang w:val="en-US" w:eastAsia="zh-CN"/>
              </w:rPr>
              <w:t>（3）噪声污染防治措施</w:t>
            </w:r>
          </w:p>
          <w:p w14:paraId="7DE04331">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r>
              <w:rPr>
                <w:rFonts w:hint="default" w:ascii="Times New Roman" w:hAnsi="Times New Roman" w:eastAsia="仿宋" w:cs="Times New Roman"/>
                <w:bCs/>
                <w:color w:val="auto"/>
                <w:kern w:val="0"/>
                <w:sz w:val="24"/>
                <w:szCs w:val="24"/>
                <w:lang w:val="en-US" w:eastAsia="zh-CN"/>
              </w:rPr>
              <w:t>①采用低噪声设备；</w:t>
            </w:r>
          </w:p>
          <w:p w14:paraId="3E837C5B">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r>
              <w:rPr>
                <w:rFonts w:hint="default" w:ascii="Times New Roman" w:hAnsi="Times New Roman" w:eastAsia="仿宋" w:cs="Times New Roman"/>
                <w:bCs/>
                <w:color w:val="auto"/>
                <w:kern w:val="0"/>
                <w:sz w:val="24"/>
                <w:szCs w:val="24"/>
                <w:lang w:val="en-US" w:eastAsia="zh-CN"/>
              </w:rPr>
              <w:t>②对所有动力机械噪声均必要的减振装置；</w:t>
            </w:r>
          </w:p>
          <w:p w14:paraId="658B8CE1">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r>
              <w:rPr>
                <w:rFonts w:hint="default" w:ascii="Times New Roman" w:hAnsi="Times New Roman" w:eastAsia="仿宋" w:cs="Times New Roman"/>
                <w:bCs/>
                <w:color w:val="auto"/>
                <w:kern w:val="0"/>
                <w:sz w:val="24"/>
                <w:szCs w:val="24"/>
                <w:lang w:val="en-US" w:eastAsia="zh-CN"/>
              </w:rPr>
              <w:t>③空压机、风机等高噪声设备安装减振垫、消声器。</w:t>
            </w:r>
          </w:p>
          <w:p w14:paraId="2A00D39B">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r>
              <w:rPr>
                <w:rFonts w:hint="eastAsia" w:ascii="Times New Roman" w:hAnsi="Times New Roman" w:eastAsia="仿宋" w:cs="Times New Roman"/>
                <w:bCs/>
                <w:color w:val="auto"/>
                <w:kern w:val="0"/>
                <w:sz w:val="24"/>
                <w:szCs w:val="24"/>
                <w:lang w:val="en-US" w:eastAsia="zh-CN"/>
              </w:rPr>
              <w:t>（4）固废污染防治措施</w:t>
            </w:r>
          </w:p>
          <w:p w14:paraId="7F82C480">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r>
              <w:rPr>
                <w:rFonts w:hint="default" w:ascii="Times New Roman" w:hAnsi="Times New Roman" w:eastAsia="仿宋" w:cs="Times New Roman"/>
                <w:bCs/>
                <w:color w:val="auto"/>
                <w:kern w:val="0"/>
                <w:sz w:val="24"/>
                <w:szCs w:val="24"/>
                <w:lang w:val="en-US" w:eastAsia="zh-CN"/>
              </w:rPr>
              <w:t>①现有项目3#仓库内一般固废贮存间旁隔建1间20m</w:t>
            </w:r>
            <w:r>
              <w:rPr>
                <w:rFonts w:hint="default" w:ascii="Times New Roman" w:hAnsi="Times New Roman" w:eastAsia="仿宋" w:cs="Times New Roman"/>
                <w:bCs/>
                <w:color w:val="auto"/>
                <w:kern w:val="0"/>
                <w:sz w:val="24"/>
                <w:szCs w:val="24"/>
                <w:vertAlign w:val="superscript"/>
                <w:lang w:val="en-US" w:eastAsia="zh-CN"/>
              </w:rPr>
              <w:t>2</w:t>
            </w:r>
            <w:r>
              <w:rPr>
                <w:rFonts w:hint="default" w:ascii="Times New Roman" w:hAnsi="Times New Roman" w:eastAsia="仿宋" w:cs="Times New Roman"/>
                <w:bCs/>
                <w:color w:val="auto"/>
                <w:kern w:val="0"/>
                <w:sz w:val="24"/>
                <w:szCs w:val="24"/>
                <w:lang w:val="en-US" w:eastAsia="zh-CN"/>
              </w:rPr>
              <w:t>的一般固废贮存间，暂存收集的炉渣、收尘、废布袋、废包装材料、纯水/软水制备系统废物、絮凝沉淀渣等，暂存时间不得超过1个月。</w:t>
            </w:r>
          </w:p>
          <w:p w14:paraId="6D455C4D">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r>
              <w:rPr>
                <w:rFonts w:hint="default" w:ascii="Times New Roman" w:hAnsi="Times New Roman" w:eastAsia="仿宋" w:cs="Times New Roman"/>
                <w:bCs/>
                <w:color w:val="auto"/>
                <w:kern w:val="0"/>
                <w:sz w:val="24"/>
                <w:szCs w:val="24"/>
                <w:lang w:val="en-US" w:eastAsia="zh-CN"/>
              </w:rPr>
              <w:t>②在现有项目3#仓库内危废贮存间旁隔建1间10m</w:t>
            </w:r>
            <w:r>
              <w:rPr>
                <w:rFonts w:hint="default" w:ascii="Times New Roman" w:hAnsi="Times New Roman" w:eastAsia="仿宋" w:cs="Times New Roman"/>
                <w:bCs/>
                <w:color w:val="auto"/>
                <w:kern w:val="0"/>
                <w:sz w:val="24"/>
                <w:szCs w:val="24"/>
                <w:vertAlign w:val="superscript"/>
                <w:lang w:val="en-US" w:eastAsia="zh-CN"/>
              </w:rPr>
              <w:t>2</w:t>
            </w:r>
            <w:r>
              <w:rPr>
                <w:rFonts w:hint="default" w:ascii="Times New Roman" w:hAnsi="Times New Roman" w:eastAsia="仿宋" w:cs="Times New Roman"/>
                <w:bCs/>
                <w:color w:val="auto"/>
                <w:kern w:val="0"/>
                <w:sz w:val="24"/>
                <w:szCs w:val="24"/>
                <w:lang w:val="en-US" w:eastAsia="zh-CN"/>
              </w:rPr>
              <w:t>的危废贮存间，暂存收集的磷酸滤渣、废矿物油及其沾染物等，暂存时间不得超过1年。</w:t>
            </w:r>
          </w:p>
          <w:p w14:paraId="408AC7DB">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r>
              <w:rPr>
                <w:rFonts w:hint="default" w:ascii="Times New Roman" w:hAnsi="Times New Roman" w:eastAsia="仿宋" w:cs="Times New Roman"/>
                <w:bCs/>
                <w:color w:val="auto"/>
                <w:kern w:val="0"/>
                <w:sz w:val="24"/>
                <w:szCs w:val="24"/>
                <w:lang w:val="en-US" w:eastAsia="zh-CN"/>
              </w:rPr>
              <w:t>③生活垃圾用垃圾桶收集后委托环卫部门定期清运处置。</w:t>
            </w:r>
          </w:p>
          <w:p w14:paraId="56EF5179">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r>
              <w:rPr>
                <w:rFonts w:hint="default" w:ascii="Times New Roman" w:hAnsi="Times New Roman" w:eastAsia="仿宋" w:cs="Times New Roman"/>
                <w:bCs/>
                <w:color w:val="auto"/>
                <w:kern w:val="0"/>
                <w:sz w:val="24"/>
                <w:szCs w:val="24"/>
                <w:lang w:val="en-US" w:eastAsia="zh-CN"/>
              </w:rPr>
              <w:t>④一般固废的产生和处置应建立档案制度，将临时储存的一般工业固体废物的种类、数量和外运的一般固体废物的种类、数量详细记录在案，长期保存，供随时查阅。</w:t>
            </w:r>
          </w:p>
          <w:p w14:paraId="1D997CB4">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r>
              <w:rPr>
                <w:rFonts w:hint="default" w:ascii="Times New Roman" w:hAnsi="Times New Roman" w:eastAsia="仿宋" w:cs="Times New Roman"/>
                <w:bCs/>
                <w:color w:val="auto"/>
                <w:kern w:val="0"/>
                <w:sz w:val="24"/>
                <w:szCs w:val="24"/>
                <w:lang w:val="en-US" w:eastAsia="zh-CN"/>
              </w:rPr>
              <w:t>⑤建立完善的危险废物管理台账，委托具有相应危险废物经营资质的单位利用处置，签订委托处理协议，危险废物转移严格执行《危险废物转移联单制度》。</w:t>
            </w:r>
          </w:p>
          <w:p w14:paraId="3D6D4823">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r>
              <w:rPr>
                <w:rFonts w:hint="eastAsia" w:ascii="Times New Roman" w:hAnsi="Times New Roman" w:eastAsia="仿宋" w:cs="Times New Roman"/>
                <w:bCs/>
                <w:color w:val="auto"/>
                <w:kern w:val="0"/>
                <w:sz w:val="24"/>
                <w:szCs w:val="24"/>
                <w:lang w:val="en-US" w:eastAsia="zh-CN"/>
              </w:rPr>
              <w:t>（5）地下水、土壤污染防治措施</w:t>
            </w:r>
          </w:p>
          <w:p w14:paraId="2604AF72">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Times New Roman" w:hAnsi="Times New Roman" w:eastAsia="仿宋" w:cs="Times New Roman"/>
                <w:bCs/>
                <w:color w:val="auto"/>
                <w:kern w:val="0"/>
                <w:sz w:val="24"/>
                <w:szCs w:val="24"/>
                <w:lang w:val="en-US" w:eastAsia="zh-CN"/>
              </w:rPr>
            </w:pPr>
            <w:r>
              <w:rPr>
                <w:rFonts w:hint="default" w:ascii="Times New Roman" w:hAnsi="Times New Roman" w:eastAsia="仿宋" w:cs="Times New Roman"/>
                <w:bCs/>
                <w:color w:val="auto"/>
                <w:kern w:val="0"/>
                <w:sz w:val="24"/>
                <w:szCs w:val="24"/>
                <w:lang w:val="en-US" w:eastAsia="zh-CN"/>
              </w:rPr>
              <w:t>①</w:t>
            </w:r>
            <w:r>
              <w:rPr>
                <w:rFonts w:hint="eastAsia" w:ascii="Times New Roman" w:hAnsi="Times New Roman" w:eastAsia="仿宋" w:cs="Times New Roman"/>
                <w:bCs/>
                <w:color w:val="auto"/>
                <w:kern w:val="0"/>
                <w:sz w:val="24"/>
                <w:szCs w:val="24"/>
                <w:lang w:val="en-US" w:eastAsia="zh-CN"/>
              </w:rPr>
              <w:t>源头防控。</w:t>
            </w:r>
          </w:p>
          <w:p w14:paraId="52EBF819">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Times New Roman" w:hAnsi="Times New Roman" w:eastAsia="仿宋" w:cs="Times New Roman"/>
                <w:bCs/>
                <w:color w:val="auto"/>
                <w:kern w:val="0"/>
                <w:sz w:val="24"/>
                <w:szCs w:val="24"/>
                <w:lang w:val="en-US" w:eastAsia="zh-CN"/>
              </w:rPr>
            </w:pPr>
            <w:r>
              <w:rPr>
                <w:rFonts w:hint="eastAsia" w:ascii="Times New Roman" w:hAnsi="Times New Roman" w:eastAsia="仿宋" w:cs="Times New Roman"/>
                <w:bCs/>
                <w:color w:val="auto"/>
                <w:kern w:val="0"/>
                <w:sz w:val="24"/>
                <w:szCs w:val="24"/>
                <w:lang w:val="en-US" w:eastAsia="zh-CN"/>
              </w:rPr>
              <w:t>②分区防渗：黄磷暂存槽、水封槽、磷酸中间槽、磷酸成品罐区、危废贮存间等进行重点防渗，防渗要求为等效黏土防渗层Mb≧6.0m，K≦1×10</w:t>
            </w:r>
            <w:r>
              <w:rPr>
                <w:rFonts w:hint="eastAsia" w:ascii="Times New Roman" w:hAnsi="Times New Roman" w:eastAsia="仿宋" w:cs="Times New Roman"/>
                <w:bCs/>
                <w:color w:val="auto"/>
                <w:kern w:val="0"/>
                <w:sz w:val="24"/>
                <w:szCs w:val="24"/>
                <w:vertAlign w:val="superscript"/>
                <w:lang w:val="en-US" w:eastAsia="zh-CN"/>
              </w:rPr>
              <w:t>-7</w:t>
            </w:r>
            <w:r>
              <w:rPr>
                <w:rFonts w:hint="eastAsia" w:ascii="Times New Roman" w:hAnsi="Times New Roman" w:eastAsia="仿宋" w:cs="Times New Roman"/>
                <w:bCs/>
                <w:color w:val="auto"/>
                <w:kern w:val="0"/>
                <w:sz w:val="24"/>
                <w:szCs w:val="24"/>
                <w:lang w:val="en-US" w:eastAsia="zh-CN"/>
              </w:rPr>
              <w:t>cm/s，其中危废贮存间须按照《危险废物贮存污染控制标准》（GB18597-2023）要求进行防渗，防渗层为至少1m黏土层（渗透系数≤10-7cm/s）或2mm厚的高密度聚乙烯膜等其他人工材料（渗透系数≤10</w:t>
            </w:r>
            <w:r>
              <w:rPr>
                <w:rFonts w:hint="eastAsia" w:ascii="Times New Roman" w:hAnsi="Times New Roman" w:eastAsia="仿宋" w:cs="Times New Roman"/>
                <w:bCs/>
                <w:color w:val="auto"/>
                <w:kern w:val="0"/>
                <w:sz w:val="24"/>
                <w:szCs w:val="24"/>
                <w:vertAlign w:val="superscript"/>
                <w:lang w:val="en-US" w:eastAsia="zh-CN"/>
              </w:rPr>
              <w:t>-10</w:t>
            </w:r>
            <w:r>
              <w:rPr>
                <w:rFonts w:hint="eastAsia" w:ascii="Times New Roman" w:hAnsi="Times New Roman" w:eastAsia="仿宋" w:cs="Times New Roman"/>
                <w:bCs/>
                <w:color w:val="auto"/>
                <w:kern w:val="0"/>
                <w:sz w:val="24"/>
                <w:szCs w:val="24"/>
                <w:lang w:val="en-US" w:eastAsia="zh-CN"/>
              </w:rPr>
              <w:t>cm/s）。具体防渗措施为土基夯实，夯实系数不小于0.95，150mm厚碎石入土夯实，夯实系数不小于0.95，60mm厚C20混凝土垫层抹平，1.5mm厚HDPE防渗膜（搭接不小于100mm），150mm厚C30抗渗混凝土，抗渗等级P8。</w:t>
            </w:r>
          </w:p>
          <w:p w14:paraId="588430D3">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Times New Roman" w:hAnsi="Times New Roman" w:eastAsia="仿宋" w:cs="Times New Roman"/>
                <w:bCs/>
                <w:color w:val="auto"/>
                <w:kern w:val="0"/>
                <w:sz w:val="24"/>
                <w:szCs w:val="24"/>
                <w:lang w:val="en-US" w:eastAsia="zh-CN"/>
              </w:rPr>
            </w:pPr>
            <w:r>
              <w:rPr>
                <w:rFonts w:hint="eastAsia" w:ascii="Times New Roman" w:hAnsi="Times New Roman" w:eastAsia="仿宋" w:cs="Times New Roman"/>
                <w:bCs/>
                <w:color w:val="auto"/>
                <w:kern w:val="0"/>
                <w:sz w:val="24"/>
                <w:szCs w:val="24"/>
                <w:lang w:val="en-US" w:eastAsia="zh-CN"/>
              </w:rPr>
              <w:t>热法磷酸车间、絮凝沉淀池等进行一般防渗，防渗要求为等效黏土防渗层Mb≧1.5m，K≦1×10</w:t>
            </w:r>
            <w:r>
              <w:rPr>
                <w:rFonts w:hint="eastAsia" w:ascii="Times New Roman" w:hAnsi="Times New Roman" w:eastAsia="仿宋" w:cs="Times New Roman"/>
                <w:bCs/>
                <w:color w:val="auto"/>
                <w:kern w:val="0"/>
                <w:sz w:val="24"/>
                <w:szCs w:val="24"/>
                <w:vertAlign w:val="superscript"/>
                <w:lang w:val="en-US" w:eastAsia="zh-CN"/>
              </w:rPr>
              <w:t>-7</w:t>
            </w:r>
            <w:r>
              <w:rPr>
                <w:rFonts w:hint="eastAsia" w:ascii="Times New Roman" w:hAnsi="Times New Roman" w:eastAsia="仿宋" w:cs="Times New Roman"/>
                <w:bCs/>
                <w:color w:val="auto"/>
                <w:kern w:val="0"/>
                <w:sz w:val="24"/>
                <w:szCs w:val="24"/>
                <w:lang w:val="en-US" w:eastAsia="zh-CN"/>
              </w:rPr>
              <w:t>cm/s。具体防渗措施为土基夯实，夯实系数不小于0.95，150mm厚碎石入土夯实，夯实系数不小于0.95，150mm厚C30抗渗混凝土，抗渗等级P8。</w:t>
            </w:r>
          </w:p>
          <w:p w14:paraId="594B9939">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Times New Roman" w:hAnsi="Times New Roman" w:eastAsia="仿宋" w:cs="Times New Roman"/>
                <w:bCs/>
                <w:color w:val="auto"/>
                <w:kern w:val="0"/>
                <w:sz w:val="24"/>
                <w:szCs w:val="24"/>
                <w:lang w:val="en-US" w:eastAsia="zh-CN"/>
              </w:rPr>
            </w:pPr>
            <w:r>
              <w:rPr>
                <w:rFonts w:hint="eastAsia" w:ascii="Times New Roman" w:hAnsi="Times New Roman" w:eastAsia="仿宋" w:cs="Times New Roman"/>
                <w:bCs/>
                <w:color w:val="auto"/>
                <w:kern w:val="0"/>
                <w:sz w:val="24"/>
                <w:szCs w:val="24"/>
                <w:lang w:val="en-US" w:eastAsia="zh-CN"/>
              </w:rPr>
              <w:t>仓库（丙类）仓库（丁类）、空压纯水机房、配电室、厂区道路等为简单防渗区，防渗要求为一般地面硬化。</w:t>
            </w:r>
          </w:p>
          <w:p w14:paraId="2F629CFA">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r>
              <w:rPr>
                <w:rFonts w:hint="eastAsia" w:ascii="Times New Roman" w:hAnsi="Times New Roman" w:eastAsia="仿宋" w:cs="Times New Roman"/>
                <w:bCs/>
                <w:color w:val="auto"/>
                <w:kern w:val="0"/>
                <w:sz w:val="24"/>
                <w:szCs w:val="24"/>
                <w:lang w:val="en-US" w:eastAsia="zh-CN"/>
              </w:rPr>
              <w:t>③跟踪监测：地下水依托公司厂区现有的3个跟踪监测井开展跟踪监测；土壤设置2个土壤跟踪监测点（厂区下风向东北角仓库旁、黄磷暂存槽旁），每年开展一次跟踪监测。</w:t>
            </w:r>
          </w:p>
          <w:p w14:paraId="598F8F60">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Times New Roman" w:hAnsi="Times New Roman" w:eastAsia="仿宋" w:cs="Times New Roman"/>
                <w:bCs/>
                <w:color w:val="auto"/>
                <w:kern w:val="0"/>
                <w:sz w:val="24"/>
                <w:szCs w:val="24"/>
                <w:lang w:val="en-US" w:eastAsia="zh-CN"/>
              </w:rPr>
            </w:pPr>
            <w:r>
              <w:rPr>
                <w:rFonts w:hint="eastAsia" w:ascii="Times New Roman" w:hAnsi="Times New Roman" w:eastAsia="仿宋" w:cs="Times New Roman"/>
                <w:bCs/>
                <w:color w:val="auto"/>
                <w:kern w:val="0"/>
                <w:sz w:val="24"/>
                <w:szCs w:val="24"/>
                <w:lang w:val="en-US" w:eastAsia="zh-CN"/>
              </w:rPr>
              <w:t>④采取应急处理措施。</w:t>
            </w:r>
          </w:p>
          <w:p w14:paraId="739E988D">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Times New Roman" w:hAnsi="Times New Roman" w:eastAsia="仿宋" w:cs="Times New Roman"/>
                <w:bCs/>
                <w:color w:val="auto"/>
                <w:kern w:val="0"/>
                <w:sz w:val="24"/>
                <w:szCs w:val="24"/>
                <w:lang w:val="en-US" w:eastAsia="zh-CN"/>
              </w:rPr>
            </w:pPr>
            <w:r>
              <w:rPr>
                <w:rFonts w:hint="eastAsia" w:ascii="Times New Roman" w:hAnsi="Times New Roman" w:eastAsia="仿宋" w:cs="Times New Roman"/>
                <w:bCs/>
                <w:color w:val="auto"/>
                <w:kern w:val="0"/>
                <w:sz w:val="24"/>
                <w:szCs w:val="24"/>
                <w:lang w:val="en-US" w:eastAsia="zh-CN"/>
              </w:rPr>
              <w:t>（6）环境风险防控措施</w:t>
            </w:r>
          </w:p>
          <w:p w14:paraId="27486084">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Times New Roman" w:hAnsi="Times New Roman" w:eastAsia="仿宋" w:cs="Times New Roman"/>
                <w:bCs/>
                <w:color w:val="auto"/>
                <w:kern w:val="0"/>
                <w:sz w:val="24"/>
                <w:szCs w:val="24"/>
                <w:lang w:val="en-US" w:eastAsia="zh-CN"/>
              </w:rPr>
            </w:pPr>
            <w:r>
              <w:rPr>
                <w:rFonts w:hint="eastAsia" w:ascii="Times New Roman" w:hAnsi="Times New Roman" w:eastAsia="仿宋" w:cs="Times New Roman"/>
                <w:bCs/>
                <w:color w:val="auto"/>
                <w:kern w:val="0"/>
                <w:sz w:val="24"/>
                <w:szCs w:val="24"/>
                <w:lang w:val="en-US" w:eastAsia="zh-CN"/>
              </w:rPr>
              <w:t>①进行总体防控，并对生产、贮存、运输等环节采取防控措施。</w:t>
            </w:r>
          </w:p>
          <w:p w14:paraId="66912ED5">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Times New Roman" w:hAnsi="Times New Roman" w:eastAsia="仿宋" w:cs="Times New Roman"/>
                <w:bCs/>
                <w:color w:val="auto"/>
                <w:kern w:val="0"/>
                <w:sz w:val="24"/>
                <w:szCs w:val="24"/>
                <w:lang w:val="en-US" w:eastAsia="zh-CN"/>
              </w:rPr>
            </w:pPr>
            <w:r>
              <w:rPr>
                <w:rFonts w:hint="eastAsia" w:ascii="Times New Roman" w:hAnsi="Times New Roman" w:eastAsia="仿宋" w:cs="Times New Roman"/>
                <w:bCs/>
                <w:color w:val="auto"/>
                <w:kern w:val="0"/>
                <w:sz w:val="24"/>
                <w:szCs w:val="24"/>
                <w:lang w:val="en-US" w:eastAsia="zh-CN"/>
              </w:rPr>
              <w:t>②对“三废”处置过程进行风险防范。</w:t>
            </w:r>
          </w:p>
          <w:p w14:paraId="10674585">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Times New Roman" w:hAnsi="Times New Roman" w:eastAsia="仿宋" w:cs="Times New Roman"/>
                <w:bCs/>
                <w:color w:val="auto"/>
                <w:kern w:val="0"/>
                <w:sz w:val="24"/>
                <w:szCs w:val="24"/>
                <w:lang w:val="en-US" w:eastAsia="zh-CN"/>
              </w:rPr>
            </w:pPr>
            <w:r>
              <w:rPr>
                <w:rFonts w:hint="eastAsia" w:ascii="Times New Roman" w:hAnsi="Times New Roman" w:eastAsia="仿宋" w:cs="Times New Roman"/>
                <w:bCs/>
                <w:color w:val="auto"/>
                <w:kern w:val="0"/>
                <w:sz w:val="24"/>
                <w:szCs w:val="24"/>
                <w:lang w:val="en-US" w:eastAsia="zh-CN"/>
              </w:rPr>
              <w:t>③对黄磷暂存槽泄漏、燃磷反应塔/吸收塔破损、磷酸中转储罐/磷酸成品储罐泄漏等事故情形设置应急处置措施。</w:t>
            </w:r>
          </w:p>
          <w:p w14:paraId="5BB84D90">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Times New Roman" w:hAnsi="Times New Roman" w:eastAsia="仿宋" w:cs="Times New Roman"/>
                <w:bCs/>
                <w:color w:val="auto"/>
                <w:kern w:val="0"/>
                <w:sz w:val="24"/>
                <w:szCs w:val="24"/>
                <w:lang w:val="en-US" w:eastAsia="zh-CN"/>
              </w:rPr>
            </w:pPr>
            <w:r>
              <w:rPr>
                <w:rFonts w:hint="eastAsia" w:ascii="Times New Roman" w:hAnsi="Times New Roman" w:eastAsia="仿宋" w:cs="Times New Roman"/>
                <w:bCs/>
                <w:color w:val="auto"/>
                <w:kern w:val="0"/>
                <w:sz w:val="24"/>
                <w:szCs w:val="24"/>
                <w:lang w:val="en-US" w:eastAsia="zh-CN"/>
              </w:rPr>
              <w:t>④防止风险物质外排采取三级防控措施。</w:t>
            </w:r>
          </w:p>
          <w:p w14:paraId="678506BB">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ascii="Times New Roman" w:hAnsi="Times New Roman" w:eastAsia="仿宋" w:cs="Times New Roman"/>
                <w:bCs/>
                <w:color w:val="auto"/>
                <w:kern w:val="0"/>
                <w:sz w:val="21"/>
                <w:szCs w:val="21"/>
                <w:lang w:val="en-US" w:eastAsia="zh-CN"/>
              </w:rPr>
            </w:pPr>
            <w:r>
              <w:rPr>
                <w:rFonts w:hint="eastAsia" w:ascii="Times New Roman" w:hAnsi="Times New Roman" w:eastAsia="仿宋" w:cs="Times New Roman"/>
                <w:bCs/>
                <w:color w:val="auto"/>
                <w:kern w:val="0"/>
                <w:sz w:val="24"/>
                <w:szCs w:val="24"/>
                <w:lang w:val="en-US" w:eastAsia="zh-CN"/>
              </w:rPr>
              <w:t>⑤对全厂突发生态环境事故应急预案进行修编。</w:t>
            </w:r>
          </w:p>
        </w:tc>
      </w:tr>
      <w:tr w14:paraId="20B8909A">
        <w:tblPrEx>
          <w:tblCellMar>
            <w:top w:w="0" w:type="dxa"/>
            <w:left w:w="108" w:type="dxa"/>
            <w:bottom w:w="0" w:type="dxa"/>
            <w:right w:w="108" w:type="dxa"/>
          </w:tblCellMar>
        </w:tblPrEx>
        <w:trPr>
          <w:trHeight w:val="556" w:hRule="atLeast"/>
        </w:trPr>
        <w:tc>
          <w:tcPr>
            <w:tcW w:w="9814" w:type="dxa"/>
            <w:gridSpan w:val="6"/>
            <w:tcBorders>
              <w:top w:val="single" w:color="auto" w:sz="4" w:space="0"/>
              <w:left w:val="single" w:color="auto" w:sz="4" w:space="0"/>
              <w:bottom w:val="single" w:color="auto" w:sz="4" w:space="0"/>
              <w:right w:val="single" w:color="auto" w:sz="4" w:space="0"/>
            </w:tcBorders>
            <w:shd w:val="clear" w:color="auto" w:fill="C0C0C0"/>
            <w:vAlign w:val="center"/>
          </w:tcPr>
          <w:p w14:paraId="0181A82B">
            <w:pPr>
              <w:widowControl/>
              <w:spacing w:line="280" w:lineRule="exact"/>
              <w:jc w:val="center"/>
              <w:rPr>
                <w:rFonts w:ascii="宋体"/>
                <w:kern w:val="0"/>
                <w:sz w:val="24"/>
                <w:szCs w:val="24"/>
              </w:rPr>
            </w:pPr>
            <w:r>
              <w:rPr>
                <w:rFonts w:hint="eastAsia" w:ascii="仿宋" w:hAnsi="仿宋" w:eastAsia="仿宋" w:cs="仿宋"/>
                <w:b/>
                <w:bCs/>
                <w:kern w:val="0"/>
                <w:sz w:val="24"/>
                <w:szCs w:val="24"/>
              </w:rPr>
              <w:t>公众参与情况</w:t>
            </w:r>
          </w:p>
        </w:tc>
      </w:tr>
      <w:tr w14:paraId="68135AEE">
        <w:tblPrEx>
          <w:tblCellMar>
            <w:top w:w="0" w:type="dxa"/>
            <w:left w:w="108" w:type="dxa"/>
            <w:bottom w:w="0" w:type="dxa"/>
            <w:right w:w="108" w:type="dxa"/>
          </w:tblCellMar>
        </w:tblPrEx>
        <w:trPr>
          <w:trHeight w:val="2855" w:hRule="atLeast"/>
        </w:trPr>
        <w:tc>
          <w:tcPr>
            <w:tcW w:w="9814" w:type="dxa"/>
            <w:gridSpan w:val="6"/>
            <w:tcBorders>
              <w:top w:val="single" w:color="auto" w:sz="4" w:space="0"/>
              <w:left w:val="single" w:color="auto" w:sz="4" w:space="0"/>
              <w:bottom w:val="single" w:color="auto" w:sz="4" w:space="0"/>
              <w:right w:val="single" w:color="auto" w:sz="4" w:space="0"/>
            </w:tcBorders>
            <w:vAlign w:val="center"/>
          </w:tcPr>
          <w:p w14:paraId="6F2AD1EB">
            <w:pPr>
              <w:keepNext w:val="0"/>
              <w:keepLines w:val="0"/>
              <w:pageBreakBefore w:val="0"/>
              <w:widowControl/>
              <w:kinsoku/>
              <w:wordWrap w:val="0"/>
              <w:overflowPunct/>
              <w:topLinePunct w:val="0"/>
              <w:autoSpaceDE/>
              <w:autoSpaceDN/>
              <w:bidi w:val="0"/>
              <w:adjustRightInd/>
              <w:snapToGrid/>
              <w:spacing w:line="360" w:lineRule="exact"/>
              <w:ind w:firstLine="480" w:firstLineChars="200"/>
              <w:jc w:val="left"/>
              <w:textAlignment w:val="auto"/>
            </w:pPr>
            <w:r>
              <w:rPr>
                <w:rFonts w:hint="default" w:ascii="Times New Roman" w:hAnsi="Times New Roman" w:eastAsia="仿宋" w:cs="Times New Roman"/>
                <w:color w:val="auto"/>
                <w:sz w:val="24"/>
                <w:szCs w:val="24"/>
                <w:lang w:val="en-US" w:eastAsia="zh-CN"/>
              </w:rPr>
              <w:t>曲靖常宜联合科技有限公司于2026年7月2日在曲靖论坛进行了第一次公示</w:t>
            </w:r>
            <w:r>
              <w:rPr>
                <w:rFonts w:hint="eastAsia" w:ascii="Times New Roman" w:hAnsi="Times New Roman" w:eastAsia="仿宋" w:cs="Times New Roman"/>
                <w:color w:val="auto"/>
                <w:sz w:val="24"/>
                <w:szCs w:val="24"/>
                <w:lang w:val="en-US" w:eastAsia="zh-CN"/>
              </w:rPr>
              <w:t>。</w:t>
            </w:r>
            <w:r>
              <w:rPr>
                <w:rFonts w:hint="default" w:ascii="Times New Roman" w:hAnsi="Times New Roman" w:eastAsia="仿宋" w:cs="Times New Roman"/>
                <w:color w:val="auto"/>
                <w:sz w:val="24"/>
                <w:szCs w:val="24"/>
                <w:u w:val="none"/>
                <w:lang w:val="en-US" w:eastAsia="zh-CN"/>
              </w:rPr>
              <w:t>2026年8月27日，在曲靖论坛对该项目生态环境影响报告书征求意见稿进行了公示，公示时间为2026年8月27日-9月9日，同时于2026年8月28日、9月1日在《云南信息报》上对该项目进行了两次报纸公示，在项目周边（松林社区）公示栏张贴公告进行了现场粘贴公示，张贴点选在公众活动广泛且易于知悉的场所，公示期间未收到公众的来电、来函，无公众对本项目公开的环境信息反馈意见</w:t>
            </w:r>
            <w:r>
              <w:rPr>
                <w:rFonts w:hint="eastAsia" w:ascii="Times New Roman" w:hAnsi="Times New Roman" w:eastAsia="仿宋" w:cs="Times New Roman"/>
                <w:color w:val="auto"/>
                <w:sz w:val="24"/>
                <w:szCs w:val="24"/>
                <w:u w:val="none"/>
                <w:lang w:val="en-US" w:eastAsia="zh-CN"/>
              </w:rPr>
              <w:t>；</w:t>
            </w:r>
            <w:r>
              <w:rPr>
                <w:rFonts w:hint="default" w:ascii="Times New Roman" w:hAnsi="Times New Roman" w:eastAsia="仿宋" w:cs="Times New Roman"/>
                <w:color w:val="auto"/>
                <w:sz w:val="24"/>
                <w:szCs w:val="24"/>
                <w:u w:val="none"/>
                <w:lang w:val="en-US" w:eastAsia="zh-CN"/>
              </w:rPr>
              <w:t>在征求意见稿公示期间，在项目区周边发放公众参与调查表。2026年9月28日在曲靖论坛发布了报批前生态环境影响报告书和公众参与说明信息公开。</w:t>
            </w:r>
          </w:p>
        </w:tc>
      </w:tr>
      <w:tr w14:paraId="7B2EF36E">
        <w:tblPrEx>
          <w:tblCellMar>
            <w:top w:w="0" w:type="dxa"/>
            <w:left w:w="108" w:type="dxa"/>
            <w:bottom w:w="0" w:type="dxa"/>
            <w:right w:w="108" w:type="dxa"/>
          </w:tblCellMar>
        </w:tblPrEx>
        <w:trPr>
          <w:trHeight w:val="780" w:hRule="atLeast"/>
        </w:trPr>
        <w:tc>
          <w:tcPr>
            <w:tcW w:w="3622" w:type="dxa"/>
            <w:gridSpan w:val="2"/>
            <w:tcBorders>
              <w:top w:val="single" w:color="auto" w:sz="4" w:space="0"/>
              <w:left w:val="single" w:color="auto" w:sz="4" w:space="0"/>
              <w:bottom w:val="single" w:color="auto" w:sz="4" w:space="0"/>
              <w:right w:val="single" w:color="auto" w:sz="4" w:space="0"/>
            </w:tcBorders>
            <w:shd w:val="clear" w:color="auto" w:fill="C0C0C0"/>
            <w:vAlign w:val="center"/>
          </w:tcPr>
          <w:p w14:paraId="61CEF4CC">
            <w:pPr>
              <w:widowControl/>
              <w:spacing w:line="280" w:lineRule="exact"/>
              <w:jc w:val="center"/>
              <w:rPr>
                <w:rFonts w:ascii="宋体"/>
                <w:kern w:val="0"/>
                <w:sz w:val="24"/>
                <w:szCs w:val="24"/>
              </w:rPr>
            </w:pPr>
            <w:r>
              <w:rPr>
                <w:rFonts w:hint="eastAsia" w:ascii="仿宋" w:hAnsi="仿宋" w:eastAsia="仿宋" w:cs="仿宋"/>
                <w:b/>
                <w:bCs/>
                <w:kern w:val="0"/>
                <w:sz w:val="24"/>
                <w:szCs w:val="24"/>
              </w:rPr>
              <w:t>建设单位或地方政府所作出的相关承诺文件</w:t>
            </w:r>
          </w:p>
        </w:tc>
        <w:tc>
          <w:tcPr>
            <w:tcW w:w="6192" w:type="dxa"/>
            <w:gridSpan w:val="4"/>
            <w:tcBorders>
              <w:top w:val="single" w:color="auto" w:sz="4" w:space="0"/>
              <w:left w:val="nil"/>
              <w:bottom w:val="single" w:color="auto" w:sz="4" w:space="0"/>
              <w:right w:val="single" w:color="auto" w:sz="4" w:space="0"/>
            </w:tcBorders>
            <w:vAlign w:val="center"/>
          </w:tcPr>
          <w:p w14:paraId="7E01DF9D">
            <w:pPr>
              <w:widowControl/>
              <w:spacing w:line="280" w:lineRule="exact"/>
              <w:jc w:val="center"/>
              <w:rPr>
                <w:rFonts w:hint="eastAsia" w:eastAsia="仿宋"/>
                <w:lang w:val="en-US" w:eastAsia="zh-CN"/>
              </w:rPr>
            </w:pPr>
            <w:r>
              <w:rPr>
                <w:rFonts w:hint="eastAsia" w:ascii="仿宋" w:hAnsi="仿宋" w:eastAsia="仿宋" w:cs="仿宋"/>
                <w:sz w:val="24"/>
                <w:szCs w:val="24"/>
                <w:lang w:val="en-US" w:eastAsia="zh-CN"/>
              </w:rPr>
              <w:t>信息公开承诺书。</w:t>
            </w:r>
          </w:p>
        </w:tc>
      </w:tr>
      <w:tr w14:paraId="0CF63BF9">
        <w:tblPrEx>
          <w:tblCellMar>
            <w:top w:w="0" w:type="dxa"/>
            <w:left w:w="108" w:type="dxa"/>
            <w:bottom w:w="0" w:type="dxa"/>
            <w:right w:w="108" w:type="dxa"/>
          </w:tblCellMar>
        </w:tblPrEx>
        <w:trPr>
          <w:trHeight w:val="570" w:hRule="atLeast"/>
        </w:trPr>
        <w:tc>
          <w:tcPr>
            <w:tcW w:w="9814" w:type="dxa"/>
            <w:gridSpan w:val="6"/>
            <w:tcBorders>
              <w:top w:val="single" w:color="auto" w:sz="4" w:space="0"/>
              <w:left w:val="nil"/>
              <w:bottom w:val="nil"/>
              <w:right w:val="nil"/>
            </w:tcBorders>
            <w:vAlign w:val="center"/>
          </w:tcPr>
          <w:p w14:paraId="63D49715">
            <w:pPr>
              <w:widowControl/>
              <w:spacing w:line="280" w:lineRule="exact"/>
              <w:jc w:val="left"/>
              <w:rPr>
                <w:rFonts w:ascii="宋体"/>
                <w:kern w:val="0"/>
                <w:sz w:val="24"/>
                <w:szCs w:val="24"/>
              </w:rPr>
            </w:pPr>
            <w:r>
              <w:rPr>
                <w:rFonts w:hint="eastAsia" w:ascii="仿宋" w:hAnsi="仿宋" w:eastAsia="仿宋" w:cs="仿宋"/>
                <w:kern w:val="0"/>
                <w:sz w:val="24"/>
                <w:szCs w:val="24"/>
              </w:rPr>
              <w:t>注:项目概况、项目主要环境影响、项目预防及减轻不良环境影响的对策和措施、公众参与情况、建设单位或地方政府所作出的相关承诺文件部分由建设单位填写。公众反馈意见联系方式部分由行政审批机关填写。</w:t>
            </w:r>
          </w:p>
        </w:tc>
      </w:tr>
    </w:tbl>
    <w:p w14:paraId="7CC10FD4">
      <w:pPr>
        <w:rPr>
          <w:color w:val="FF0000"/>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Arial Unicode MS"/>
    <w:panose1 w:val="03000509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1" w:fontKey="{66858F64-791F-4D55-AE4B-E448158FAC9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BiYzQ1NDY1YjQ0MjBjMWNmZDQyYjE1NzJjMWYwMDcifQ=="/>
  </w:docVars>
  <w:rsids>
    <w:rsidRoot w:val="392E2078"/>
    <w:rsid w:val="0007389C"/>
    <w:rsid w:val="00150BE9"/>
    <w:rsid w:val="00156B39"/>
    <w:rsid w:val="001A0782"/>
    <w:rsid w:val="001A6B62"/>
    <w:rsid w:val="001B3A2B"/>
    <w:rsid w:val="001F034E"/>
    <w:rsid w:val="001F679B"/>
    <w:rsid w:val="00294DBA"/>
    <w:rsid w:val="002B6C2D"/>
    <w:rsid w:val="002C62B4"/>
    <w:rsid w:val="00322D57"/>
    <w:rsid w:val="00327286"/>
    <w:rsid w:val="00330F90"/>
    <w:rsid w:val="00335349"/>
    <w:rsid w:val="003C1AD7"/>
    <w:rsid w:val="003C4CF8"/>
    <w:rsid w:val="003C6F96"/>
    <w:rsid w:val="003E6693"/>
    <w:rsid w:val="00473C47"/>
    <w:rsid w:val="00485878"/>
    <w:rsid w:val="004A6061"/>
    <w:rsid w:val="004D701F"/>
    <w:rsid w:val="004E159E"/>
    <w:rsid w:val="005010C4"/>
    <w:rsid w:val="005107E1"/>
    <w:rsid w:val="005370B8"/>
    <w:rsid w:val="00542698"/>
    <w:rsid w:val="005A0DCF"/>
    <w:rsid w:val="005B283A"/>
    <w:rsid w:val="0060088D"/>
    <w:rsid w:val="0061485D"/>
    <w:rsid w:val="0062265A"/>
    <w:rsid w:val="006C6412"/>
    <w:rsid w:val="006D5270"/>
    <w:rsid w:val="006E4B40"/>
    <w:rsid w:val="006E5771"/>
    <w:rsid w:val="00702618"/>
    <w:rsid w:val="00705F2D"/>
    <w:rsid w:val="00773626"/>
    <w:rsid w:val="007A0516"/>
    <w:rsid w:val="007C11E2"/>
    <w:rsid w:val="0081762D"/>
    <w:rsid w:val="00833B43"/>
    <w:rsid w:val="00841044"/>
    <w:rsid w:val="00863CCD"/>
    <w:rsid w:val="00871427"/>
    <w:rsid w:val="00872120"/>
    <w:rsid w:val="00873527"/>
    <w:rsid w:val="008A3643"/>
    <w:rsid w:val="008A7183"/>
    <w:rsid w:val="008C224E"/>
    <w:rsid w:val="008C796D"/>
    <w:rsid w:val="008C7996"/>
    <w:rsid w:val="008C7D47"/>
    <w:rsid w:val="008D6010"/>
    <w:rsid w:val="00906E2D"/>
    <w:rsid w:val="009B5EE1"/>
    <w:rsid w:val="009D1793"/>
    <w:rsid w:val="009D3485"/>
    <w:rsid w:val="009D5CDC"/>
    <w:rsid w:val="00A560A2"/>
    <w:rsid w:val="00A7390A"/>
    <w:rsid w:val="00A752B3"/>
    <w:rsid w:val="00A84CD0"/>
    <w:rsid w:val="00AA08DA"/>
    <w:rsid w:val="00B22E4F"/>
    <w:rsid w:val="00B4670A"/>
    <w:rsid w:val="00B547C9"/>
    <w:rsid w:val="00B55F2A"/>
    <w:rsid w:val="00BA1007"/>
    <w:rsid w:val="00BA59BE"/>
    <w:rsid w:val="00BA7231"/>
    <w:rsid w:val="00BC32D8"/>
    <w:rsid w:val="00BD0857"/>
    <w:rsid w:val="00BD1407"/>
    <w:rsid w:val="00C36231"/>
    <w:rsid w:val="00C71183"/>
    <w:rsid w:val="00C96052"/>
    <w:rsid w:val="00CC1BB9"/>
    <w:rsid w:val="00CD2BAA"/>
    <w:rsid w:val="00CD608E"/>
    <w:rsid w:val="00D233CF"/>
    <w:rsid w:val="00DA65D2"/>
    <w:rsid w:val="00DC4E67"/>
    <w:rsid w:val="00DC7CEE"/>
    <w:rsid w:val="00E46C95"/>
    <w:rsid w:val="00E90C9E"/>
    <w:rsid w:val="00ED0EFF"/>
    <w:rsid w:val="00EE1F18"/>
    <w:rsid w:val="00EE5CE6"/>
    <w:rsid w:val="00F530BA"/>
    <w:rsid w:val="00F86E32"/>
    <w:rsid w:val="00FD24C7"/>
    <w:rsid w:val="00FD5740"/>
    <w:rsid w:val="00FF23D3"/>
    <w:rsid w:val="013830D2"/>
    <w:rsid w:val="01437794"/>
    <w:rsid w:val="02F4218D"/>
    <w:rsid w:val="03344A05"/>
    <w:rsid w:val="05275651"/>
    <w:rsid w:val="05B86C53"/>
    <w:rsid w:val="081E3E37"/>
    <w:rsid w:val="0870623F"/>
    <w:rsid w:val="0E7539A2"/>
    <w:rsid w:val="0EA372B6"/>
    <w:rsid w:val="13B34670"/>
    <w:rsid w:val="175C524E"/>
    <w:rsid w:val="17FC2877"/>
    <w:rsid w:val="1A3C46BC"/>
    <w:rsid w:val="1B020E5E"/>
    <w:rsid w:val="1C8733A0"/>
    <w:rsid w:val="1F98448D"/>
    <w:rsid w:val="201D4921"/>
    <w:rsid w:val="20547DB6"/>
    <w:rsid w:val="21602F6F"/>
    <w:rsid w:val="21DD5A71"/>
    <w:rsid w:val="22862C6A"/>
    <w:rsid w:val="245D4345"/>
    <w:rsid w:val="24694EB2"/>
    <w:rsid w:val="25502092"/>
    <w:rsid w:val="292F5527"/>
    <w:rsid w:val="2B002CE4"/>
    <w:rsid w:val="2CA10B4F"/>
    <w:rsid w:val="2CAD1D69"/>
    <w:rsid w:val="2EE11733"/>
    <w:rsid w:val="2F923676"/>
    <w:rsid w:val="2FC57EA9"/>
    <w:rsid w:val="301D5EC7"/>
    <w:rsid w:val="33682ACB"/>
    <w:rsid w:val="34185686"/>
    <w:rsid w:val="35313D1A"/>
    <w:rsid w:val="38002C65"/>
    <w:rsid w:val="392E2078"/>
    <w:rsid w:val="39984AC7"/>
    <w:rsid w:val="3B020811"/>
    <w:rsid w:val="3B1810C5"/>
    <w:rsid w:val="3B2E26FF"/>
    <w:rsid w:val="3C272C37"/>
    <w:rsid w:val="3D9C18A1"/>
    <w:rsid w:val="3EDD372A"/>
    <w:rsid w:val="4155672C"/>
    <w:rsid w:val="426C2071"/>
    <w:rsid w:val="43BD5ED1"/>
    <w:rsid w:val="449625B7"/>
    <w:rsid w:val="45BD33BC"/>
    <w:rsid w:val="462F6647"/>
    <w:rsid w:val="47F24AD5"/>
    <w:rsid w:val="4866291F"/>
    <w:rsid w:val="4B402719"/>
    <w:rsid w:val="4B9C7ABA"/>
    <w:rsid w:val="4C985FBF"/>
    <w:rsid w:val="4D2F5EED"/>
    <w:rsid w:val="4DC60339"/>
    <w:rsid w:val="4E3A4B0F"/>
    <w:rsid w:val="4EC40453"/>
    <w:rsid w:val="4F7B2ACC"/>
    <w:rsid w:val="50153BC8"/>
    <w:rsid w:val="51E81108"/>
    <w:rsid w:val="52385E17"/>
    <w:rsid w:val="54752240"/>
    <w:rsid w:val="555D267C"/>
    <w:rsid w:val="5653575C"/>
    <w:rsid w:val="577942AD"/>
    <w:rsid w:val="58FF0EBE"/>
    <w:rsid w:val="5998453C"/>
    <w:rsid w:val="5A834766"/>
    <w:rsid w:val="5BED57C7"/>
    <w:rsid w:val="5D2E69AB"/>
    <w:rsid w:val="5DCC4393"/>
    <w:rsid w:val="5E951367"/>
    <w:rsid w:val="5F257633"/>
    <w:rsid w:val="60EA0DC0"/>
    <w:rsid w:val="614E3CA3"/>
    <w:rsid w:val="64CE0A00"/>
    <w:rsid w:val="66336F03"/>
    <w:rsid w:val="66B00A67"/>
    <w:rsid w:val="6AB93F9D"/>
    <w:rsid w:val="6C8A7DA4"/>
    <w:rsid w:val="714078D6"/>
    <w:rsid w:val="715F713D"/>
    <w:rsid w:val="747E39E9"/>
    <w:rsid w:val="74857523"/>
    <w:rsid w:val="77533B6A"/>
    <w:rsid w:val="78CD4DAD"/>
    <w:rsid w:val="79377A43"/>
    <w:rsid w:val="79CC62C5"/>
    <w:rsid w:val="79EF4D86"/>
    <w:rsid w:val="7E5F22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方正仿宋_GBK" w:cs="Times New Roman"/>
      <w:kern w:val="32"/>
      <w:sz w:val="32"/>
      <w:szCs w:val="32"/>
      <w:lang w:val="en-US" w:eastAsia="zh-CN" w:bidi="ar-SA"/>
    </w:rPr>
  </w:style>
  <w:style w:type="paragraph" w:styleId="2">
    <w:name w:val="heading 2"/>
    <w:basedOn w:val="1"/>
    <w:next w:val="1"/>
    <w:link w:val="25"/>
    <w:qFormat/>
    <w:uiPriority w:val="0"/>
    <w:pPr>
      <w:tabs>
        <w:tab w:val="left" w:pos="5882"/>
      </w:tabs>
      <w:adjustRightInd w:val="0"/>
      <w:snapToGrid w:val="0"/>
      <w:spacing w:beforeLines="50"/>
      <w:jc w:val="left"/>
      <w:outlineLvl w:val="1"/>
    </w:pPr>
    <w:rPr>
      <w:rFonts w:ascii="Times New Roman" w:hAnsi="Times New Roman" w:eastAsia="宋体"/>
      <w:b/>
      <w:kern w:val="0"/>
      <w:sz w:val="24"/>
      <w:szCs w:val="24"/>
    </w:rPr>
  </w:style>
  <w:style w:type="paragraph" w:styleId="3">
    <w:name w:val="heading 3"/>
    <w:basedOn w:val="1"/>
    <w:next w:val="1"/>
    <w:link w:val="20"/>
    <w:qFormat/>
    <w:uiPriority w:val="0"/>
    <w:pPr>
      <w:topLinePunct/>
      <w:spacing w:before="120" w:line="480" w:lineRule="exact"/>
      <w:outlineLvl w:val="2"/>
    </w:pPr>
    <w:rPr>
      <w:rFonts w:ascii="Times New Roman" w:hAnsi="Times New Roman" w:eastAsia="楷体_GB2312"/>
      <w:b/>
      <w:bCs/>
      <w:color w:val="000000"/>
      <w:kern w:val="2"/>
      <w:sz w:val="28"/>
      <w:szCs w:val="28"/>
    </w:rPr>
  </w:style>
  <w:style w:type="paragraph" w:styleId="4">
    <w:name w:val="heading 4"/>
    <w:basedOn w:val="1"/>
    <w:next w:val="1"/>
    <w:link w:val="23"/>
    <w:qFormat/>
    <w:uiPriority w:val="0"/>
    <w:pPr>
      <w:keepNext/>
      <w:keepLines/>
      <w:spacing w:before="280" w:after="290" w:line="376" w:lineRule="auto"/>
      <w:outlineLvl w:val="3"/>
    </w:pPr>
    <w:rPr>
      <w:rFonts w:ascii="Arial" w:hAnsi="Arial" w:eastAsia="黑体"/>
      <w:b/>
      <w:bCs/>
      <w:kern w:val="2"/>
      <w:sz w:val="28"/>
      <w:szCs w:val="28"/>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5">
    <w:name w:val="Body Text"/>
    <w:basedOn w:val="1"/>
    <w:next w:val="6"/>
    <w:qFormat/>
    <w:uiPriority w:val="1"/>
    <w:rPr>
      <w:sz w:val="24"/>
      <w:szCs w:val="24"/>
    </w:rPr>
  </w:style>
  <w:style w:type="paragraph" w:customStyle="1" w:styleId="6">
    <w:name w:val="明显引用1"/>
    <w:next w:val="1"/>
    <w:qFormat/>
    <w:uiPriority w:val="0"/>
    <w:pPr>
      <w:wordWrap w:val="0"/>
      <w:spacing w:before="360" w:after="360"/>
      <w:ind w:left="950" w:right="950"/>
      <w:jc w:val="center"/>
    </w:pPr>
    <w:rPr>
      <w:rFonts w:ascii="Times New Roman" w:hAnsi="Times New Roman" w:eastAsia="宋体" w:cs="Times New Roman"/>
      <w:i/>
      <w:sz w:val="21"/>
      <w:lang w:val="en-US" w:eastAsia="zh-CN" w:bidi="ar-SA"/>
    </w:rPr>
  </w:style>
  <w:style w:type="paragraph" w:styleId="7">
    <w:name w:val="Plain Text"/>
    <w:basedOn w:val="1"/>
    <w:next w:val="8"/>
    <w:qFormat/>
    <w:uiPriority w:val="0"/>
    <w:rPr>
      <w:rFonts w:ascii="宋体"/>
      <w:snapToGrid w:val="0"/>
      <w:kern w:val="0"/>
      <w:szCs w:val="20"/>
    </w:rPr>
  </w:style>
  <w:style w:type="paragraph" w:customStyle="1" w:styleId="8">
    <w:name w:val="Default"/>
    <w:basedOn w:val="9"/>
    <w:next w:val="5"/>
    <w:qFormat/>
    <w:uiPriority w:val="99"/>
    <w:pPr>
      <w:widowControl w:val="0"/>
      <w:autoSpaceDE w:val="0"/>
      <w:autoSpaceDN w:val="0"/>
      <w:adjustRightInd w:val="0"/>
    </w:pPr>
    <w:rPr>
      <w:rFonts w:ascii="宋体" w:cs="宋体"/>
      <w:color w:val="000000"/>
      <w:sz w:val="24"/>
      <w:szCs w:val="24"/>
      <w:lang w:val="en-US" w:eastAsia="zh-CN" w:bidi="ar-SA"/>
    </w:rPr>
  </w:style>
  <w:style w:type="paragraph" w:customStyle="1" w:styleId="9">
    <w:name w:val="纯文本1"/>
    <w:basedOn w:val="1"/>
    <w:qFormat/>
    <w:uiPriority w:val="0"/>
    <w:pPr>
      <w:suppressAutoHyphens/>
    </w:pPr>
    <w:rPr>
      <w:rFonts w:ascii="宋体" w:hAnsi="宋体" w:eastAsia="宋体" w:cs="Times New Roman"/>
      <w:kern w:val="1"/>
      <w:sz w:val="28"/>
      <w:lang w:eastAsia="ar-SA"/>
    </w:rPr>
  </w:style>
  <w:style w:type="paragraph" w:styleId="10">
    <w:name w:val="footer"/>
    <w:basedOn w:val="1"/>
    <w:link w:val="24"/>
    <w:qFormat/>
    <w:uiPriority w:val="0"/>
    <w:pPr>
      <w:tabs>
        <w:tab w:val="center" w:pos="4153"/>
        <w:tab w:val="right" w:pos="8306"/>
      </w:tabs>
      <w:snapToGrid w:val="0"/>
      <w:jc w:val="left"/>
    </w:pPr>
    <w:rPr>
      <w:sz w:val="18"/>
      <w:szCs w:val="18"/>
    </w:rPr>
  </w:style>
  <w:style w:type="paragraph" w:styleId="11">
    <w:name w:val="header"/>
    <w:basedOn w:val="1"/>
    <w:link w:val="22"/>
    <w:qFormat/>
    <w:uiPriority w:val="0"/>
    <w:pPr>
      <w:pBdr>
        <w:bottom w:val="single" w:color="auto" w:sz="6" w:space="1"/>
      </w:pBdr>
      <w:tabs>
        <w:tab w:val="center" w:pos="4153"/>
        <w:tab w:val="right" w:pos="8306"/>
      </w:tabs>
      <w:snapToGrid w:val="0"/>
      <w:jc w:val="center"/>
    </w:pPr>
    <w:rPr>
      <w:sz w:val="18"/>
      <w:szCs w:val="18"/>
    </w:rPr>
  </w:style>
  <w:style w:type="paragraph" w:styleId="12">
    <w:name w:val="Normal (Web)"/>
    <w:basedOn w:val="1"/>
    <w:qFormat/>
    <w:uiPriority w:val="0"/>
    <w:pPr>
      <w:jc w:val="left"/>
    </w:pPr>
    <w:rPr>
      <w:rFonts w:eastAsia="宋体"/>
      <w:kern w:val="0"/>
      <w:sz w:val="24"/>
    </w:rPr>
  </w:style>
  <w:style w:type="paragraph" w:styleId="13">
    <w:name w:val="Title"/>
    <w:basedOn w:val="1"/>
    <w:qFormat/>
    <w:uiPriority w:val="0"/>
    <w:pPr>
      <w:adjustRightInd w:val="0"/>
      <w:snapToGrid w:val="0"/>
      <w:spacing w:before="240" w:after="60" w:line="360" w:lineRule="auto"/>
      <w:ind w:firstLine="200" w:firstLineChars="200"/>
      <w:jc w:val="center"/>
      <w:outlineLvl w:val="0"/>
    </w:pPr>
    <w:rPr>
      <w:rFonts w:ascii="Cambria" w:hAnsi="Cambria"/>
      <w:b/>
      <w:bCs/>
    </w:rPr>
  </w:style>
  <w:style w:type="character" w:styleId="16">
    <w:name w:val="Strong"/>
    <w:basedOn w:val="15"/>
    <w:qFormat/>
    <w:uiPriority w:val="0"/>
    <w:rPr>
      <w:b/>
    </w:rPr>
  </w:style>
  <w:style w:type="character" w:styleId="17">
    <w:name w:val="annotation reference"/>
    <w:basedOn w:val="15"/>
    <w:qFormat/>
    <w:uiPriority w:val="0"/>
    <w:rPr>
      <w:sz w:val="21"/>
      <w:szCs w:val="21"/>
    </w:rPr>
  </w:style>
  <w:style w:type="paragraph" w:customStyle="1" w:styleId="18">
    <w:name w:val="Normal Indent1"/>
    <w:basedOn w:val="1"/>
    <w:next w:val="1"/>
    <w:qFormat/>
    <w:uiPriority w:val="99"/>
    <w:pPr>
      <w:ind w:firstLine="420"/>
    </w:pPr>
  </w:style>
  <w:style w:type="paragraph" w:customStyle="1" w:styleId="19">
    <w:name w:val="正本文字"/>
    <w:basedOn w:val="1"/>
    <w:autoRedefine/>
    <w:qFormat/>
    <w:uiPriority w:val="0"/>
    <w:pPr>
      <w:adjustRightInd w:val="0"/>
      <w:snapToGrid w:val="0"/>
      <w:spacing w:line="360" w:lineRule="auto"/>
      <w:ind w:firstLine="480" w:firstLineChars="200"/>
      <w:jc w:val="left"/>
    </w:pPr>
    <w:rPr>
      <w:rFonts w:cs="宋体"/>
      <w:kern w:val="18"/>
      <w:sz w:val="24"/>
    </w:rPr>
  </w:style>
  <w:style w:type="character" w:customStyle="1" w:styleId="20">
    <w:name w:val="标题 3 字符"/>
    <w:link w:val="3"/>
    <w:qFormat/>
    <w:uiPriority w:val="0"/>
    <w:rPr>
      <w:rFonts w:eastAsia="楷体_GB2312"/>
      <w:b/>
      <w:bCs/>
      <w:color w:val="000000"/>
      <w:kern w:val="2"/>
      <w:sz w:val="28"/>
      <w:szCs w:val="28"/>
    </w:rPr>
  </w:style>
  <w:style w:type="character" w:customStyle="1" w:styleId="21">
    <w:name w:val="标题 3 Char"/>
    <w:semiHidden/>
    <w:qFormat/>
    <w:uiPriority w:val="0"/>
    <w:rPr>
      <w:rFonts w:ascii="Calibri" w:hAnsi="Calibri" w:eastAsia="方正仿宋_GBK"/>
      <w:b/>
      <w:bCs/>
      <w:kern w:val="32"/>
      <w:sz w:val="32"/>
      <w:szCs w:val="32"/>
    </w:rPr>
  </w:style>
  <w:style w:type="character" w:customStyle="1" w:styleId="22">
    <w:name w:val="页眉 字符"/>
    <w:link w:val="11"/>
    <w:qFormat/>
    <w:uiPriority w:val="0"/>
    <w:rPr>
      <w:rFonts w:ascii="Calibri" w:hAnsi="Calibri" w:eastAsia="方正仿宋_GBK"/>
      <w:kern w:val="32"/>
      <w:sz w:val="18"/>
      <w:szCs w:val="18"/>
    </w:rPr>
  </w:style>
  <w:style w:type="character" w:customStyle="1" w:styleId="23">
    <w:name w:val="标题 4 字符"/>
    <w:link w:val="4"/>
    <w:qFormat/>
    <w:uiPriority w:val="0"/>
    <w:rPr>
      <w:rFonts w:ascii="Arial" w:hAnsi="Arial" w:eastAsia="黑体"/>
      <w:b/>
      <w:bCs/>
      <w:kern w:val="2"/>
      <w:sz w:val="28"/>
      <w:szCs w:val="28"/>
    </w:rPr>
  </w:style>
  <w:style w:type="character" w:customStyle="1" w:styleId="24">
    <w:name w:val="页脚 字符"/>
    <w:link w:val="10"/>
    <w:qFormat/>
    <w:uiPriority w:val="0"/>
    <w:rPr>
      <w:rFonts w:ascii="Calibri" w:hAnsi="Calibri" w:eastAsia="方正仿宋_GBK"/>
      <w:kern w:val="32"/>
      <w:sz w:val="18"/>
      <w:szCs w:val="18"/>
    </w:rPr>
  </w:style>
  <w:style w:type="character" w:customStyle="1" w:styleId="25">
    <w:name w:val="标题 2 字符"/>
    <w:link w:val="2"/>
    <w:qFormat/>
    <w:uiPriority w:val="0"/>
    <w:rPr>
      <w:rFonts w:eastAsia="宋体"/>
      <w:b/>
      <w:sz w:val="24"/>
      <w:szCs w:val="24"/>
    </w:rPr>
  </w:style>
  <w:style w:type="character" w:customStyle="1" w:styleId="26">
    <w:name w:val="标题 4 Char"/>
    <w:semiHidden/>
    <w:qFormat/>
    <w:uiPriority w:val="0"/>
    <w:rPr>
      <w:rFonts w:ascii="Cambria" w:hAnsi="Cambria" w:eastAsia="宋体" w:cs="Times New Roman"/>
      <w:b/>
      <w:bCs/>
      <w:kern w:val="32"/>
      <w:sz w:val="28"/>
      <w:szCs w:val="28"/>
    </w:rPr>
  </w:style>
  <w:style w:type="character" w:customStyle="1" w:styleId="27">
    <w:name w:val="正文 旺源文字段落 Char"/>
    <w:link w:val="28"/>
    <w:qFormat/>
    <w:uiPriority w:val="0"/>
    <w:rPr>
      <w:rFonts w:ascii="宋体" w:hAnsi="宋体" w:cs="宋体"/>
      <w:kern w:val="24"/>
      <w:sz w:val="24"/>
      <w:szCs w:val="24"/>
    </w:rPr>
  </w:style>
  <w:style w:type="paragraph" w:customStyle="1" w:styleId="28">
    <w:name w:val="正文 旺源文字段落"/>
    <w:basedOn w:val="1"/>
    <w:link w:val="27"/>
    <w:qFormat/>
    <w:uiPriority w:val="0"/>
    <w:pPr>
      <w:spacing w:line="500" w:lineRule="exact"/>
      <w:ind w:firstLine="420"/>
    </w:pPr>
    <w:rPr>
      <w:rFonts w:ascii="宋体" w:hAnsi="宋体" w:eastAsia="宋体"/>
      <w:kern w:val="24"/>
      <w:sz w:val="24"/>
      <w:szCs w:val="24"/>
    </w:rPr>
  </w:style>
  <w:style w:type="paragraph" w:customStyle="1" w:styleId="29">
    <w:name w:val="LH样式"/>
    <w:basedOn w:val="1"/>
    <w:qFormat/>
    <w:uiPriority w:val="0"/>
    <w:pPr>
      <w:spacing w:line="480" w:lineRule="exact"/>
      <w:ind w:firstLine="520" w:firstLineChars="200"/>
    </w:pPr>
    <w:rPr>
      <w:rFonts w:ascii="Times New Roman" w:hAnsi="Times New Roman" w:eastAsia="宋体"/>
      <w:color w:val="00B0F0"/>
      <w:kern w:val="2"/>
      <w:sz w:val="26"/>
      <w:szCs w:val="26"/>
    </w:rPr>
  </w:style>
  <w:style w:type="paragraph" w:customStyle="1" w:styleId="30">
    <w:name w:val="正文2"/>
    <w:basedOn w:val="1"/>
    <w:qFormat/>
    <w:uiPriority w:val="0"/>
    <w:pPr>
      <w:spacing w:line="360" w:lineRule="auto"/>
      <w:ind w:firstLine="200" w:firstLineChars="200"/>
    </w:pPr>
    <w:rPr>
      <w:rFonts w:ascii="Times New Roman" w:hAnsi="Times New Roman" w:eastAsia="宋体"/>
      <w:sz w:val="24"/>
      <w:szCs w:val="20"/>
    </w:rPr>
  </w:style>
  <w:style w:type="paragraph" w:customStyle="1" w:styleId="31">
    <w:name w:val="Table Text"/>
    <w:basedOn w:val="1"/>
    <w:semiHidden/>
    <w:qFormat/>
    <w:uiPriority w:val="0"/>
    <w:rPr>
      <w:rFonts w:ascii="宋体" w:hAnsi="宋体" w:eastAsia="宋体" w:cs="宋体"/>
      <w:sz w:val="21"/>
      <w:szCs w:val="21"/>
      <w:lang w:val="en-US" w:eastAsia="en-US" w:bidi="ar-SA"/>
    </w:rPr>
  </w:style>
  <w:style w:type="paragraph" w:customStyle="1" w:styleId="32">
    <w:name w:val="H正文"/>
    <w:basedOn w:val="1"/>
    <w:qFormat/>
    <w:uiPriority w:val="0"/>
    <w:pPr>
      <w:adjustRightInd w:val="0"/>
      <w:spacing w:line="400" w:lineRule="exact"/>
      <w:ind w:firstLine="200" w:firstLineChars="200"/>
      <w:textAlignment w:val="baseline"/>
    </w:pPr>
    <w:rPr>
      <w:rFonts w:ascii="Times New Roman" w:hAnsi="Times New Roman" w:eastAsia="宋体"/>
      <w:snapToGrid w:val="0"/>
      <w:spacing w:val="6"/>
      <w:kern w:val="2"/>
      <w:sz w:val="21"/>
      <w:szCs w:val="24"/>
    </w:rPr>
  </w:style>
  <w:style w:type="paragraph" w:customStyle="1" w:styleId="33">
    <w:name w:val="正缩1"/>
    <w:basedOn w:val="1"/>
    <w:qFormat/>
    <w:uiPriority w:val="0"/>
    <w:pPr>
      <w:adjustRightInd w:val="0"/>
      <w:snapToGrid w:val="0"/>
      <w:spacing w:line="500" w:lineRule="exact"/>
      <w:ind w:firstLine="567"/>
    </w:pPr>
    <w:rPr>
      <w:rFonts w:ascii="Times New Roman" w:eastAsia="仿宋_GB2312"/>
      <w:color w:val="000000"/>
      <w:kern w:val="2"/>
      <w:sz w:val="28"/>
    </w:rPr>
  </w:style>
  <w:style w:type="paragraph" w:customStyle="1" w:styleId="34">
    <w:name w:val="【正文】"/>
    <w:basedOn w:val="1"/>
    <w:qFormat/>
    <w:uiPriority w:val="0"/>
    <w:rPr>
      <w:rFonts w:cs="宋体"/>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4</Pages>
  <Words>2710</Words>
  <Characters>2978</Characters>
  <Lines>97</Lines>
  <Paragraphs>85</Paragraphs>
  <TotalTime>6</TotalTime>
  <ScaleCrop>false</ScaleCrop>
  <LinksUpToDate>false</LinksUpToDate>
  <CharactersWithSpaces>2978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2019-10-22T01:39:00Z</dcterms:created>
  <dc:creator>lenovo</dc:creator>
  <cp:lastModifiedBy>郭丽娜</cp:lastModifiedBy>
  <cp:lastPrinted>2016-09-13T03:08:00Z</cp:lastPrinted>
  <dcterms:modified xsi:type="dcterms:W3CDTF">2026-10-28T03:04:09Z</dcterms:modified>
  <dc:title>曲靖市环境保护局</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8D568E0BBB09419191B911578470B387_13</vt:lpwstr>
  </property>
  <property fmtid="{D5CDD505-2E9C-101B-9397-08002B2CF9AE}" pid="4" name="KSOTemplateDocerSaveRecord">
    <vt:lpwstr>eyJoZGlkIjoiYTA0OTFiNTllN2E3YTc2MDc5ZTIwYTg0ZjFlZjFlMWQiLCJ1c2VySWQiOiIzNzMyMDUyODEifQ==</vt:lpwstr>
  </property>
</Properties>
</file>