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F09E60">
      <w:pPr>
        <w:pStyle w:val="3"/>
        <w:keepNext w:val="0"/>
        <w:keepLines w:val="0"/>
        <w:widowControl/>
        <w:suppressLineNumbers w:val="0"/>
        <w:autoSpaceDE w:val="0"/>
        <w:autoSpaceDN/>
        <w:spacing w:line="600" w:lineRule="atLeast"/>
        <w:jc w:val="center"/>
      </w:pPr>
      <w:r>
        <w:rPr>
          <w:rFonts w:ascii="方正小标宋_GBK" w:hAnsi="方正小标宋_GBK" w:eastAsia="方正小标宋_GBK" w:cs="方正小标宋_GBK"/>
          <w:sz w:val="43"/>
          <w:szCs w:val="43"/>
        </w:rPr>
        <w:t>关于推进基本养老服务体系建设</w:t>
      </w:r>
      <w:r>
        <w:rPr>
          <w:rFonts w:hint="eastAsia" w:ascii="方正小标宋_GBK" w:hAnsi="方正小标宋_GBK" w:eastAsia="方正小标宋_GBK" w:cs="方正小标宋_GBK"/>
          <w:sz w:val="43"/>
          <w:szCs w:val="43"/>
        </w:rPr>
        <w:t>的</w:t>
      </w:r>
    </w:p>
    <w:p w14:paraId="3A277AF9">
      <w:pPr>
        <w:pStyle w:val="3"/>
        <w:keepNext w:val="0"/>
        <w:keepLines w:val="0"/>
        <w:widowControl/>
        <w:suppressLineNumbers w:val="0"/>
        <w:autoSpaceDE w:val="0"/>
        <w:autoSpaceDN/>
        <w:spacing w:line="600" w:lineRule="atLeast"/>
        <w:jc w:val="center"/>
      </w:pPr>
      <w:r>
        <w:rPr>
          <w:rFonts w:hint="eastAsia" w:ascii="方正小标宋_GBK" w:hAnsi="方正小标宋_GBK" w:eastAsia="方正小标宋_GBK" w:cs="方正小标宋_GBK"/>
          <w:sz w:val="43"/>
          <w:szCs w:val="43"/>
        </w:rPr>
        <w:t>实施方案</w:t>
      </w:r>
      <w:bookmarkStart w:id="0" w:name="_GoBack"/>
      <w:bookmarkEnd w:id="0"/>
    </w:p>
    <w:p w14:paraId="7A5DD90D">
      <w:pPr>
        <w:pStyle w:val="3"/>
        <w:keepNext w:val="0"/>
        <w:keepLines w:val="0"/>
        <w:widowControl/>
        <w:suppressLineNumbers w:val="0"/>
        <w:autoSpaceDE w:val="0"/>
        <w:autoSpaceDN/>
        <w:spacing w:line="600" w:lineRule="atLeast"/>
        <w:jc w:val="center"/>
      </w:pPr>
      <w:r>
        <w:rPr>
          <w:rFonts w:ascii="楷体" w:hAnsi="楷体" w:eastAsia="楷体" w:cs="楷体"/>
          <w:sz w:val="31"/>
          <w:szCs w:val="31"/>
        </w:rPr>
        <w:t>（征求意见稿）</w:t>
      </w:r>
    </w:p>
    <w:p w14:paraId="3C94A099">
      <w:pPr>
        <w:pStyle w:val="3"/>
        <w:keepNext w:val="0"/>
        <w:keepLines w:val="0"/>
        <w:widowControl/>
        <w:suppressLineNumbers w:val="0"/>
      </w:pPr>
      <w:r>
        <w:rPr>
          <w:rFonts w:hint="default" w:ascii="Times New Roman" w:hAnsi="Times New Roman" w:cs="Times New Roman"/>
          <w:sz w:val="31"/>
          <w:szCs w:val="31"/>
        </w:rPr>
        <w:t> </w:t>
      </w:r>
    </w:p>
    <w:p w14:paraId="5B92BD3E">
      <w:pPr>
        <w:pStyle w:val="3"/>
        <w:keepNext w:val="0"/>
        <w:keepLines w:val="0"/>
        <w:widowControl/>
        <w:suppressLineNumbers w:val="0"/>
        <w:autoSpaceDE w:val="0"/>
        <w:autoSpaceDN/>
        <w:ind w:left="0" w:firstLine="645"/>
      </w:pPr>
      <w:r>
        <w:rPr>
          <w:rFonts w:ascii="方正仿宋_GBK" w:hAnsi="方正仿宋_GBK" w:eastAsia="方正仿宋_GBK" w:cs="方正仿宋_GBK"/>
          <w:sz w:val="31"/>
          <w:szCs w:val="31"/>
        </w:rPr>
        <w:t>为</w:t>
      </w:r>
      <w:r>
        <w:rPr>
          <w:rFonts w:hint="eastAsia" w:ascii="方正仿宋_GBK" w:hAnsi="方正仿宋_GBK" w:eastAsia="方正仿宋_GBK" w:cs="方正仿宋_GBK"/>
          <w:sz w:val="31"/>
          <w:szCs w:val="31"/>
        </w:rPr>
        <w:t>深入贯彻落实党中央、国务院关于实施积极应对人口老龄化国家战略，加快推进基本养老服务体系建设。根据《中共云南省委办公厅、云南省人民政府办公厅印发</w:t>
      </w:r>
      <w:r>
        <w:rPr>
          <w:rFonts w:hint="default" w:ascii="Times New Roman" w:hAnsi="Times New Roman" w:cs="Times New Roman"/>
          <w:sz w:val="31"/>
          <w:szCs w:val="31"/>
        </w:rPr>
        <w:t>&lt;</w:t>
      </w:r>
      <w:r>
        <w:rPr>
          <w:rFonts w:hint="eastAsia" w:ascii="方正仿宋_GBK" w:hAnsi="方正仿宋_GBK" w:eastAsia="方正仿宋_GBK" w:cs="方正仿宋_GBK"/>
          <w:sz w:val="31"/>
          <w:szCs w:val="31"/>
        </w:rPr>
        <w:t>关于推进基本养老服务体系建设的实施意见</w:t>
      </w:r>
      <w:r>
        <w:rPr>
          <w:rFonts w:hint="default" w:ascii="Times New Roman" w:hAnsi="Times New Roman" w:cs="Times New Roman"/>
          <w:sz w:val="31"/>
          <w:szCs w:val="31"/>
        </w:rPr>
        <w:t>&gt;</w:t>
      </w:r>
      <w:r>
        <w:rPr>
          <w:rFonts w:hint="eastAsia" w:ascii="方正仿宋_GBK" w:hAnsi="方正仿宋_GBK" w:eastAsia="方正仿宋_GBK" w:cs="方正仿宋_GBK"/>
          <w:sz w:val="31"/>
          <w:szCs w:val="31"/>
        </w:rPr>
        <w:t>的通知》</w:t>
      </w:r>
      <w:r>
        <w:rPr>
          <w:rFonts w:hint="default" w:ascii="Times New Roman" w:hAnsi="Times New Roman" w:cs="Times New Roman"/>
          <w:sz w:val="31"/>
          <w:szCs w:val="31"/>
        </w:rPr>
        <w:t>(</w:t>
      </w:r>
      <w:r>
        <w:rPr>
          <w:rFonts w:hint="eastAsia" w:ascii="方正仿宋_GBK" w:hAnsi="方正仿宋_GBK" w:eastAsia="方正仿宋_GBK" w:cs="方正仿宋_GBK"/>
          <w:sz w:val="31"/>
          <w:szCs w:val="31"/>
        </w:rPr>
        <w:t>云办发〔</w:t>
      </w:r>
      <w:r>
        <w:rPr>
          <w:rFonts w:hint="default" w:ascii="Times New Roman" w:hAnsi="Times New Roman" w:cs="Times New Roman"/>
          <w:sz w:val="31"/>
          <w:szCs w:val="31"/>
        </w:rPr>
        <w:t>2022</w:t>
      </w:r>
      <w:r>
        <w:rPr>
          <w:rFonts w:hint="eastAsia" w:ascii="方正仿宋_GBK" w:hAnsi="方正仿宋_GBK" w:eastAsia="方正仿宋_GBK" w:cs="方正仿宋_GBK"/>
          <w:sz w:val="31"/>
          <w:szCs w:val="31"/>
        </w:rPr>
        <w:t>〕</w:t>
      </w:r>
      <w:r>
        <w:rPr>
          <w:rFonts w:hint="default" w:ascii="Times New Roman" w:hAnsi="Times New Roman" w:cs="Times New Roman"/>
          <w:sz w:val="31"/>
          <w:szCs w:val="31"/>
        </w:rPr>
        <w:t>67</w:t>
      </w:r>
      <w:r>
        <w:rPr>
          <w:rFonts w:hint="eastAsia" w:ascii="方正仿宋_GBK" w:hAnsi="方正仿宋_GBK" w:eastAsia="方正仿宋_GBK" w:cs="方正仿宋_GBK"/>
          <w:sz w:val="31"/>
          <w:szCs w:val="31"/>
        </w:rPr>
        <w:t>号</w:t>
      </w:r>
      <w:r>
        <w:rPr>
          <w:rFonts w:hint="default" w:ascii="Times New Roman" w:hAnsi="Times New Roman" w:cs="Times New Roman"/>
          <w:sz w:val="31"/>
          <w:szCs w:val="31"/>
        </w:rPr>
        <w:t>)</w:t>
      </w:r>
      <w:r>
        <w:rPr>
          <w:rFonts w:hint="eastAsia" w:ascii="方正仿宋_GBK" w:hAnsi="方正仿宋_GBK" w:eastAsia="方正仿宋_GBK" w:cs="方正仿宋_GBK"/>
          <w:sz w:val="31"/>
          <w:szCs w:val="31"/>
        </w:rPr>
        <w:t>，结合曲靖实际，制定本实施方案。</w:t>
      </w:r>
    </w:p>
    <w:p w14:paraId="1DCC011C">
      <w:pPr>
        <w:pStyle w:val="3"/>
        <w:keepNext w:val="0"/>
        <w:keepLines w:val="0"/>
        <w:widowControl/>
        <w:suppressLineNumbers w:val="0"/>
        <w:autoSpaceDE w:val="0"/>
        <w:autoSpaceDN/>
        <w:ind w:left="0" w:firstLine="645"/>
      </w:pPr>
      <w:r>
        <w:rPr>
          <w:rFonts w:ascii="方正黑体_GBK" w:hAnsi="方正黑体_GBK" w:eastAsia="方正黑体_GBK" w:cs="方正黑体_GBK"/>
          <w:sz w:val="31"/>
          <w:szCs w:val="31"/>
        </w:rPr>
        <w:t>一、总体要求</w:t>
      </w:r>
    </w:p>
    <w:p w14:paraId="68CCA4F3">
      <w:pPr>
        <w:pStyle w:val="3"/>
        <w:keepNext w:val="0"/>
        <w:keepLines w:val="0"/>
        <w:widowControl/>
        <w:suppressLineNumbers w:val="0"/>
        <w:autoSpaceDE w:val="0"/>
        <w:autoSpaceDN/>
        <w:ind w:left="0" w:firstLine="645"/>
        <w:jc w:val="both"/>
      </w:pPr>
      <w:r>
        <w:rPr>
          <w:rFonts w:ascii="方正楷体_GBK" w:hAnsi="方正楷体_GBK" w:eastAsia="方正楷体_GBK" w:cs="方正楷体_GBK"/>
          <w:sz w:val="31"/>
          <w:szCs w:val="31"/>
        </w:rPr>
        <w:t>（一）指导思想</w:t>
      </w:r>
    </w:p>
    <w:p w14:paraId="6269ABCC">
      <w:pPr>
        <w:pStyle w:val="3"/>
        <w:keepNext w:val="0"/>
        <w:keepLines w:val="0"/>
        <w:widowControl/>
        <w:suppressLineNumbers w:val="0"/>
        <w:autoSpaceDE w:val="0"/>
        <w:autoSpaceDN/>
        <w:ind w:left="0" w:firstLine="645"/>
        <w:jc w:val="both"/>
      </w:pPr>
      <w:r>
        <w:rPr>
          <w:rFonts w:hint="eastAsia" w:ascii="方正仿宋_GBK" w:hAnsi="方正仿宋_GBK" w:eastAsia="方正仿宋_GBK" w:cs="方正仿宋_GBK"/>
          <w:sz w:val="31"/>
          <w:szCs w:val="31"/>
        </w:rPr>
        <w:t>坚持以习近平新时代中国特色社会主义思想为指导，全面贯彻党的十九大和十九届历次全会、党的二十大精神，深入贯彻习近平总书记关于养老服务工作重要指示批示和考察云南重要讲话精神，积极顺应老龄化发展形势，遵循基础性、普惠性、共担性、系统性原则，以不断满足老年人多样化、多层次、高品质的健康养老需求，健全基本养老筹资和待遇调整机制，推动实现全体老年人享有基本养老服务。加大制度创新、政策供给、财政投入力度，加快建成覆盖全体老年人，权责清晰、保障适度、可持续的基本养老服务体系，不断增强老年人获得感、幸福感和安全感。</w:t>
      </w:r>
    </w:p>
    <w:p w14:paraId="12CAA282">
      <w:pPr>
        <w:pStyle w:val="3"/>
        <w:keepNext w:val="0"/>
        <w:keepLines w:val="0"/>
        <w:widowControl/>
        <w:suppressLineNumbers w:val="0"/>
        <w:autoSpaceDE w:val="0"/>
        <w:autoSpaceDN/>
        <w:ind w:left="0" w:firstLine="645"/>
        <w:jc w:val="both"/>
      </w:pPr>
      <w:r>
        <w:rPr>
          <w:rFonts w:hint="eastAsia" w:ascii="方正楷体_GBK" w:hAnsi="方正楷体_GBK" w:eastAsia="方正楷体_GBK" w:cs="方正楷体_GBK"/>
          <w:sz w:val="31"/>
          <w:szCs w:val="31"/>
        </w:rPr>
        <w:t>（二）目标任务</w:t>
      </w:r>
    </w:p>
    <w:p w14:paraId="40C68123">
      <w:pPr>
        <w:pStyle w:val="3"/>
        <w:keepNext w:val="0"/>
        <w:keepLines w:val="0"/>
        <w:widowControl/>
        <w:suppressLineNumbers w:val="0"/>
        <w:autoSpaceDE w:val="0"/>
        <w:autoSpaceDN/>
        <w:ind w:left="0" w:firstLine="645"/>
      </w:pPr>
      <w:r>
        <w:rPr>
          <w:rFonts w:hint="default" w:ascii="Times New Roman" w:hAnsi="Times New Roman" w:cs="Times New Roman"/>
          <w:sz w:val="31"/>
          <w:szCs w:val="31"/>
        </w:rPr>
        <w:t>“</w:t>
      </w:r>
      <w:r>
        <w:rPr>
          <w:rFonts w:hint="eastAsia" w:ascii="方正仿宋_GBK" w:hAnsi="方正仿宋_GBK" w:eastAsia="方正仿宋_GBK" w:cs="方正仿宋_GBK"/>
          <w:sz w:val="31"/>
          <w:szCs w:val="31"/>
        </w:rPr>
        <w:t>十四五</w:t>
      </w:r>
      <w:r>
        <w:rPr>
          <w:rFonts w:hint="default" w:ascii="Times New Roman" w:hAnsi="Times New Roman" w:cs="Times New Roman"/>
          <w:sz w:val="31"/>
          <w:szCs w:val="31"/>
        </w:rPr>
        <w:t>”</w:t>
      </w:r>
      <w:r>
        <w:rPr>
          <w:rFonts w:hint="eastAsia" w:ascii="方正仿宋_GBK" w:hAnsi="方正仿宋_GBK" w:eastAsia="方正仿宋_GBK" w:cs="方正仿宋_GBK"/>
          <w:sz w:val="31"/>
          <w:szCs w:val="31"/>
        </w:rPr>
        <w:t>期间重点聚焦老年人面临家庭和个人难以应对的失能、残疾、无人照顾等困难的基本养老服务需求，发展养老事业和养老产业，优化孤寡老人服务。到</w:t>
      </w:r>
      <w:r>
        <w:rPr>
          <w:rFonts w:hint="default" w:ascii="Times New Roman" w:hAnsi="Times New Roman" w:cs="Times New Roman"/>
          <w:sz w:val="31"/>
          <w:szCs w:val="31"/>
        </w:rPr>
        <w:t>2025</w:t>
      </w:r>
      <w:r>
        <w:rPr>
          <w:rFonts w:hint="eastAsia" w:ascii="方正仿宋_GBK" w:hAnsi="方正仿宋_GBK" w:eastAsia="方正仿宋_GBK" w:cs="方正仿宋_GBK"/>
          <w:sz w:val="31"/>
          <w:szCs w:val="31"/>
        </w:rPr>
        <w:t>年，全市基本养老服务体系更加健全，基本养老服务供给不断扩大优化，有效实现全体老年人享有基本养老服务。</w:t>
      </w:r>
    </w:p>
    <w:p w14:paraId="1A7B5D0A">
      <w:pPr>
        <w:pStyle w:val="3"/>
        <w:keepNext w:val="0"/>
        <w:keepLines w:val="0"/>
        <w:widowControl/>
        <w:suppressLineNumbers w:val="0"/>
        <w:autoSpaceDE w:val="0"/>
        <w:autoSpaceDN/>
        <w:ind w:left="0" w:firstLine="645"/>
      </w:pPr>
      <w:r>
        <w:rPr>
          <w:rFonts w:hint="eastAsia" w:ascii="方正黑体_GBK" w:hAnsi="方正黑体_GBK" w:eastAsia="方正黑体_GBK" w:cs="方正黑体_GBK"/>
          <w:sz w:val="31"/>
          <w:szCs w:val="31"/>
        </w:rPr>
        <w:t>二、重点工作</w:t>
      </w:r>
    </w:p>
    <w:p w14:paraId="015E80EA">
      <w:pPr>
        <w:pStyle w:val="3"/>
        <w:keepNext w:val="0"/>
        <w:keepLines w:val="0"/>
        <w:widowControl/>
        <w:suppressLineNumbers w:val="0"/>
        <w:autoSpaceDE w:val="0"/>
        <w:autoSpaceDN/>
        <w:ind w:left="0" w:firstLine="645"/>
        <w:jc w:val="both"/>
      </w:pPr>
      <w:r>
        <w:rPr>
          <w:rFonts w:hint="eastAsia" w:ascii="方正楷体_GBK" w:hAnsi="方正楷体_GBK" w:eastAsia="方正楷体_GBK" w:cs="方正楷体_GBK"/>
          <w:sz w:val="31"/>
          <w:szCs w:val="31"/>
        </w:rPr>
        <w:t>（一）强化制度执行，落实完善基本养老服务清单</w:t>
      </w:r>
    </w:p>
    <w:p w14:paraId="07FCC583">
      <w:pPr>
        <w:pStyle w:val="3"/>
        <w:keepNext w:val="0"/>
        <w:keepLines w:val="0"/>
        <w:widowControl/>
        <w:suppressLineNumbers w:val="0"/>
        <w:autoSpaceDE w:val="0"/>
        <w:autoSpaceDN/>
        <w:ind w:left="0" w:firstLine="645"/>
      </w:pPr>
      <w:r>
        <w:rPr>
          <w:rFonts w:hint="eastAsia" w:ascii="方正仿宋_GBK" w:hAnsi="方正仿宋_GBK" w:eastAsia="方正仿宋_GBK" w:cs="方正仿宋_GBK"/>
          <w:sz w:val="31"/>
          <w:szCs w:val="31"/>
        </w:rPr>
        <w:t>结合曲靖经济社会发展水平，坚持尽力而为、量力而行，着力解决老年人群众急难愁盼问题，制订并严格落实《曲靖市基本养老服务清单》（见附件）。曲靖市养老服务联席会议办公室根据经济社会发展水平和财力状况适时组织修订完善。各县（市、区）、曲靖经开区研究制订具体实施方案和清单，确保有关任务落实落细。县级清单内容应包含市级清单服务项目，且覆盖范围和实现程度不得低于市级清单。到</w:t>
      </w:r>
      <w:r>
        <w:rPr>
          <w:rFonts w:hint="default" w:ascii="Times New Roman" w:hAnsi="Times New Roman" w:cs="Times New Roman"/>
          <w:sz w:val="31"/>
          <w:szCs w:val="31"/>
        </w:rPr>
        <w:t>2025</w:t>
      </w:r>
      <w:r>
        <w:rPr>
          <w:rFonts w:hint="eastAsia" w:ascii="方正仿宋_GBK" w:hAnsi="方正仿宋_GBK" w:eastAsia="方正仿宋_GBK" w:cs="方正仿宋_GBK"/>
          <w:sz w:val="31"/>
          <w:szCs w:val="31"/>
        </w:rPr>
        <w:t>年，基本养老服务清单不断完善。</w:t>
      </w:r>
      <w:r>
        <w:rPr>
          <w:rFonts w:hint="eastAsia" w:ascii="方正楷体_GBK" w:hAnsi="方正楷体_GBK" w:eastAsia="方正楷体_GBK" w:cs="方正楷体_GBK"/>
          <w:sz w:val="31"/>
          <w:szCs w:val="31"/>
        </w:rPr>
        <w:t>（牵头单位：市民政局；责任单位：市养老服务联席会议成员单位，各县市区人民政府，曲靖经开区管委会）</w:t>
      </w:r>
    </w:p>
    <w:p w14:paraId="6094C00C">
      <w:pPr>
        <w:pStyle w:val="3"/>
        <w:keepNext w:val="0"/>
        <w:keepLines w:val="0"/>
        <w:widowControl/>
        <w:suppressLineNumbers w:val="0"/>
        <w:autoSpaceDE w:val="0"/>
        <w:autoSpaceDN/>
        <w:ind w:left="0" w:firstLine="645"/>
        <w:jc w:val="both"/>
      </w:pPr>
      <w:r>
        <w:rPr>
          <w:rFonts w:hint="eastAsia" w:ascii="方正楷体_GBK" w:hAnsi="方正楷体_GBK" w:eastAsia="方正楷体_GBK" w:cs="方正楷体_GBK"/>
          <w:sz w:val="31"/>
          <w:szCs w:val="31"/>
        </w:rPr>
        <w:t>（二）精准对接需求，完善基本养老服务保障机制</w:t>
      </w:r>
    </w:p>
    <w:p w14:paraId="331675C5">
      <w:pPr>
        <w:pStyle w:val="3"/>
        <w:keepNext w:val="0"/>
        <w:keepLines w:val="0"/>
        <w:widowControl/>
        <w:suppressLineNumbers w:val="0"/>
        <w:autoSpaceDE w:val="0"/>
        <w:autoSpaceDN/>
        <w:ind w:left="0" w:firstLine="645"/>
      </w:pPr>
      <w:r>
        <w:rPr>
          <w:rStyle w:val="6"/>
          <w:rFonts w:hint="default" w:ascii="Times New Roman" w:hAnsi="Times New Roman" w:cs="Times New Roman"/>
          <w:b/>
          <w:sz w:val="31"/>
          <w:szCs w:val="31"/>
        </w:rPr>
        <w:t>1.</w:t>
      </w:r>
      <w:r>
        <w:rPr>
          <w:rStyle w:val="6"/>
          <w:rFonts w:hint="eastAsia" w:ascii="方正仿宋_GBK" w:hAnsi="方正仿宋_GBK" w:eastAsia="方正仿宋_GBK" w:cs="方正仿宋_GBK"/>
          <w:b/>
          <w:sz w:val="31"/>
          <w:szCs w:val="31"/>
        </w:rPr>
        <w:t>建立基本养老服务主动响应机制。加强基本养老服务统计信息化体系建设，</w:t>
      </w:r>
      <w:r>
        <w:rPr>
          <w:rFonts w:hint="eastAsia" w:ascii="方正仿宋_GBK" w:hAnsi="方正仿宋_GBK" w:eastAsia="方正仿宋_GBK" w:cs="方正仿宋_GBK"/>
          <w:sz w:val="31"/>
          <w:szCs w:val="31"/>
        </w:rPr>
        <w:t>对全市老年人状况、基本养老服务项目实施情况开展统计调查，适时发布基本养老服务统计数据。依托国家人口基础信息库推进基本养老服务对象信息、服务保障信息统一归集、互认和开放共享。融入</w:t>
      </w:r>
      <w:r>
        <w:rPr>
          <w:rFonts w:hint="default" w:ascii="Times New Roman" w:hAnsi="Times New Roman" w:cs="Times New Roman"/>
          <w:sz w:val="31"/>
          <w:szCs w:val="31"/>
        </w:rPr>
        <w:t>“</w:t>
      </w:r>
      <w:r>
        <w:rPr>
          <w:rFonts w:hint="eastAsia" w:ascii="方正仿宋_GBK" w:hAnsi="方正仿宋_GBK" w:eastAsia="方正仿宋_GBK" w:cs="方正仿宋_GBK"/>
          <w:sz w:val="31"/>
          <w:szCs w:val="31"/>
        </w:rPr>
        <w:t>智慧民政</w:t>
      </w:r>
      <w:r>
        <w:rPr>
          <w:rFonts w:hint="default" w:ascii="Times New Roman" w:hAnsi="Times New Roman" w:cs="Times New Roman"/>
          <w:sz w:val="31"/>
          <w:szCs w:val="31"/>
        </w:rPr>
        <w:t>”</w:t>
      </w:r>
      <w:r>
        <w:rPr>
          <w:rFonts w:hint="eastAsia" w:ascii="方正仿宋_GBK" w:hAnsi="方正仿宋_GBK" w:eastAsia="方正仿宋_GBK" w:cs="方正仿宋_GBK"/>
          <w:sz w:val="31"/>
          <w:szCs w:val="31"/>
        </w:rPr>
        <w:t>、</w:t>
      </w:r>
      <w:r>
        <w:rPr>
          <w:rFonts w:hint="default" w:ascii="Times New Roman" w:hAnsi="Times New Roman" w:cs="Times New Roman"/>
          <w:sz w:val="31"/>
          <w:szCs w:val="31"/>
        </w:rPr>
        <w:t>“</w:t>
      </w:r>
      <w:r>
        <w:rPr>
          <w:rFonts w:hint="eastAsia" w:ascii="方正仿宋_GBK" w:hAnsi="方正仿宋_GBK" w:eastAsia="方正仿宋_GBK" w:cs="方正仿宋_GBK"/>
          <w:sz w:val="31"/>
          <w:szCs w:val="31"/>
        </w:rPr>
        <w:t>智慧社区</w:t>
      </w:r>
      <w:r>
        <w:rPr>
          <w:rFonts w:hint="default" w:ascii="Times New Roman" w:hAnsi="Times New Roman" w:cs="Times New Roman"/>
          <w:sz w:val="31"/>
          <w:szCs w:val="31"/>
        </w:rPr>
        <w:t>”</w:t>
      </w:r>
      <w:r>
        <w:rPr>
          <w:rFonts w:hint="eastAsia" w:ascii="方正仿宋_GBK" w:hAnsi="方正仿宋_GBK" w:eastAsia="方正仿宋_GBK" w:cs="方正仿宋_GBK"/>
          <w:sz w:val="31"/>
          <w:szCs w:val="31"/>
        </w:rPr>
        <w:t>建设，提供政策咨询、信息查询、业务办理等便民养老服务。</w:t>
      </w:r>
      <w:r>
        <w:rPr>
          <w:rStyle w:val="6"/>
          <w:rFonts w:hint="eastAsia" w:ascii="方正仿宋_GBK" w:hAnsi="方正仿宋_GBK" w:eastAsia="方正仿宋_GBK" w:cs="方正仿宋_GBK"/>
          <w:b/>
          <w:sz w:val="31"/>
          <w:szCs w:val="31"/>
        </w:rPr>
        <w:t>按老年人能力综合评估国家标准开展老年人能力综合评估，</w:t>
      </w:r>
      <w:r>
        <w:rPr>
          <w:rFonts w:hint="eastAsia" w:ascii="方正仿宋_GBK" w:hAnsi="方正仿宋_GBK" w:eastAsia="方正仿宋_GBK" w:cs="方正仿宋_GBK"/>
          <w:sz w:val="31"/>
          <w:szCs w:val="31"/>
        </w:rPr>
        <w:t>对应用评估结论享受补贴政策的失能、部分失能老年人实施免费评估，通过信息化手段，实现不同申请来源的</w:t>
      </w:r>
      <w:r>
        <w:fldChar w:fldCharType="begin"/>
      </w:r>
      <w:r>
        <w:instrText xml:space="preserve"> HYPERLINK "https://www.yanglaocn.com/shtml/20211230/1640827839129837.html" \o "老年人能力评估" </w:instrText>
      </w:r>
      <w:r>
        <w:fldChar w:fldCharType="separate"/>
      </w:r>
      <w:r>
        <w:rPr>
          <w:rStyle w:val="7"/>
          <w:rFonts w:hint="eastAsia" w:ascii="方正仿宋_GBK" w:hAnsi="方正仿宋_GBK" w:eastAsia="方正仿宋_GBK" w:cs="方正仿宋_GBK"/>
          <w:sz w:val="31"/>
          <w:szCs w:val="31"/>
        </w:rPr>
        <w:t>老年人能力评估</w:t>
      </w:r>
      <w:r>
        <w:fldChar w:fldCharType="end"/>
      </w:r>
      <w:r>
        <w:rPr>
          <w:rFonts w:hint="eastAsia" w:ascii="方正仿宋_GBK" w:hAnsi="方正仿宋_GBK" w:eastAsia="方正仿宋_GBK" w:cs="方正仿宋_GBK"/>
          <w:sz w:val="31"/>
          <w:szCs w:val="31"/>
        </w:rPr>
        <w:t>结果互认共享、按需使用。能力评估与基本公共服务结合，与健康状况评估相衔接。</w:t>
      </w:r>
      <w:r>
        <w:rPr>
          <w:rStyle w:val="6"/>
          <w:rFonts w:hint="eastAsia" w:ascii="方正仿宋_GBK" w:hAnsi="方正仿宋_GBK" w:eastAsia="方正仿宋_GBK" w:cs="方正仿宋_GBK"/>
          <w:b/>
          <w:sz w:val="31"/>
          <w:szCs w:val="31"/>
        </w:rPr>
        <w:t>推动基本养老服务</w:t>
      </w:r>
      <w:r>
        <w:rPr>
          <w:rStyle w:val="6"/>
          <w:rFonts w:hint="default" w:ascii="Times New Roman" w:hAnsi="Times New Roman" w:cs="Times New Roman"/>
          <w:b/>
          <w:sz w:val="31"/>
          <w:szCs w:val="31"/>
        </w:rPr>
        <w:t>“</w:t>
      </w:r>
      <w:r>
        <w:rPr>
          <w:rStyle w:val="6"/>
          <w:rFonts w:hint="eastAsia" w:ascii="方正仿宋_GBK" w:hAnsi="方正仿宋_GBK" w:eastAsia="方正仿宋_GBK" w:cs="方正仿宋_GBK"/>
          <w:b/>
          <w:sz w:val="31"/>
          <w:szCs w:val="31"/>
        </w:rPr>
        <w:t>政策找人</w:t>
      </w:r>
      <w:r>
        <w:rPr>
          <w:rStyle w:val="6"/>
          <w:rFonts w:hint="default" w:ascii="Times New Roman" w:hAnsi="Times New Roman" w:cs="Times New Roman"/>
          <w:b/>
          <w:sz w:val="31"/>
          <w:szCs w:val="31"/>
        </w:rPr>
        <w:t>”</w:t>
      </w:r>
      <w:r>
        <w:rPr>
          <w:rFonts w:hint="eastAsia" w:ascii="方正仿宋_GBK" w:hAnsi="方正仿宋_GBK" w:eastAsia="方正仿宋_GBK" w:cs="方正仿宋_GBK"/>
          <w:sz w:val="31"/>
          <w:szCs w:val="31"/>
        </w:rPr>
        <w:t>，依托市大数据中心和</w:t>
      </w:r>
      <w:r>
        <w:rPr>
          <w:rFonts w:hint="default" w:ascii="Times New Roman" w:hAnsi="Times New Roman" w:cs="Times New Roman"/>
          <w:sz w:val="31"/>
          <w:szCs w:val="31"/>
        </w:rPr>
        <w:t>“</w:t>
      </w:r>
      <w:r>
        <w:rPr>
          <w:rFonts w:hint="eastAsia" w:ascii="方正仿宋_GBK" w:hAnsi="方正仿宋_GBK" w:eastAsia="方正仿宋_GBK" w:cs="方正仿宋_GBK"/>
          <w:sz w:val="31"/>
          <w:szCs w:val="31"/>
        </w:rPr>
        <w:t>智慧民政</w:t>
      </w:r>
      <w:r>
        <w:rPr>
          <w:rFonts w:hint="default" w:ascii="Times New Roman" w:hAnsi="Times New Roman" w:cs="Times New Roman"/>
          <w:sz w:val="31"/>
          <w:szCs w:val="31"/>
        </w:rPr>
        <w:t>”</w:t>
      </w:r>
      <w:r>
        <w:rPr>
          <w:rFonts w:hint="eastAsia" w:ascii="方正仿宋_GBK" w:hAnsi="方正仿宋_GBK" w:eastAsia="方正仿宋_GBK" w:cs="方正仿宋_GBK"/>
          <w:sz w:val="31"/>
          <w:szCs w:val="31"/>
        </w:rPr>
        <w:t>等信息平台，推进跨部门数据共享，建立困难、失能、高龄老年人精准识别和动态管理机制，逐步实现从</w:t>
      </w:r>
      <w:r>
        <w:rPr>
          <w:rFonts w:hint="default" w:ascii="Times New Roman" w:hAnsi="Times New Roman" w:cs="Times New Roman"/>
          <w:sz w:val="31"/>
          <w:szCs w:val="31"/>
        </w:rPr>
        <w:t>“</w:t>
      </w:r>
      <w:r>
        <w:rPr>
          <w:rFonts w:hint="eastAsia" w:ascii="方正仿宋_GBK" w:hAnsi="方正仿宋_GBK" w:eastAsia="方正仿宋_GBK" w:cs="方正仿宋_GBK"/>
          <w:sz w:val="31"/>
          <w:szCs w:val="31"/>
        </w:rPr>
        <w:t>人找服务</w:t>
      </w:r>
      <w:r>
        <w:rPr>
          <w:rFonts w:hint="default" w:ascii="Times New Roman" w:hAnsi="Times New Roman" w:cs="Times New Roman"/>
          <w:sz w:val="31"/>
          <w:szCs w:val="31"/>
        </w:rPr>
        <w:t>”</w:t>
      </w:r>
      <w:r>
        <w:rPr>
          <w:rFonts w:hint="eastAsia" w:ascii="方正仿宋_GBK" w:hAnsi="方正仿宋_GBK" w:eastAsia="方正仿宋_GBK" w:cs="方正仿宋_GBK"/>
          <w:sz w:val="31"/>
          <w:szCs w:val="31"/>
        </w:rPr>
        <w:t>到</w:t>
      </w:r>
      <w:r>
        <w:rPr>
          <w:rFonts w:hint="default" w:ascii="Times New Roman" w:hAnsi="Times New Roman" w:cs="Times New Roman"/>
          <w:sz w:val="31"/>
          <w:szCs w:val="31"/>
        </w:rPr>
        <w:t>“</w:t>
      </w:r>
      <w:r>
        <w:rPr>
          <w:rFonts w:hint="eastAsia" w:ascii="方正仿宋_GBK" w:hAnsi="方正仿宋_GBK" w:eastAsia="方正仿宋_GBK" w:cs="方正仿宋_GBK"/>
          <w:sz w:val="31"/>
          <w:szCs w:val="31"/>
        </w:rPr>
        <w:t>服务找人</w:t>
      </w:r>
      <w:r>
        <w:rPr>
          <w:rFonts w:hint="default" w:ascii="Times New Roman" w:hAnsi="Times New Roman" w:cs="Times New Roman"/>
          <w:sz w:val="31"/>
          <w:szCs w:val="31"/>
        </w:rPr>
        <w:t>”</w:t>
      </w:r>
      <w:r>
        <w:rPr>
          <w:rFonts w:hint="eastAsia" w:ascii="方正仿宋_GBK" w:hAnsi="方正仿宋_GBK" w:eastAsia="方正仿宋_GBK" w:cs="方正仿宋_GBK"/>
          <w:sz w:val="31"/>
          <w:szCs w:val="31"/>
        </w:rPr>
        <w:t>。推进养老服务认证工作。</w:t>
      </w:r>
      <w:r>
        <w:rPr>
          <w:rStyle w:val="6"/>
          <w:rFonts w:hint="eastAsia" w:ascii="方正仿宋_GBK" w:hAnsi="方正仿宋_GBK" w:eastAsia="方正仿宋_GBK" w:cs="方正仿宋_GBK"/>
          <w:b/>
          <w:sz w:val="31"/>
          <w:szCs w:val="31"/>
        </w:rPr>
        <w:t>强化残疾老年人养老服务保障，</w:t>
      </w:r>
      <w:r>
        <w:rPr>
          <w:rFonts w:hint="eastAsia" w:ascii="方正仿宋_GBK" w:hAnsi="方正仿宋_GBK" w:eastAsia="方正仿宋_GBK" w:cs="方正仿宋_GBK"/>
          <w:sz w:val="31"/>
          <w:szCs w:val="31"/>
        </w:rPr>
        <w:t>推动在残疾老年人身份识别、待遇享受、服务递送、无障碍环境建设等方面实现资源整合。</w:t>
      </w:r>
      <w:r>
        <w:rPr>
          <w:rStyle w:val="6"/>
          <w:rFonts w:hint="eastAsia" w:ascii="方正仿宋_GBK" w:hAnsi="方正仿宋_GBK" w:eastAsia="方正仿宋_GBK" w:cs="方正仿宋_GBK"/>
          <w:b/>
          <w:sz w:val="31"/>
          <w:szCs w:val="31"/>
        </w:rPr>
        <w:t>推进</w:t>
      </w:r>
      <w:r>
        <w:rPr>
          <w:rStyle w:val="6"/>
          <w:rFonts w:hint="default" w:ascii="Times New Roman" w:hAnsi="Times New Roman" w:cs="Times New Roman"/>
          <w:b/>
          <w:sz w:val="31"/>
          <w:szCs w:val="31"/>
        </w:rPr>
        <w:t>“</w:t>
      </w:r>
      <w:r>
        <w:rPr>
          <w:rStyle w:val="6"/>
          <w:rFonts w:hint="eastAsia" w:ascii="方正仿宋_GBK" w:hAnsi="方正仿宋_GBK" w:eastAsia="方正仿宋_GBK" w:cs="方正仿宋_GBK"/>
          <w:b/>
          <w:sz w:val="31"/>
          <w:szCs w:val="31"/>
        </w:rPr>
        <w:t>五社联动</w:t>
      </w:r>
      <w:r>
        <w:rPr>
          <w:rStyle w:val="6"/>
          <w:rFonts w:hint="default" w:ascii="Times New Roman" w:hAnsi="Times New Roman" w:cs="Times New Roman"/>
          <w:b/>
          <w:sz w:val="31"/>
          <w:szCs w:val="31"/>
        </w:rPr>
        <w:t>”</w:t>
      </w:r>
      <w:r>
        <w:rPr>
          <w:rStyle w:val="6"/>
          <w:rFonts w:hint="eastAsia" w:ascii="方正仿宋_GBK" w:hAnsi="方正仿宋_GBK" w:eastAsia="方正仿宋_GBK" w:cs="方正仿宋_GBK"/>
          <w:b/>
          <w:sz w:val="31"/>
          <w:szCs w:val="31"/>
        </w:rPr>
        <w:t>探访关爱老年人，</w:t>
      </w:r>
      <w:r>
        <w:rPr>
          <w:rFonts w:hint="eastAsia" w:ascii="方正仿宋_GBK" w:hAnsi="方正仿宋_GBK" w:eastAsia="方正仿宋_GBK" w:cs="方正仿宋_GBK"/>
          <w:sz w:val="31"/>
          <w:szCs w:val="31"/>
        </w:rPr>
        <w:t>推动实施网格化管理，面向独居、空巢、留守、失能、重残、贫困、计划生育特殊家庭等老年群体，落实分层分类的差异化探访制度，及时提供相应的援助服务。</w:t>
      </w:r>
      <w:r>
        <w:rPr>
          <w:rFonts w:hint="eastAsia" w:ascii="方正楷体_GBK" w:hAnsi="方正楷体_GBK" w:eastAsia="方正楷体_GBK" w:cs="方正楷体_GBK"/>
          <w:sz w:val="31"/>
          <w:szCs w:val="31"/>
        </w:rPr>
        <w:t>（牵头单位：市民政局；责任单位：市人力资源社会保障局、市卫生健康委、市市场监管局、市公安局、市医保局、市财政局，各县市区人民政府，曲靖经开区管委会）</w:t>
      </w:r>
    </w:p>
    <w:p w14:paraId="162F7890">
      <w:pPr>
        <w:pStyle w:val="3"/>
        <w:keepNext w:val="0"/>
        <w:keepLines w:val="0"/>
        <w:widowControl/>
        <w:suppressLineNumbers w:val="0"/>
        <w:autoSpaceDE w:val="0"/>
        <w:autoSpaceDN/>
        <w:ind w:left="0" w:firstLine="645"/>
      </w:pPr>
      <w:r>
        <w:rPr>
          <w:rStyle w:val="6"/>
          <w:rFonts w:hint="default" w:ascii="Times New Roman" w:hAnsi="Times New Roman" w:cs="Times New Roman"/>
          <w:b/>
          <w:i w:val="0"/>
          <w:color w:val="000000"/>
          <w:spacing w:val="0"/>
          <w:sz w:val="31"/>
          <w:szCs w:val="31"/>
          <w:shd w:val="clear" w:color="auto" w:fill="FFFFFF"/>
        </w:rPr>
        <w:t>2.</w:t>
      </w:r>
      <w:r>
        <w:rPr>
          <w:rStyle w:val="6"/>
          <w:rFonts w:hint="eastAsia" w:ascii="方正仿宋_GBK" w:hAnsi="方正仿宋_GBK" w:eastAsia="方正仿宋_GBK" w:cs="方正仿宋_GBK"/>
          <w:b/>
          <w:i w:val="0"/>
          <w:color w:val="000000"/>
          <w:spacing w:val="0"/>
          <w:sz w:val="31"/>
          <w:szCs w:val="31"/>
          <w:shd w:val="clear" w:color="auto" w:fill="FFFFFF"/>
        </w:rPr>
        <w:t>织牢基本养老服务社会保障网。完善基本养老保险和</w:t>
      </w:r>
      <w:r>
        <w:rPr>
          <w:rFonts w:hint="eastAsia"/>
        </w:rPr>
        <w:t>基本</w:t>
      </w:r>
      <w:r>
        <w:rPr>
          <w:rFonts w:hint="eastAsia"/>
          <w:lang w:eastAsia="zh-CN"/>
        </w:rPr>
        <w:t>基本医疗保险体系</w:t>
      </w:r>
      <w:r>
        <w:rPr>
          <w:rStyle w:val="6"/>
          <w:rFonts w:hint="eastAsia" w:ascii="方正仿宋_GBK" w:hAnsi="方正仿宋_GBK" w:eastAsia="方正仿宋_GBK" w:cs="方正仿宋_GBK"/>
          <w:b/>
          <w:i w:val="0"/>
          <w:color w:val="000000"/>
          <w:spacing w:val="0"/>
          <w:sz w:val="31"/>
          <w:szCs w:val="31"/>
          <w:shd w:val="clear" w:color="auto" w:fill="FFFFFF"/>
        </w:rPr>
        <w:t>，</w:t>
      </w:r>
      <w:r>
        <w:rPr>
          <w:rFonts w:hint="eastAsia" w:ascii="方正仿宋_GBK" w:hAnsi="方正仿宋_GBK" w:eastAsia="方正仿宋_GBK" w:cs="方正仿宋_GBK"/>
          <w:sz w:val="31"/>
          <w:szCs w:val="31"/>
        </w:rPr>
        <w:t>扩大社会保险覆盖面，健全基本养老、基本医疗保险筹资和待遇调整机制</w:t>
      </w:r>
      <w:r>
        <w:rPr>
          <w:rFonts w:hint="eastAsia" w:ascii="方正仿宋_GBK" w:hAnsi="方正仿宋_GBK" w:eastAsia="方正仿宋_GBK" w:cs="方正仿宋_GBK"/>
          <w:i w:val="0"/>
          <w:color w:val="000000"/>
          <w:spacing w:val="0"/>
          <w:sz w:val="31"/>
          <w:szCs w:val="31"/>
          <w:shd w:val="clear" w:color="auto" w:fill="FFFFFF"/>
        </w:rPr>
        <w:t>，确保养老金按时足额发放。探索</w:t>
      </w:r>
      <w:r>
        <w:rPr>
          <w:rFonts w:hint="eastAsia" w:ascii="方正仿宋_GBK" w:hAnsi="方正仿宋_GBK" w:eastAsia="方正仿宋_GBK" w:cs="方正仿宋_GBK"/>
          <w:sz w:val="31"/>
          <w:szCs w:val="31"/>
        </w:rPr>
        <w:t>建立老年人社会救助、社会福利和社会保险相衔接的长期照护保障制度，建立实施长期护理保险制度</w:t>
      </w:r>
      <w:r>
        <w:rPr>
          <w:rFonts w:hint="eastAsia" w:ascii="方正仿宋_GBK" w:hAnsi="方正仿宋_GBK" w:eastAsia="方正仿宋_GBK" w:cs="方正仿宋_GBK"/>
          <w:i w:val="0"/>
          <w:color w:val="000000"/>
          <w:spacing w:val="0"/>
          <w:sz w:val="31"/>
          <w:szCs w:val="31"/>
          <w:shd w:val="clear" w:color="auto" w:fill="FFFFFF"/>
        </w:rPr>
        <w:t>。</w:t>
      </w:r>
      <w:r>
        <w:rPr>
          <w:rStyle w:val="6"/>
          <w:rFonts w:hint="eastAsia" w:ascii="方正仿宋_GBK" w:hAnsi="方正仿宋_GBK" w:eastAsia="方正仿宋_GBK" w:cs="方正仿宋_GBK"/>
          <w:b/>
          <w:i w:val="0"/>
          <w:color w:val="000000"/>
          <w:spacing w:val="0"/>
          <w:sz w:val="31"/>
          <w:szCs w:val="31"/>
          <w:shd w:val="clear" w:color="auto" w:fill="FFFFFF"/>
        </w:rPr>
        <w:t>提高特困供养保障水平，</w:t>
      </w:r>
      <w:r>
        <w:rPr>
          <w:rFonts w:hint="eastAsia" w:ascii="方正仿宋_GBK" w:hAnsi="方正仿宋_GBK" w:eastAsia="方正仿宋_GBK" w:cs="方正仿宋_GBK"/>
          <w:i w:val="0"/>
          <w:color w:val="000000"/>
          <w:spacing w:val="0"/>
          <w:sz w:val="31"/>
          <w:szCs w:val="31"/>
          <w:shd w:val="clear" w:color="auto" w:fill="FFFFFF"/>
        </w:rPr>
        <w:t>稳步提高特困人员供养标准和照料护理标准，切实维护其基本生活权益。</w:t>
      </w:r>
      <w:r>
        <w:rPr>
          <w:rStyle w:val="6"/>
          <w:rFonts w:hint="eastAsia" w:ascii="方正仿宋_GBK" w:hAnsi="方正仿宋_GBK" w:eastAsia="方正仿宋_GBK" w:cs="方正仿宋_GBK"/>
          <w:b/>
          <w:i w:val="0"/>
          <w:color w:val="000000"/>
          <w:spacing w:val="0"/>
          <w:sz w:val="31"/>
          <w:szCs w:val="31"/>
          <w:shd w:val="clear" w:color="auto" w:fill="FFFFFF"/>
        </w:rPr>
        <w:t>完善救助福利保障制度，</w:t>
      </w:r>
      <w:r>
        <w:rPr>
          <w:rFonts w:hint="eastAsia" w:ascii="方正仿宋_GBK" w:hAnsi="方正仿宋_GBK" w:eastAsia="方正仿宋_GBK" w:cs="方正仿宋_GBK"/>
          <w:i w:val="0"/>
          <w:color w:val="000000"/>
          <w:spacing w:val="0"/>
          <w:sz w:val="31"/>
          <w:szCs w:val="31"/>
          <w:shd w:val="clear" w:color="auto" w:fill="FFFFFF"/>
        </w:rPr>
        <w:t>落实经济困难的失能老年人护理补贴、困难残疾人生活补贴、重度残疾人护理补贴制度，帮助其解决实际困难。</w:t>
      </w:r>
      <w:r>
        <w:rPr>
          <w:rStyle w:val="6"/>
          <w:rFonts w:hint="eastAsia" w:ascii="方正仿宋_GBK" w:hAnsi="方正仿宋_GBK" w:eastAsia="方正仿宋_GBK" w:cs="方正仿宋_GBK"/>
          <w:b/>
          <w:i w:val="0"/>
          <w:color w:val="000000"/>
          <w:spacing w:val="0"/>
          <w:sz w:val="31"/>
          <w:szCs w:val="31"/>
          <w:shd w:val="clear" w:color="auto" w:fill="FFFFFF"/>
        </w:rPr>
        <w:t>健全老年人福利补贴制度</w:t>
      </w:r>
      <w:r>
        <w:rPr>
          <w:rFonts w:hint="eastAsia" w:ascii="方正仿宋_GBK" w:hAnsi="方正仿宋_GBK" w:eastAsia="方正仿宋_GBK" w:cs="方正仿宋_GBK"/>
          <w:i w:val="0"/>
          <w:color w:val="000000"/>
          <w:spacing w:val="0"/>
          <w:sz w:val="31"/>
          <w:szCs w:val="31"/>
          <w:shd w:val="clear" w:color="auto" w:fill="FFFFFF"/>
        </w:rPr>
        <w:t>，为</w:t>
      </w:r>
      <w:r>
        <w:rPr>
          <w:rFonts w:hint="default" w:ascii="Times New Roman" w:hAnsi="Times New Roman" w:cs="Times New Roman"/>
          <w:i w:val="0"/>
          <w:color w:val="000000"/>
          <w:spacing w:val="0"/>
          <w:sz w:val="31"/>
          <w:szCs w:val="31"/>
          <w:shd w:val="clear" w:color="auto" w:fill="FFFFFF"/>
        </w:rPr>
        <w:t>80</w:t>
      </w:r>
      <w:r>
        <w:rPr>
          <w:rFonts w:hint="eastAsia" w:ascii="方正仿宋_GBK" w:hAnsi="方正仿宋_GBK" w:eastAsia="方正仿宋_GBK" w:cs="方正仿宋_GBK"/>
          <w:i w:val="0"/>
          <w:color w:val="000000"/>
          <w:spacing w:val="0"/>
          <w:sz w:val="31"/>
          <w:szCs w:val="31"/>
          <w:shd w:val="clear" w:color="auto" w:fill="FFFFFF"/>
        </w:rPr>
        <w:t>周岁及以上老年人发放高龄津贴，</w:t>
      </w:r>
      <w:r>
        <w:rPr>
          <w:rFonts w:hint="default" w:ascii="Times New Roman" w:hAnsi="Times New Roman" w:cs="Times New Roman"/>
          <w:i w:val="0"/>
          <w:color w:val="000000"/>
          <w:spacing w:val="0"/>
          <w:sz w:val="31"/>
          <w:szCs w:val="31"/>
          <w:shd w:val="clear" w:color="auto" w:fill="FFFFFF"/>
        </w:rPr>
        <w:t>80</w:t>
      </w:r>
      <w:r>
        <w:rPr>
          <w:rFonts w:hint="eastAsia" w:ascii="方正仿宋_GBK" w:hAnsi="方正仿宋_GBK" w:eastAsia="方正仿宋_GBK" w:cs="方正仿宋_GBK"/>
          <w:i w:val="0"/>
          <w:color w:val="000000"/>
          <w:spacing w:val="0"/>
          <w:sz w:val="31"/>
          <w:szCs w:val="31"/>
          <w:shd w:val="clear" w:color="auto" w:fill="FFFFFF"/>
        </w:rPr>
        <w:t>岁以上低保对象和分散供养特困对象发放养老服务补贴，做好与其他福利补贴政策的衔接。</w:t>
      </w:r>
      <w:r>
        <w:rPr>
          <w:rStyle w:val="6"/>
          <w:rFonts w:hint="eastAsia" w:ascii="方正仿宋_GBK" w:hAnsi="方正仿宋_GBK" w:eastAsia="方正仿宋_GBK" w:cs="方正仿宋_GBK"/>
          <w:b/>
          <w:i w:val="0"/>
          <w:color w:val="000000"/>
          <w:spacing w:val="0"/>
          <w:sz w:val="31"/>
          <w:szCs w:val="31"/>
          <w:shd w:val="clear" w:color="auto" w:fill="FFFFFF"/>
        </w:rPr>
        <w:t>完善临时救助制度，</w:t>
      </w:r>
      <w:r>
        <w:rPr>
          <w:rFonts w:hint="eastAsia" w:ascii="方正仿宋_GBK" w:hAnsi="方正仿宋_GBK" w:eastAsia="方正仿宋_GBK" w:cs="方正仿宋_GBK"/>
          <w:i w:val="0"/>
          <w:color w:val="000000"/>
          <w:spacing w:val="0"/>
          <w:sz w:val="31"/>
          <w:szCs w:val="31"/>
          <w:shd w:val="clear" w:color="auto" w:fill="FFFFFF"/>
        </w:rPr>
        <w:t>对生活无着的流浪、乞讨老年人，依照有关规定提供无偿食宿和基本生活用品，解决其遭遇的突发性、紧迫性、临时性基本生活困难。积极寻亲，在规定时间内无法查找到的及时进行安置。</w:t>
      </w:r>
      <w:r>
        <w:rPr>
          <w:rStyle w:val="6"/>
          <w:rFonts w:hint="eastAsia" w:ascii="方正仿宋_GBK" w:hAnsi="方正仿宋_GBK" w:eastAsia="方正仿宋_GBK" w:cs="方正仿宋_GBK"/>
          <w:b/>
          <w:i w:val="0"/>
          <w:color w:val="000000"/>
          <w:spacing w:val="0"/>
          <w:sz w:val="31"/>
          <w:szCs w:val="31"/>
          <w:shd w:val="clear" w:color="auto" w:fill="FFFFFF"/>
        </w:rPr>
        <w:t>强化司法保护</w:t>
      </w:r>
      <w:r>
        <w:rPr>
          <w:rFonts w:hint="eastAsia" w:ascii="方正仿宋_GBK" w:hAnsi="方正仿宋_GBK" w:eastAsia="方正仿宋_GBK" w:cs="方正仿宋_GBK"/>
          <w:i w:val="0"/>
          <w:color w:val="000000"/>
          <w:spacing w:val="0"/>
          <w:sz w:val="31"/>
          <w:szCs w:val="31"/>
          <w:shd w:val="clear" w:color="auto" w:fill="FFFFFF"/>
        </w:rPr>
        <w:t>，</w:t>
      </w:r>
      <w:r>
        <w:rPr>
          <w:rFonts w:hint="eastAsia" w:ascii="方正仿宋_GBK" w:hAnsi="方正仿宋_GBK" w:eastAsia="方正仿宋_GBK" w:cs="方正仿宋_GBK"/>
          <w:sz w:val="31"/>
          <w:szCs w:val="31"/>
        </w:rPr>
        <w:t>维护老年人合法权益，建立健全老年人法律援助和法律服务长效机制。</w:t>
      </w:r>
      <w:r>
        <w:rPr>
          <w:rFonts w:hint="eastAsia" w:ascii="方正楷体_GBK" w:hAnsi="方正楷体_GBK" w:eastAsia="方正楷体_GBK" w:cs="方正楷体_GBK"/>
          <w:sz w:val="31"/>
          <w:szCs w:val="31"/>
        </w:rPr>
        <w:t>（市民政局、市人力资源社会保障局、市卫生健康委、市市场监管局、市公安局、市医保局、市财政局、市司法局按职责分工负责，各县市区人民政府，曲靖经开区管委会具体负责）</w:t>
      </w:r>
    </w:p>
    <w:p w14:paraId="41DF808D">
      <w:pPr>
        <w:pStyle w:val="3"/>
        <w:keepNext w:val="0"/>
        <w:keepLines w:val="0"/>
        <w:widowControl/>
        <w:suppressLineNumbers w:val="0"/>
        <w:autoSpaceDE w:val="0"/>
        <w:autoSpaceDN/>
        <w:ind w:left="0" w:firstLine="645"/>
        <w:jc w:val="both"/>
      </w:pPr>
      <w:r>
        <w:rPr>
          <w:rFonts w:hint="eastAsia" w:ascii="方正楷体_GBK" w:hAnsi="方正楷体_GBK" w:eastAsia="方正楷体_GBK" w:cs="方正楷体_GBK"/>
          <w:sz w:val="31"/>
          <w:szCs w:val="31"/>
        </w:rPr>
        <w:t>（三）增强供给能力，提高基本养老服务便利共享水平</w:t>
      </w:r>
    </w:p>
    <w:p w14:paraId="4CF997EB">
      <w:pPr>
        <w:pStyle w:val="3"/>
        <w:keepNext w:val="0"/>
        <w:keepLines w:val="0"/>
        <w:widowControl/>
        <w:suppressLineNumbers w:val="0"/>
        <w:autoSpaceDE w:val="0"/>
        <w:autoSpaceDN/>
        <w:ind w:left="0" w:firstLine="645"/>
      </w:pPr>
      <w:r>
        <w:rPr>
          <w:rStyle w:val="6"/>
          <w:rFonts w:hint="default" w:ascii="Times New Roman" w:hAnsi="Times New Roman" w:cs="Times New Roman"/>
          <w:b/>
          <w:sz w:val="31"/>
          <w:szCs w:val="31"/>
        </w:rPr>
        <w:t>1.</w:t>
      </w:r>
      <w:r>
        <w:rPr>
          <w:rStyle w:val="6"/>
          <w:rFonts w:hint="eastAsia" w:ascii="方正仿宋_GBK" w:hAnsi="方正仿宋_GBK" w:eastAsia="方正仿宋_GBK" w:cs="方正仿宋_GBK"/>
          <w:b/>
          <w:sz w:val="31"/>
          <w:szCs w:val="31"/>
        </w:rPr>
        <w:t>强化规划布局引领。</w:t>
      </w:r>
      <w:r>
        <w:rPr>
          <w:rFonts w:hint="eastAsia" w:ascii="方正仿宋_GBK" w:hAnsi="方正仿宋_GBK" w:eastAsia="方正仿宋_GBK" w:cs="方正仿宋_GBK"/>
          <w:sz w:val="31"/>
          <w:szCs w:val="31"/>
        </w:rPr>
        <w:t>编制《曲靖市民政社会福利设施国土空间规划》，将养老服务作为重要内容纳入规划。各县（市、区）人民政府编制国土空间总体规划时，应当按照人均用地不少于</w:t>
      </w:r>
      <w:r>
        <w:rPr>
          <w:rFonts w:hint="default" w:ascii="Times New Roman" w:hAnsi="Times New Roman" w:cs="Times New Roman"/>
          <w:sz w:val="31"/>
          <w:szCs w:val="31"/>
        </w:rPr>
        <w:t>0.1</w:t>
      </w:r>
      <w:r>
        <w:rPr>
          <w:rFonts w:hint="eastAsia" w:ascii="方正仿宋_GBK" w:hAnsi="方正仿宋_GBK" w:eastAsia="方正仿宋_GBK" w:cs="方正仿宋_GBK"/>
          <w:sz w:val="31"/>
          <w:szCs w:val="31"/>
        </w:rPr>
        <w:t>平方米的标准分区分级规划养老服务设施。在编制详细规划时，落实养老服务设施用地位置、用地规模、四至范围及配套功能的控制要求。按《曲靖市养老服务促进条例》落实新建城区、住宅小区和老旧小区配建养老服务设施</w:t>
      </w:r>
      <w:r>
        <w:rPr>
          <w:rFonts w:hint="default" w:ascii="Times New Roman" w:hAnsi="Times New Roman" w:cs="Times New Roman"/>
          <w:sz w:val="31"/>
          <w:szCs w:val="31"/>
        </w:rPr>
        <w:t>“</w:t>
      </w:r>
      <w:r>
        <w:rPr>
          <w:rFonts w:hint="eastAsia" w:ascii="方正仿宋_GBK" w:hAnsi="方正仿宋_GBK" w:eastAsia="方正仿宋_GBK" w:cs="方正仿宋_GBK"/>
          <w:sz w:val="31"/>
          <w:szCs w:val="31"/>
        </w:rPr>
        <w:t>四同步</w:t>
      </w:r>
      <w:r>
        <w:rPr>
          <w:rFonts w:hint="default" w:ascii="Times New Roman" w:hAnsi="Times New Roman" w:cs="Times New Roman"/>
          <w:sz w:val="31"/>
          <w:szCs w:val="31"/>
        </w:rPr>
        <w:t>”</w:t>
      </w:r>
      <w:r>
        <w:rPr>
          <w:rFonts w:hint="eastAsia" w:ascii="方正仿宋_GBK" w:hAnsi="方正仿宋_GBK" w:eastAsia="方正仿宋_GBK" w:cs="方正仿宋_GBK"/>
          <w:sz w:val="31"/>
          <w:szCs w:val="31"/>
        </w:rPr>
        <w:t>要求。因小区规模较小、场地限制和周边环境等因素影响，无法在小区内足额配建的按《曲靖中心城区居住区非经营性公共设施管理办法（试行）》实施整合配建。</w:t>
      </w:r>
      <w:r>
        <w:rPr>
          <w:rFonts w:hint="eastAsia" w:ascii="方正楷体_GBK" w:hAnsi="方正楷体_GBK" w:eastAsia="方正楷体_GBK" w:cs="方正楷体_GBK"/>
          <w:sz w:val="31"/>
          <w:szCs w:val="31"/>
        </w:rPr>
        <w:t>（牵头单位：市民政局；责任单位：市自然资源和规划局、市住房和城乡建设局、市财政局，各县市区人民政府，曲靖经开区管委会）</w:t>
      </w:r>
    </w:p>
    <w:p w14:paraId="4BC1C938">
      <w:pPr>
        <w:pStyle w:val="3"/>
        <w:keepNext w:val="0"/>
        <w:keepLines w:val="0"/>
        <w:widowControl/>
        <w:suppressLineNumbers w:val="0"/>
        <w:autoSpaceDE w:val="0"/>
        <w:autoSpaceDN/>
        <w:ind w:left="0" w:firstLine="645"/>
      </w:pPr>
      <w:r>
        <w:rPr>
          <w:rStyle w:val="6"/>
          <w:rFonts w:hint="eastAsia" w:ascii="方正仿宋_GBK" w:hAnsi="方正仿宋_GBK" w:eastAsia="方正仿宋_GBK" w:cs="方正仿宋_GBK"/>
          <w:b/>
          <w:i w:val="0"/>
          <w:color w:val="000000"/>
          <w:spacing w:val="0"/>
          <w:sz w:val="31"/>
          <w:szCs w:val="31"/>
          <w:shd w:val="clear" w:color="auto" w:fill="FFFFFF"/>
        </w:rPr>
        <w:t>2</w:t>
      </w:r>
      <w:r>
        <w:rPr>
          <w:rStyle w:val="6"/>
          <w:rFonts w:hint="default" w:ascii="Times New Roman" w:hAnsi="Times New Roman" w:cs="Times New Roman"/>
          <w:b/>
          <w:i w:val="0"/>
          <w:color w:val="000000"/>
          <w:spacing w:val="0"/>
          <w:sz w:val="31"/>
          <w:szCs w:val="31"/>
          <w:shd w:val="clear" w:color="auto" w:fill="FFFFFF"/>
        </w:rPr>
        <w:t>.</w:t>
      </w:r>
      <w:r>
        <w:rPr>
          <w:rStyle w:val="6"/>
          <w:rFonts w:hint="eastAsia" w:ascii="方正仿宋_GBK" w:hAnsi="方正仿宋_GBK" w:eastAsia="方正仿宋_GBK" w:cs="方正仿宋_GBK"/>
          <w:b/>
          <w:i w:val="0"/>
          <w:color w:val="000000"/>
          <w:spacing w:val="0"/>
          <w:sz w:val="31"/>
          <w:szCs w:val="31"/>
          <w:shd w:val="clear" w:color="auto" w:fill="FFFFFF"/>
        </w:rPr>
        <w:t>发挥公办</w:t>
      </w:r>
      <w:r>
        <w:fldChar w:fldCharType="begin"/>
      </w:r>
      <w:r>
        <w:instrText xml:space="preserve"> HYPERLINK "https://www.yanglaocn.com/shtml/20210716/1626398361127222.html" \o "养老机构" </w:instrText>
      </w:r>
      <w:r>
        <w:fldChar w:fldCharType="separate"/>
      </w:r>
      <w:r>
        <w:rPr>
          <w:rStyle w:val="7"/>
          <w:rFonts w:hint="eastAsia" w:ascii="方正仿宋_GBK" w:hAnsi="方正仿宋_GBK" w:eastAsia="方正仿宋_GBK" w:cs="方正仿宋_GBK"/>
          <w:b/>
          <w:i w:val="0"/>
          <w:color w:val="000000"/>
          <w:spacing w:val="0"/>
          <w:sz w:val="31"/>
          <w:szCs w:val="31"/>
          <w:shd w:val="clear" w:color="auto" w:fill="FFFFFF"/>
        </w:rPr>
        <w:t>养老机构</w:t>
      </w:r>
      <w:r>
        <w:fldChar w:fldCharType="end"/>
      </w:r>
      <w:r>
        <w:rPr>
          <w:rStyle w:val="6"/>
          <w:rFonts w:hint="eastAsia" w:ascii="方正仿宋_GBK" w:hAnsi="方正仿宋_GBK" w:eastAsia="方正仿宋_GBK" w:cs="方正仿宋_GBK"/>
          <w:b/>
          <w:i w:val="0"/>
          <w:color w:val="000000"/>
          <w:spacing w:val="0"/>
          <w:sz w:val="31"/>
          <w:szCs w:val="31"/>
          <w:shd w:val="clear" w:color="auto" w:fill="FFFFFF"/>
        </w:rPr>
        <w:t>兜底、普惠和示范作用。突出公办养老机构公益属性，</w:t>
      </w:r>
      <w:r>
        <w:rPr>
          <w:rFonts w:hint="eastAsia" w:ascii="方正仿宋_GBK" w:hAnsi="方正仿宋_GBK" w:eastAsia="方正仿宋_GBK" w:cs="方正仿宋_GBK"/>
          <w:i w:val="0"/>
          <w:color w:val="000000"/>
          <w:spacing w:val="0"/>
          <w:sz w:val="31"/>
          <w:szCs w:val="31"/>
          <w:shd w:val="clear" w:color="auto" w:fill="FFFFFF"/>
        </w:rPr>
        <w:t>在满足特困供养对象的前提下，优先向经济困难的孤寡、失能、残疾、高龄老年人，以及计划生育特殊家庭、老年人优待抚恤对象提供优惠服务，有条件的农村敬老院可向社会化开放，鼓励民办养老机构、医疗卫生机构经营管理农村敬老院，服务特困供养对象、盘活利用闲置资产，公办养老机构对社会开放产生的收益优先用于兜底保障对象供养服务和提高护理人员薪酬水平。现役军人家属和烈士、因公牺牲军人，病故军人的遗属，符合规定条件申请入住公办养老机构的，同等条件下优先安排。</w:t>
      </w:r>
      <w:r>
        <w:rPr>
          <w:rStyle w:val="6"/>
          <w:rFonts w:hint="eastAsia" w:ascii="方正仿宋_GBK" w:hAnsi="方正仿宋_GBK" w:eastAsia="方正仿宋_GBK" w:cs="方正仿宋_GBK"/>
          <w:b/>
          <w:i w:val="0"/>
          <w:color w:val="000000"/>
          <w:spacing w:val="0"/>
          <w:sz w:val="31"/>
          <w:szCs w:val="31"/>
          <w:shd w:val="clear" w:color="auto" w:fill="FFFFFF"/>
        </w:rPr>
        <w:t>保障特困人员供养服务机构有效运转，</w:t>
      </w:r>
      <w:r>
        <w:rPr>
          <w:rFonts w:hint="eastAsia" w:ascii="方正仿宋_GBK" w:hAnsi="方正仿宋_GBK" w:eastAsia="方正仿宋_GBK" w:cs="方正仿宋_GBK"/>
          <w:i w:val="0"/>
          <w:color w:val="000000"/>
          <w:spacing w:val="0"/>
          <w:sz w:val="31"/>
          <w:szCs w:val="31"/>
          <w:shd w:val="clear" w:color="auto" w:fill="FFFFFF"/>
        </w:rPr>
        <w:t>对有集中供养意愿的特困老年人</w:t>
      </w:r>
      <w:r>
        <w:rPr>
          <w:rFonts w:hint="default" w:ascii="Times New Roman" w:hAnsi="Times New Roman" w:cs="Times New Roman"/>
          <w:i w:val="0"/>
          <w:color w:val="000000"/>
          <w:spacing w:val="0"/>
          <w:sz w:val="31"/>
          <w:szCs w:val="31"/>
          <w:shd w:val="clear" w:color="auto" w:fill="FFFFFF"/>
        </w:rPr>
        <w:t>100%</w:t>
      </w:r>
      <w:r>
        <w:rPr>
          <w:rFonts w:hint="eastAsia" w:ascii="方正仿宋_GBK" w:hAnsi="方正仿宋_GBK" w:eastAsia="方正仿宋_GBK" w:cs="方正仿宋_GBK"/>
          <w:i w:val="0"/>
          <w:color w:val="000000"/>
          <w:spacing w:val="0"/>
          <w:sz w:val="31"/>
          <w:szCs w:val="31"/>
          <w:shd w:val="clear" w:color="auto" w:fill="FFFFFF"/>
        </w:rPr>
        <w:t>实现集中供养，到</w:t>
      </w:r>
      <w:r>
        <w:rPr>
          <w:rFonts w:hint="default" w:ascii="Times New Roman" w:hAnsi="Times New Roman" w:cs="Times New Roman"/>
          <w:i w:val="0"/>
          <w:color w:val="000000"/>
          <w:spacing w:val="0"/>
          <w:sz w:val="31"/>
          <w:szCs w:val="31"/>
          <w:shd w:val="clear" w:color="auto" w:fill="FFFFFF"/>
        </w:rPr>
        <w:t>2023</w:t>
      </w:r>
      <w:r>
        <w:rPr>
          <w:rFonts w:hint="eastAsia" w:ascii="方正仿宋_GBK" w:hAnsi="方正仿宋_GBK" w:eastAsia="方正仿宋_GBK" w:cs="方正仿宋_GBK"/>
          <w:i w:val="0"/>
          <w:color w:val="000000"/>
          <w:spacing w:val="0"/>
          <w:sz w:val="31"/>
          <w:szCs w:val="31"/>
          <w:shd w:val="clear" w:color="auto" w:fill="FFFFFF"/>
        </w:rPr>
        <w:t>年，确保每个县（市、区）至少有</w:t>
      </w:r>
      <w:r>
        <w:rPr>
          <w:rFonts w:hint="default" w:ascii="Times New Roman" w:hAnsi="Times New Roman" w:cs="Times New Roman"/>
          <w:i w:val="0"/>
          <w:color w:val="000000"/>
          <w:spacing w:val="0"/>
          <w:sz w:val="31"/>
          <w:szCs w:val="31"/>
          <w:shd w:val="clear" w:color="auto" w:fill="FFFFFF"/>
        </w:rPr>
        <w:t>1</w:t>
      </w:r>
      <w:r>
        <w:rPr>
          <w:rFonts w:hint="eastAsia" w:ascii="方正仿宋_GBK" w:hAnsi="方正仿宋_GBK" w:eastAsia="方正仿宋_GBK" w:cs="方正仿宋_GBK"/>
          <w:i w:val="0"/>
          <w:color w:val="000000"/>
          <w:spacing w:val="0"/>
          <w:sz w:val="31"/>
          <w:szCs w:val="31"/>
          <w:shd w:val="clear" w:color="auto" w:fill="FFFFFF"/>
        </w:rPr>
        <w:t>所以失能特困人员专业照护为主的县级特困人员供养服务机构。</w:t>
      </w:r>
      <w:r>
        <w:rPr>
          <w:rFonts w:hint="eastAsia" w:ascii="方正楷体_GBK" w:hAnsi="方正楷体_GBK" w:eastAsia="方正楷体_GBK" w:cs="方正楷体_GBK"/>
          <w:sz w:val="31"/>
          <w:szCs w:val="31"/>
        </w:rPr>
        <w:t>（牵头单位：市民政局；责任单位：市财政局、市退役军人事务局、市卫生健康委、市残联，各县市区人民政府，曲靖经开区管委会）</w:t>
      </w:r>
    </w:p>
    <w:p w14:paraId="6CACE67A">
      <w:pPr>
        <w:pStyle w:val="3"/>
        <w:keepNext w:val="0"/>
        <w:keepLines w:val="0"/>
        <w:widowControl/>
        <w:suppressLineNumbers w:val="0"/>
        <w:autoSpaceDE w:val="0"/>
        <w:autoSpaceDN/>
        <w:ind w:left="0" w:firstLine="645"/>
      </w:pPr>
      <w:r>
        <w:rPr>
          <w:rStyle w:val="6"/>
          <w:rFonts w:hint="eastAsia" w:ascii="方正仿宋_GBK" w:hAnsi="方正仿宋_GBK" w:eastAsia="方正仿宋_GBK" w:cs="方正仿宋_GBK"/>
          <w:b/>
          <w:i w:val="0"/>
          <w:color w:val="000000"/>
          <w:spacing w:val="0"/>
          <w:sz w:val="31"/>
          <w:szCs w:val="31"/>
          <w:shd w:val="clear" w:color="auto" w:fill="FFFFFF"/>
        </w:rPr>
        <w:t>3</w:t>
      </w:r>
      <w:r>
        <w:rPr>
          <w:rStyle w:val="6"/>
          <w:rFonts w:hint="default" w:ascii="Times New Roman" w:hAnsi="Times New Roman" w:cs="Times New Roman"/>
          <w:b/>
          <w:i w:val="0"/>
          <w:color w:val="000000"/>
          <w:spacing w:val="0"/>
          <w:sz w:val="31"/>
          <w:szCs w:val="31"/>
          <w:shd w:val="clear" w:color="auto" w:fill="FFFFFF"/>
        </w:rPr>
        <w:t>.</w:t>
      </w:r>
      <w:r>
        <w:rPr>
          <w:rStyle w:val="6"/>
          <w:rFonts w:hint="eastAsia" w:ascii="方正仿宋_GBK" w:hAnsi="方正仿宋_GBK" w:eastAsia="方正仿宋_GBK" w:cs="方正仿宋_GBK"/>
          <w:b/>
          <w:i w:val="0"/>
          <w:color w:val="000000"/>
          <w:spacing w:val="0"/>
          <w:sz w:val="31"/>
          <w:szCs w:val="31"/>
          <w:shd w:val="clear" w:color="auto" w:fill="FFFFFF"/>
        </w:rPr>
        <w:t>优化社区养老服务环境。</w:t>
      </w:r>
      <w:r>
        <w:rPr>
          <w:rFonts w:hint="eastAsia" w:ascii="方正仿宋_GBK" w:hAnsi="方正仿宋_GBK" w:eastAsia="方正仿宋_GBK" w:cs="方正仿宋_GBK"/>
          <w:i w:val="0"/>
          <w:color w:val="212529"/>
          <w:spacing w:val="0"/>
          <w:sz w:val="31"/>
          <w:szCs w:val="31"/>
          <w:shd w:val="clear" w:color="auto" w:fill="FFFFFF"/>
        </w:rPr>
        <w:t>建设</w:t>
      </w:r>
      <w:r>
        <w:rPr>
          <w:rFonts w:hint="default" w:ascii="Times New Roman" w:hAnsi="Times New Roman" w:cs="Times New Roman"/>
          <w:i w:val="0"/>
          <w:color w:val="212529"/>
          <w:spacing w:val="0"/>
          <w:sz w:val="31"/>
          <w:szCs w:val="31"/>
          <w:shd w:val="clear" w:color="auto" w:fill="FFFFFF"/>
        </w:rPr>
        <w:t>“</w:t>
      </w:r>
      <w:r>
        <w:rPr>
          <w:rFonts w:hint="eastAsia" w:ascii="方正仿宋_GBK" w:hAnsi="方正仿宋_GBK" w:eastAsia="方正仿宋_GBK" w:cs="方正仿宋_GBK"/>
          <w:i w:val="0"/>
          <w:color w:val="212529"/>
          <w:spacing w:val="0"/>
          <w:sz w:val="31"/>
          <w:szCs w:val="31"/>
          <w:shd w:val="clear" w:color="auto" w:fill="FFFFFF"/>
        </w:rPr>
        <w:t>街道</w:t>
      </w:r>
      <w:r>
        <w:rPr>
          <w:rFonts w:hint="default" w:ascii="Times New Roman" w:hAnsi="Times New Roman" w:cs="Times New Roman"/>
          <w:i w:val="0"/>
          <w:color w:val="212529"/>
          <w:spacing w:val="0"/>
          <w:sz w:val="31"/>
          <w:szCs w:val="31"/>
          <w:shd w:val="clear" w:color="auto" w:fill="FFFFFF"/>
        </w:rPr>
        <w:t>—</w:t>
      </w:r>
      <w:r>
        <w:rPr>
          <w:rFonts w:hint="eastAsia" w:ascii="方正仿宋_GBK" w:hAnsi="方正仿宋_GBK" w:eastAsia="方正仿宋_GBK" w:cs="方正仿宋_GBK"/>
          <w:i w:val="0"/>
          <w:color w:val="212529"/>
          <w:spacing w:val="0"/>
          <w:sz w:val="31"/>
          <w:szCs w:val="31"/>
          <w:shd w:val="clear" w:color="auto" w:fill="FFFFFF"/>
        </w:rPr>
        <w:t>社区</w:t>
      </w:r>
      <w:r>
        <w:rPr>
          <w:rFonts w:hint="default" w:ascii="Times New Roman" w:hAnsi="Times New Roman" w:cs="Times New Roman"/>
          <w:i w:val="0"/>
          <w:color w:val="212529"/>
          <w:spacing w:val="0"/>
          <w:sz w:val="31"/>
          <w:szCs w:val="31"/>
          <w:shd w:val="clear" w:color="auto" w:fill="FFFFFF"/>
        </w:rPr>
        <w:t>—</w:t>
      </w:r>
      <w:r>
        <w:rPr>
          <w:rFonts w:hint="eastAsia" w:ascii="方正仿宋_GBK" w:hAnsi="方正仿宋_GBK" w:eastAsia="方正仿宋_GBK" w:cs="方正仿宋_GBK"/>
          <w:i w:val="0"/>
          <w:color w:val="212529"/>
          <w:spacing w:val="0"/>
          <w:sz w:val="31"/>
          <w:szCs w:val="31"/>
          <w:shd w:val="clear" w:color="auto" w:fill="FFFFFF"/>
        </w:rPr>
        <w:t>小区</w:t>
      </w:r>
      <w:r>
        <w:rPr>
          <w:rFonts w:hint="default" w:ascii="Times New Roman" w:hAnsi="Times New Roman" w:cs="Times New Roman"/>
          <w:i w:val="0"/>
          <w:color w:val="212529"/>
          <w:spacing w:val="0"/>
          <w:sz w:val="31"/>
          <w:szCs w:val="31"/>
          <w:shd w:val="clear" w:color="auto" w:fill="FFFFFF"/>
        </w:rPr>
        <w:t>—</w:t>
      </w:r>
      <w:r>
        <w:rPr>
          <w:rFonts w:hint="eastAsia" w:ascii="方正仿宋_GBK" w:hAnsi="方正仿宋_GBK" w:eastAsia="方正仿宋_GBK" w:cs="方正仿宋_GBK"/>
          <w:i w:val="0"/>
          <w:color w:val="212529"/>
          <w:spacing w:val="0"/>
          <w:sz w:val="31"/>
          <w:szCs w:val="31"/>
          <w:shd w:val="clear" w:color="auto" w:fill="FFFFFF"/>
        </w:rPr>
        <w:t>家庭</w:t>
      </w:r>
      <w:r>
        <w:rPr>
          <w:rFonts w:hint="default" w:ascii="Times New Roman" w:hAnsi="Times New Roman" w:cs="Times New Roman"/>
          <w:i w:val="0"/>
          <w:color w:val="212529"/>
          <w:spacing w:val="0"/>
          <w:sz w:val="31"/>
          <w:szCs w:val="31"/>
          <w:shd w:val="clear" w:color="auto" w:fill="FFFFFF"/>
        </w:rPr>
        <w:t>”</w:t>
      </w:r>
      <w:r>
        <w:rPr>
          <w:rFonts w:hint="eastAsia" w:ascii="方正仿宋_GBK" w:hAnsi="方正仿宋_GBK" w:eastAsia="方正仿宋_GBK" w:cs="方正仿宋_GBK"/>
          <w:i w:val="0"/>
          <w:color w:val="212529"/>
          <w:spacing w:val="0"/>
          <w:sz w:val="31"/>
          <w:szCs w:val="31"/>
          <w:shd w:val="clear" w:color="auto" w:fill="FFFFFF"/>
        </w:rPr>
        <w:t>城镇地区服务网络，</w:t>
      </w:r>
      <w:r>
        <w:rPr>
          <w:rFonts w:hint="default" w:ascii="Times New Roman" w:hAnsi="Times New Roman" w:cs="Times New Roman"/>
          <w:i w:val="0"/>
          <w:color w:val="212529"/>
          <w:spacing w:val="0"/>
          <w:sz w:val="31"/>
          <w:szCs w:val="31"/>
          <w:shd w:val="clear" w:color="auto" w:fill="FFFFFF"/>
        </w:rPr>
        <w:t>2025</w:t>
      </w:r>
      <w:r>
        <w:rPr>
          <w:rFonts w:hint="eastAsia" w:ascii="方正仿宋_GBK" w:hAnsi="方正仿宋_GBK" w:eastAsia="方正仿宋_GBK" w:cs="方正仿宋_GBK"/>
          <w:i w:val="0"/>
          <w:color w:val="212529"/>
          <w:spacing w:val="0"/>
          <w:sz w:val="31"/>
          <w:szCs w:val="31"/>
          <w:shd w:val="clear" w:color="auto" w:fill="FFFFFF"/>
        </w:rPr>
        <w:t>年前实现街道级居家养老服务中心全覆盖，城乡社区居家养老服务中心</w:t>
      </w:r>
      <w:r>
        <w:rPr>
          <w:rFonts w:hint="default" w:ascii="Times New Roman" w:hAnsi="Times New Roman" w:cs="Times New Roman"/>
          <w:i w:val="0"/>
          <w:color w:val="212529"/>
          <w:spacing w:val="0"/>
          <w:sz w:val="31"/>
          <w:szCs w:val="31"/>
          <w:shd w:val="clear" w:color="auto" w:fill="FFFFFF"/>
        </w:rPr>
        <w:t>90%</w:t>
      </w:r>
      <w:r>
        <w:rPr>
          <w:rFonts w:hint="eastAsia" w:ascii="方正仿宋_GBK" w:hAnsi="方正仿宋_GBK" w:eastAsia="方正仿宋_GBK" w:cs="方正仿宋_GBK"/>
          <w:i w:val="0"/>
          <w:color w:val="212529"/>
          <w:spacing w:val="0"/>
          <w:sz w:val="31"/>
          <w:szCs w:val="31"/>
          <w:shd w:val="clear" w:color="auto" w:fill="FFFFFF"/>
        </w:rPr>
        <w:t>以上覆盖。新建住宅小区不低于每百户</w:t>
      </w:r>
      <w:r>
        <w:rPr>
          <w:rFonts w:hint="default" w:ascii="Times New Roman" w:hAnsi="Times New Roman" w:cs="Times New Roman"/>
          <w:i w:val="0"/>
          <w:color w:val="212529"/>
          <w:spacing w:val="0"/>
          <w:sz w:val="31"/>
          <w:szCs w:val="31"/>
          <w:shd w:val="clear" w:color="auto" w:fill="FFFFFF"/>
        </w:rPr>
        <w:t>25</w:t>
      </w:r>
      <w:r>
        <w:rPr>
          <w:rFonts w:hint="eastAsia" w:ascii="方正仿宋_GBK" w:hAnsi="方正仿宋_GBK" w:eastAsia="方正仿宋_GBK" w:cs="方正仿宋_GBK"/>
          <w:i w:val="0"/>
          <w:color w:val="212529"/>
          <w:spacing w:val="0"/>
          <w:sz w:val="31"/>
          <w:szCs w:val="31"/>
          <w:shd w:val="clear" w:color="auto" w:fill="FFFFFF"/>
        </w:rPr>
        <w:t>平方、老旧小区不低于每百户</w:t>
      </w:r>
      <w:r>
        <w:rPr>
          <w:rFonts w:hint="default" w:ascii="Times New Roman" w:hAnsi="Times New Roman" w:cs="Times New Roman"/>
          <w:i w:val="0"/>
          <w:color w:val="212529"/>
          <w:spacing w:val="0"/>
          <w:sz w:val="31"/>
          <w:szCs w:val="31"/>
          <w:shd w:val="clear" w:color="auto" w:fill="FFFFFF"/>
        </w:rPr>
        <w:t>20</w:t>
      </w:r>
      <w:r>
        <w:rPr>
          <w:rFonts w:hint="eastAsia" w:ascii="方正仿宋_GBK" w:hAnsi="方正仿宋_GBK" w:eastAsia="方正仿宋_GBK" w:cs="方正仿宋_GBK"/>
          <w:i w:val="0"/>
          <w:color w:val="212529"/>
          <w:spacing w:val="0"/>
          <w:sz w:val="31"/>
          <w:szCs w:val="31"/>
          <w:shd w:val="clear" w:color="auto" w:fill="FFFFFF"/>
        </w:rPr>
        <w:t>平方配建养老服务设施。</w:t>
      </w:r>
      <w:r>
        <w:rPr>
          <w:rFonts w:hint="default" w:ascii="Times New Roman" w:hAnsi="Times New Roman" w:cs="Times New Roman"/>
          <w:i w:val="0"/>
          <w:color w:val="212529"/>
          <w:spacing w:val="0"/>
          <w:sz w:val="31"/>
          <w:szCs w:val="31"/>
          <w:shd w:val="clear" w:color="auto" w:fill="FFFFFF"/>
        </w:rPr>
        <w:t>2018</w:t>
      </w:r>
      <w:r>
        <w:rPr>
          <w:rFonts w:hint="eastAsia" w:ascii="方正仿宋_GBK" w:hAnsi="方正仿宋_GBK" w:eastAsia="方正仿宋_GBK" w:cs="方正仿宋_GBK"/>
          <w:i w:val="0"/>
          <w:color w:val="212529"/>
          <w:spacing w:val="0"/>
          <w:sz w:val="31"/>
          <w:szCs w:val="31"/>
          <w:shd w:val="clear" w:color="auto" w:fill="FFFFFF"/>
        </w:rPr>
        <w:t>年以来新建城区、住宅小区未按规定配建的</w:t>
      </w:r>
      <w:r>
        <w:rPr>
          <w:rFonts w:hint="default" w:ascii="Times New Roman" w:hAnsi="Times New Roman" w:cs="Times New Roman"/>
          <w:i w:val="0"/>
          <w:color w:val="212529"/>
          <w:spacing w:val="0"/>
          <w:sz w:val="31"/>
          <w:szCs w:val="31"/>
          <w:shd w:val="clear" w:color="auto" w:fill="FFFFFF"/>
        </w:rPr>
        <w:t>2023</w:t>
      </w:r>
      <w:r>
        <w:rPr>
          <w:rFonts w:hint="eastAsia" w:ascii="方正仿宋_GBK" w:hAnsi="方正仿宋_GBK" w:eastAsia="方正仿宋_GBK" w:cs="方正仿宋_GBK"/>
          <w:i w:val="0"/>
          <w:color w:val="212529"/>
          <w:spacing w:val="0"/>
          <w:sz w:val="31"/>
          <w:szCs w:val="31"/>
          <w:shd w:val="clear" w:color="auto" w:fill="FFFFFF"/>
        </w:rPr>
        <w:t>年底整改完毕。</w:t>
      </w:r>
      <w:r>
        <w:rPr>
          <w:rFonts w:hint="eastAsia" w:ascii="方正仿宋_GBK" w:hAnsi="方正仿宋_GBK" w:eastAsia="方正仿宋_GBK" w:cs="方正仿宋_GBK"/>
          <w:sz w:val="31"/>
          <w:szCs w:val="31"/>
        </w:rPr>
        <w:t>全面建成</w:t>
      </w:r>
      <w:r>
        <w:rPr>
          <w:rFonts w:hint="default" w:ascii="Times New Roman" w:hAnsi="Times New Roman" w:cs="Times New Roman"/>
          <w:sz w:val="31"/>
          <w:szCs w:val="31"/>
        </w:rPr>
        <w:t>“15</w:t>
      </w:r>
      <w:r>
        <w:rPr>
          <w:rFonts w:hint="eastAsia" w:ascii="方正仿宋_GBK" w:hAnsi="方正仿宋_GBK" w:eastAsia="方正仿宋_GBK" w:cs="方正仿宋_GBK"/>
          <w:sz w:val="31"/>
          <w:szCs w:val="31"/>
        </w:rPr>
        <w:t>分钟</w:t>
      </w:r>
      <w:r>
        <w:rPr>
          <w:rFonts w:hint="default" w:ascii="Times New Roman" w:hAnsi="Times New Roman" w:cs="Times New Roman"/>
          <w:sz w:val="31"/>
          <w:szCs w:val="31"/>
        </w:rPr>
        <w:t>”</w:t>
      </w:r>
      <w:r>
        <w:rPr>
          <w:rFonts w:hint="eastAsia" w:ascii="方正仿宋_GBK" w:hAnsi="方正仿宋_GBK" w:eastAsia="方正仿宋_GBK" w:cs="方正仿宋_GBK"/>
          <w:sz w:val="31"/>
          <w:szCs w:val="31"/>
        </w:rPr>
        <w:t>居家养老服务圈。</w:t>
      </w:r>
      <w:r>
        <w:rPr>
          <w:rFonts w:hint="eastAsia" w:ascii="方正仿宋_GBK" w:hAnsi="方正仿宋_GBK" w:eastAsia="方正仿宋_GBK" w:cs="方正仿宋_GBK"/>
          <w:i w:val="0"/>
          <w:color w:val="212529"/>
          <w:spacing w:val="0"/>
          <w:sz w:val="31"/>
          <w:szCs w:val="31"/>
          <w:shd w:val="clear" w:color="auto" w:fill="FFFFFF"/>
        </w:rPr>
        <w:t>探索设立</w:t>
      </w:r>
      <w:r>
        <w:rPr>
          <w:rFonts w:hint="default" w:ascii="Times New Roman" w:hAnsi="Times New Roman" w:cs="Times New Roman"/>
          <w:i w:val="0"/>
          <w:color w:val="212529"/>
          <w:spacing w:val="0"/>
          <w:sz w:val="31"/>
          <w:szCs w:val="31"/>
          <w:shd w:val="clear" w:color="auto" w:fill="FFFFFF"/>
        </w:rPr>
        <w:t>“</w:t>
      </w:r>
      <w:r>
        <w:rPr>
          <w:rFonts w:hint="eastAsia" w:ascii="方正仿宋_GBK" w:hAnsi="方正仿宋_GBK" w:eastAsia="方正仿宋_GBK" w:cs="方正仿宋_GBK"/>
          <w:i w:val="0"/>
          <w:color w:val="212529"/>
          <w:spacing w:val="0"/>
          <w:sz w:val="31"/>
          <w:szCs w:val="31"/>
          <w:shd w:val="clear" w:color="auto" w:fill="FFFFFF"/>
        </w:rPr>
        <w:t>家庭照护床位</w:t>
      </w:r>
      <w:r>
        <w:rPr>
          <w:rFonts w:hint="default" w:ascii="Times New Roman" w:hAnsi="Times New Roman" w:cs="Times New Roman"/>
          <w:i w:val="0"/>
          <w:color w:val="212529"/>
          <w:spacing w:val="0"/>
          <w:sz w:val="31"/>
          <w:szCs w:val="31"/>
          <w:shd w:val="clear" w:color="auto" w:fill="FFFFFF"/>
        </w:rPr>
        <w:t>”</w:t>
      </w:r>
      <w:r>
        <w:rPr>
          <w:rFonts w:hint="eastAsia" w:ascii="方正仿宋_GBK" w:hAnsi="方正仿宋_GBK" w:eastAsia="方正仿宋_GBK" w:cs="方正仿宋_GBK"/>
          <w:i w:val="0"/>
          <w:color w:val="212529"/>
          <w:spacing w:val="0"/>
          <w:sz w:val="31"/>
          <w:szCs w:val="31"/>
          <w:shd w:val="clear" w:color="auto" w:fill="FFFFFF"/>
        </w:rPr>
        <w:t>，完善有关服务、管理、技术等规范以及建设和运营政策，健全上门照护的服务标准与合同。农村地区建设</w:t>
      </w:r>
      <w:r>
        <w:rPr>
          <w:rFonts w:hint="default" w:ascii="Times New Roman" w:hAnsi="Times New Roman" w:cs="Times New Roman"/>
          <w:i w:val="0"/>
          <w:color w:val="212529"/>
          <w:spacing w:val="0"/>
          <w:sz w:val="31"/>
          <w:szCs w:val="31"/>
          <w:shd w:val="clear" w:color="auto" w:fill="FFFFFF"/>
        </w:rPr>
        <w:t>“</w:t>
      </w:r>
      <w:r>
        <w:rPr>
          <w:rFonts w:hint="eastAsia" w:ascii="方正仿宋_GBK" w:hAnsi="方正仿宋_GBK" w:eastAsia="方正仿宋_GBK" w:cs="方正仿宋_GBK"/>
          <w:i w:val="0"/>
          <w:color w:val="212529"/>
          <w:spacing w:val="0"/>
          <w:sz w:val="31"/>
          <w:szCs w:val="31"/>
          <w:shd w:val="clear" w:color="auto" w:fill="FFFFFF"/>
        </w:rPr>
        <w:t>县</w:t>
      </w:r>
      <w:r>
        <w:rPr>
          <w:rFonts w:hint="default" w:ascii="Times New Roman" w:hAnsi="Times New Roman" w:cs="Times New Roman"/>
          <w:i w:val="0"/>
          <w:color w:val="212529"/>
          <w:spacing w:val="0"/>
          <w:sz w:val="31"/>
          <w:szCs w:val="31"/>
          <w:shd w:val="clear" w:color="auto" w:fill="FFFFFF"/>
        </w:rPr>
        <w:t>—</w:t>
      </w:r>
      <w:r>
        <w:rPr>
          <w:rFonts w:hint="eastAsia" w:ascii="方正仿宋_GBK" w:hAnsi="方正仿宋_GBK" w:eastAsia="方正仿宋_GBK" w:cs="方正仿宋_GBK"/>
          <w:i w:val="0"/>
          <w:color w:val="212529"/>
          <w:spacing w:val="0"/>
          <w:sz w:val="31"/>
          <w:szCs w:val="31"/>
          <w:shd w:val="clear" w:color="auto" w:fill="FFFFFF"/>
        </w:rPr>
        <w:t>乡</w:t>
      </w:r>
      <w:r>
        <w:rPr>
          <w:rFonts w:hint="default" w:ascii="Times New Roman" w:hAnsi="Times New Roman" w:cs="Times New Roman"/>
          <w:i w:val="0"/>
          <w:color w:val="212529"/>
          <w:spacing w:val="0"/>
          <w:sz w:val="31"/>
          <w:szCs w:val="31"/>
          <w:shd w:val="clear" w:color="auto" w:fill="FFFFFF"/>
        </w:rPr>
        <w:t>—</w:t>
      </w:r>
      <w:r>
        <w:rPr>
          <w:rFonts w:hint="eastAsia" w:ascii="方正仿宋_GBK" w:hAnsi="方正仿宋_GBK" w:eastAsia="方正仿宋_GBK" w:cs="方正仿宋_GBK"/>
          <w:i w:val="0"/>
          <w:color w:val="212529"/>
          <w:spacing w:val="0"/>
          <w:sz w:val="31"/>
          <w:szCs w:val="31"/>
          <w:shd w:val="clear" w:color="auto" w:fill="FFFFFF"/>
        </w:rPr>
        <w:t>村</w:t>
      </w:r>
      <w:r>
        <w:rPr>
          <w:rFonts w:hint="default" w:ascii="Times New Roman" w:hAnsi="Times New Roman" w:cs="Times New Roman"/>
          <w:i w:val="0"/>
          <w:color w:val="212529"/>
          <w:spacing w:val="0"/>
          <w:sz w:val="31"/>
          <w:szCs w:val="31"/>
          <w:shd w:val="clear" w:color="auto" w:fill="FFFFFF"/>
        </w:rPr>
        <w:t>”</w:t>
      </w:r>
      <w:r>
        <w:rPr>
          <w:rFonts w:hint="eastAsia" w:ascii="方正仿宋_GBK" w:hAnsi="方正仿宋_GBK" w:eastAsia="方正仿宋_GBK" w:cs="方正仿宋_GBK"/>
          <w:i w:val="0"/>
          <w:color w:val="212529"/>
          <w:spacing w:val="0"/>
          <w:sz w:val="31"/>
          <w:szCs w:val="31"/>
          <w:shd w:val="clear" w:color="auto" w:fill="FFFFFF"/>
        </w:rPr>
        <w:t>三级服务网络。</w:t>
      </w:r>
      <w:r>
        <w:rPr>
          <w:rFonts w:hint="default" w:ascii="Times New Roman" w:hAnsi="Times New Roman" w:cs="Times New Roman"/>
          <w:i w:val="0"/>
          <w:color w:val="212529"/>
          <w:spacing w:val="0"/>
          <w:sz w:val="31"/>
          <w:szCs w:val="31"/>
          <w:shd w:val="clear" w:color="auto" w:fill="FFFFFF"/>
        </w:rPr>
        <w:t>2025</w:t>
      </w:r>
      <w:r>
        <w:rPr>
          <w:rFonts w:hint="eastAsia" w:ascii="方正仿宋_GBK" w:hAnsi="方正仿宋_GBK" w:eastAsia="方正仿宋_GBK" w:cs="方正仿宋_GBK"/>
          <w:i w:val="0"/>
          <w:color w:val="212529"/>
          <w:spacing w:val="0"/>
          <w:sz w:val="31"/>
          <w:szCs w:val="31"/>
          <w:shd w:val="clear" w:color="auto" w:fill="FFFFFF"/>
        </w:rPr>
        <w:t>年前</w:t>
      </w:r>
      <w:r>
        <w:rPr>
          <w:rFonts w:hint="default" w:ascii="Times New Roman" w:hAnsi="Times New Roman" w:cs="Times New Roman"/>
          <w:i w:val="0"/>
          <w:color w:val="212529"/>
          <w:spacing w:val="0"/>
          <w:sz w:val="31"/>
          <w:szCs w:val="31"/>
          <w:shd w:val="clear" w:color="auto" w:fill="FFFFFF"/>
        </w:rPr>
        <w:t>60%</w:t>
      </w:r>
      <w:r>
        <w:rPr>
          <w:rFonts w:hint="eastAsia" w:ascii="方正仿宋_GBK" w:hAnsi="方正仿宋_GBK" w:eastAsia="方正仿宋_GBK" w:cs="方正仿宋_GBK"/>
          <w:i w:val="0"/>
          <w:color w:val="212529"/>
          <w:spacing w:val="0"/>
          <w:sz w:val="31"/>
          <w:szCs w:val="31"/>
          <w:shd w:val="clear" w:color="auto" w:fill="FFFFFF"/>
        </w:rPr>
        <w:t>以上乡（镇）建有农村区域性养老服务中心，力争</w:t>
      </w:r>
      <w:r>
        <w:rPr>
          <w:rFonts w:hint="default" w:ascii="Times New Roman" w:hAnsi="Times New Roman" w:cs="Times New Roman"/>
          <w:i w:val="0"/>
          <w:color w:val="212529"/>
          <w:spacing w:val="0"/>
          <w:sz w:val="31"/>
          <w:szCs w:val="31"/>
          <w:shd w:val="clear" w:color="auto" w:fill="FFFFFF"/>
        </w:rPr>
        <w:t>60%</w:t>
      </w:r>
      <w:r>
        <w:rPr>
          <w:rFonts w:hint="eastAsia" w:ascii="方正仿宋_GBK" w:hAnsi="方正仿宋_GBK" w:eastAsia="方正仿宋_GBK" w:cs="方正仿宋_GBK"/>
          <w:i w:val="0"/>
          <w:color w:val="212529"/>
          <w:spacing w:val="0"/>
          <w:sz w:val="31"/>
          <w:szCs w:val="31"/>
          <w:shd w:val="clear" w:color="auto" w:fill="FFFFFF"/>
        </w:rPr>
        <w:t>以上村建有养老服务设施。</w:t>
      </w:r>
      <w:r>
        <w:rPr>
          <w:rStyle w:val="6"/>
          <w:rFonts w:hint="eastAsia" w:ascii="方正仿宋_GBK" w:hAnsi="方正仿宋_GBK" w:eastAsia="方正仿宋_GBK" w:cs="方正仿宋_GBK"/>
          <w:b/>
          <w:i w:val="0"/>
          <w:color w:val="212529"/>
          <w:spacing w:val="0"/>
          <w:sz w:val="31"/>
          <w:szCs w:val="31"/>
          <w:shd w:val="clear" w:color="auto" w:fill="FFFFFF"/>
        </w:rPr>
        <w:t>丰富社区养老服务功能，</w:t>
      </w:r>
      <w:r>
        <w:rPr>
          <w:rFonts w:hint="eastAsia" w:ascii="方正仿宋_GBK" w:hAnsi="方正仿宋_GBK" w:eastAsia="方正仿宋_GBK" w:cs="方正仿宋_GBK"/>
          <w:i w:val="0"/>
          <w:color w:val="212529"/>
          <w:spacing w:val="0"/>
          <w:sz w:val="31"/>
          <w:szCs w:val="31"/>
          <w:shd w:val="clear" w:color="auto" w:fill="FFFFFF"/>
        </w:rPr>
        <w:t>积极利用</w:t>
      </w:r>
      <w:r>
        <w:rPr>
          <w:rFonts w:hint="default" w:ascii="Times New Roman" w:hAnsi="Times New Roman" w:cs="Times New Roman"/>
          <w:i w:val="0"/>
          <w:color w:val="212529"/>
          <w:spacing w:val="0"/>
          <w:sz w:val="31"/>
          <w:szCs w:val="31"/>
          <w:shd w:val="clear" w:color="auto" w:fill="FFFFFF"/>
        </w:rPr>
        <w:t>“</w:t>
      </w:r>
      <w:r>
        <w:rPr>
          <w:rFonts w:hint="eastAsia" w:ascii="方正仿宋_GBK" w:hAnsi="方正仿宋_GBK" w:eastAsia="方正仿宋_GBK" w:cs="方正仿宋_GBK"/>
          <w:i w:val="0"/>
          <w:color w:val="212529"/>
          <w:spacing w:val="0"/>
          <w:sz w:val="31"/>
          <w:szCs w:val="31"/>
          <w:shd w:val="clear" w:color="auto" w:fill="FFFFFF"/>
        </w:rPr>
        <w:t>智慧社区</w:t>
      </w:r>
      <w:r>
        <w:rPr>
          <w:rFonts w:hint="default" w:ascii="Times New Roman" w:hAnsi="Times New Roman" w:cs="Times New Roman"/>
          <w:i w:val="0"/>
          <w:color w:val="212529"/>
          <w:spacing w:val="0"/>
          <w:sz w:val="31"/>
          <w:szCs w:val="31"/>
          <w:shd w:val="clear" w:color="auto" w:fill="FFFFFF"/>
        </w:rPr>
        <w:t>”</w:t>
      </w:r>
      <w:r>
        <w:rPr>
          <w:rFonts w:hint="eastAsia" w:ascii="方正仿宋_GBK" w:hAnsi="方正仿宋_GBK" w:eastAsia="方正仿宋_GBK" w:cs="方正仿宋_GBK"/>
          <w:i w:val="0"/>
          <w:color w:val="212529"/>
          <w:spacing w:val="0"/>
          <w:sz w:val="31"/>
          <w:szCs w:val="31"/>
          <w:shd w:val="clear" w:color="auto" w:fill="FFFFFF"/>
        </w:rPr>
        <w:t>等服务平台广泛对接老年人需求，依托社区养老服务设施，为老年人提供就近就便消费服务。支持专业化、品牌化、连锁化发展，支持养老机构、社会力量参与社区居家服务。组织引导社会工作服务机构、物业企业、零售服务商等拓展为老服务功能，为老年人提供</w:t>
      </w:r>
      <w:r>
        <w:rPr>
          <w:rFonts w:hint="default" w:ascii="Times New Roman" w:hAnsi="Times New Roman" w:cs="Times New Roman"/>
          <w:i w:val="0"/>
          <w:color w:val="212529"/>
          <w:spacing w:val="0"/>
          <w:sz w:val="31"/>
          <w:szCs w:val="31"/>
          <w:shd w:val="clear" w:color="auto" w:fill="FFFFFF"/>
        </w:rPr>
        <w:t>“</w:t>
      </w:r>
      <w:r>
        <w:rPr>
          <w:rFonts w:hint="eastAsia" w:ascii="方正仿宋_GBK" w:hAnsi="方正仿宋_GBK" w:eastAsia="方正仿宋_GBK" w:cs="方正仿宋_GBK"/>
          <w:i w:val="0"/>
          <w:color w:val="212529"/>
          <w:spacing w:val="0"/>
          <w:sz w:val="31"/>
          <w:szCs w:val="31"/>
          <w:shd w:val="clear" w:color="auto" w:fill="FFFFFF"/>
        </w:rPr>
        <w:t>十助</w:t>
      </w:r>
      <w:r>
        <w:rPr>
          <w:rFonts w:hint="default" w:ascii="Times New Roman" w:hAnsi="Times New Roman" w:cs="Times New Roman"/>
          <w:i w:val="0"/>
          <w:color w:val="212529"/>
          <w:spacing w:val="0"/>
          <w:sz w:val="31"/>
          <w:szCs w:val="31"/>
          <w:shd w:val="clear" w:color="auto" w:fill="FFFFFF"/>
        </w:rPr>
        <w:t>”</w:t>
      </w:r>
      <w:r>
        <w:rPr>
          <w:rFonts w:hint="eastAsia" w:ascii="方正仿宋_GBK" w:hAnsi="方正仿宋_GBK" w:eastAsia="方正仿宋_GBK" w:cs="方正仿宋_GBK"/>
          <w:i w:val="0"/>
          <w:color w:val="212529"/>
          <w:spacing w:val="0"/>
          <w:sz w:val="31"/>
          <w:szCs w:val="31"/>
          <w:shd w:val="clear" w:color="auto" w:fill="FFFFFF"/>
        </w:rPr>
        <w:t>（助餐、助医、助浴、助洁、助急、助行、助购、助学、助乐、助聊）服务。</w:t>
      </w:r>
      <w:r>
        <w:rPr>
          <w:rStyle w:val="6"/>
          <w:rFonts w:hint="eastAsia" w:ascii="方正仿宋_GBK" w:hAnsi="方正仿宋_GBK" w:eastAsia="方正仿宋_GBK" w:cs="方正仿宋_GBK"/>
          <w:b/>
          <w:i w:val="0"/>
          <w:color w:val="212529"/>
          <w:spacing w:val="0"/>
          <w:sz w:val="31"/>
          <w:szCs w:val="31"/>
          <w:shd w:val="clear" w:color="auto" w:fill="FFFFFF"/>
        </w:rPr>
        <w:t>打造无障碍社区，</w:t>
      </w:r>
      <w:r>
        <w:rPr>
          <w:rFonts w:hint="eastAsia" w:ascii="方正仿宋_GBK" w:hAnsi="方正仿宋_GBK" w:eastAsia="方正仿宋_GBK" w:cs="方正仿宋_GBK"/>
          <w:i w:val="0"/>
          <w:color w:val="212529"/>
          <w:spacing w:val="0"/>
          <w:sz w:val="31"/>
          <w:szCs w:val="31"/>
          <w:shd w:val="clear" w:color="auto" w:fill="FFFFFF"/>
        </w:rPr>
        <w:t>加强与老年人日常生活密切相关的公共服务设施适老化改造，重点对坡道、楼梯、电梯、扶手等公共建筑进行改造，支持老年人住宅加装电梯，改善老年人居住环境，鼓励开展无障碍环境认证。鼓励发展康复辅助器具租赁服务，提升老年人生活自理能力和居家养老品质。加强信息无障碍建设，降低老年人应用数字技术的难度，保留线下服务途径，精简业务办理要件和流程，为老年人获取基本养老服务提供安全、便利和舒适的环境。</w:t>
      </w:r>
      <w:r>
        <w:rPr>
          <w:rFonts w:hint="eastAsia" w:ascii="方正楷体_GBK" w:hAnsi="方正楷体_GBK" w:eastAsia="方正楷体_GBK" w:cs="方正楷体_GBK"/>
          <w:sz w:val="31"/>
          <w:szCs w:val="31"/>
        </w:rPr>
        <w:t>（牵头单位：市民政局、市自然资源和规划局、市住房和城乡建设局；责任单位：市发展改革委、市市场监管局、市财政局、市卫生健康委、市残联，各县市区人民政府，曲靖经开区管委会）</w:t>
      </w:r>
    </w:p>
    <w:p w14:paraId="2BCF6C93">
      <w:pPr>
        <w:pStyle w:val="3"/>
        <w:keepNext w:val="0"/>
        <w:keepLines w:val="0"/>
        <w:widowControl/>
        <w:suppressLineNumbers w:val="0"/>
        <w:autoSpaceDE w:val="0"/>
        <w:autoSpaceDN/>
        <w:ind w:left="0" w:firstLine="645"/>
      </w:pPr>
      <w:r>
        <w:rPr>
          <w:rStyle w:val="6"/>
          <w:rFonts w:hint="eastAsia" w:ascii="方正仿宋_GBK" w:hAnsi="方正仿宋_GBK" w:eastAsia="方正仿宋_GBK" w:cs="方正仿宋_GBK"/>
          <w:b/>
          <w:i w:val="0"/>
          <w:color w:val="000000"/>
          <w:spacing w:val="0"/>
          <w:sz w:val="31"/>
          <w:szCs w:val="31"/>
          <w:shd w:val="clear" w:color="auto" w:fill="FFFFFF"/>
        </w:rPr>
        <w:t>4</w:t>
      </w:r>
      <w:r>
        <w:rPr>
          <w:rStyle w:val="6"/>
          <w:rFonts w:hint="default" w:ascii="Times New Roman" w:hAnsi="Times New Roman" w:cs="Times New Roman"/>
          <w:b/>
          <w:i w:val="0"/>
          <w:color w:val="000000"/>
          <w:spacing w:val="0"/>
          <w:sz w:val="31"/>
          <w:szCs w:val="31"/>
          <w:shd w:val="clear" w:color="auto" w:fill="FFFFFF"/>
        </w:rPr>
        <w:t>.</w:t>
      </w:r>
      <w:r>
        <w:rPr>
          <w:rStyle w:val="6"/>
          <w:rFonts w:hint="eastAsia" w:ascii="方正仿宋_GBK" w:hAnsi="方正仿宋_GBK" w:eastAsia="方正仿宋_GBK" w:cs="方正仿宋_GBK"/>
          <w:b/>
          <w:i w:val="0"/>
          <w:color w:val="000000"/>
          <w:spacing w:val="0"/>
          <w:sz w:val="31"/>
          <w:szCs w:val="31"/>
          <w:shd w:val="clear" w:color="auto" w:fill="FFFFFF"/>
        </w:rPr>
        <w:t>增强</w:t>
      </w:r>
      <w:r>
        <w:fldChar w:fldCharType="begin"/>
      </w:r>
      <w:r>
        <w:instrText xml:space="preserve"> HYPERLINK "https://www.yanglaocn.com/search/?SearchKey=%E5%B1%85%E5%AE%B6%E5%85%BB%E8%80%81%E7%85%A7%E6%8A%A4" \o "居家养老照护" </w:instrText>
      </w:r>
      <w:r>
        <w:fldChar w:fldCharType="separate"/>
      </w:r>
      <w:r>
        <w:rPr>
          <w:rStyle w:val="7"/>
          <w:rFonts w:hint="eastAsia" w:ascii="方正仿宋_GBK" w:hAnsi="方正仿宋_GBK" w:eastAsia="方正仿宋_GBK" w:cs="方正仿宋_GBK"/>
          <w:b/>
          <w:i w:val="0"/>
          <w:color w:val="000000"/>
          <w:spacing w:val="0"/>
          <w:sz w:val="31"/>
          <w:szCs w:val="31"/>
          <w:shd w:val="clear" w:color="auto" w:fill="FFFFFF"/>
        </w:rPr>
        <w:t>居家养老照护</w:t>
      </w:r>
      <w:r>
        <w:fldChar w:fldCharType="end"/>
      </w:r>
      <w:r>
        <w:rPr>
          <w:rStyle w:val="6"/>
          <w:rFonts w:hint="eastAsia" w:ascii="方正仿宋_GBK" w:hAnsi="方正仿宋_GBK" w:eastAsia="方正仿宋_GBK" w:cs="方正仿宋_GBK"/>
          <w:b/>
          <w:i w:val="0"/>
          <w:color w:val="000000"/>
          <w:spacing w:val="0"/>
          <w:sz w:val="31"/>
          <w:szCs w:val="31"/>
          <w:shd w:val="clear" w:color="auto" w:fill="FFFFFF"/>
        </w:rPr>
        <w:t>能力。</w:t>
      </w:r>
      <w:r>
        <w:rPr>
          <w:rStyle w:val="6"/>
          <w:rFonts w:hint="eastAsia" w:ascii="方正仿宋_GBK" w:hAnsi="方正仿宋_GBK" w:eastAsia="方正仿宋_GBK" w:cs="方正仿宋_GBK"/>
          <w:b/>
          <w:i w:val="0"/>
          <w:color w:val="212529"/>
          <w:spacing w:val="0"/>
          <w:sz w:val="31"/>
          <w:szCs w:val="31"/>
          <w:shd w:val="clear" w:color="auto" w:fill="FFFFFF"/>
        </w:rPr>
        <w:t>开展家庭照护者培训</w:t>
      </w:r>
      <w:r>
        <w:rPr>
          <w:rFonts w:hint="eastAsia" w:ascii="方正仿宋_GBK" w:hAnsi="方正仿宋_GBK" w:eastAsia="方正仿宋_GBK" w:cs="方正仿宋_GBK"/>
          <w:i w:val="0"/>
          <w:color w:val="212529"/>
          <w:spacing w:val="0"/>
          <w:sz w:val="31"/>
          <w:szCs w:val="31"/>
          <w:shd w:val="clear" w:color="auto" w:fill="FFFFFF"/>
        </w:rPr>
        <w:t>，依托村（社区）居家养老服务设施、村（居）民委员等基层力量提供家庭养老指导服务，帮助老年人家庭成员提高照护能力。将失能老年人家庭照护者技能培训纳入政府购买养老服务目录，符合条件的失能老年人家庭成员参加照护培训等相关职业技能培训的，按规定给予职业培训补贴。</w:t>
      </w:r>
      <w:r>
        <w:rPr>
          <w:rStyle w:val="6"/>
          <w:rFonts w:hint="eastAsia" w:ascii="方正仿宋_GBK" w:hAnsi="方正仿宋_GBK" w:eastAsia="方正仿宋_GBK" w:cs="方正仿宋_GBK"/>
          <w:b/>
          <w:i w:val="0"/>
          <w:color w:val="000000"/>
          <w:spacing w:val="0"/>
          <w:sz w:val="31"/>
          <w:szCs w:val="31"/>
          <w:shd w:val="clear" w:color="auto" w:fill="FFFFFF"/>
        </w:rPr>
        <w:t>发挥政府购买服务引导作用</w:t>
      </w:r>
      <w:r>
        <w:rPr>
          <w:rFonts w:hint="eastAsia" w:ascii="方正仿宋_GBK" w:hAnsi="方正仿宋_GBK" w:eastAsia="方正仿宋_GBK" w:cs="方正仿宋_GBK"/>
          <w:i w:val="0"/>
          <w:color w:val="000000"/>
          <w:spacing w:val="0"/>
          <w:sz w:val="31"/>
          <w:szCs w:val="31"/>
          <w:shd w:val="clear" w:color="auto" w:fill="FFFFFF"/>
        </w:rPr>
        <w:t>，</w:t>
      </w:r>
      <w:r>
        <w:rPr>
          <w:rFonts w:hint="eastAsia" w:ascii="方正仿宋_GBK" w:hAnsi="方正仿宋_GBK" w:eastAsia="方正仿宋_GBK" w:cs="方正仿宋_GBK"/>
          <w:i w:val="0"/>
          <w:color w:val="212529"/>
          <w:spacing w:val="0"/>
          <w:sz w:val="31"/>
          <w:szCs w:val="31"/>
          <w:shd w:val="clear" w:color="auto" w:fill="FFFFFF"/>
        </w:rPr>
        <w:t>不断完善《曲靖市政府购买服务指导性目录》养老服务项目，优先保障经济困难的失能、高龄、无人照顾的老年人服务需求，鼓励有条件的地方扩展服务、扩大服务范围。积极开展</w:t>
      </w:r>
      <w:r>
        <w:fldChar w:fldCharType="begin"/>
      </w:r>
      <w:r>
        <w:instrText xml:space="preserve"> HYPERLINK "https://www.yanglaocn.com/shtml/20211020/1634698384128474.html" \o "家庭养老床位" </w:instrText>
      </w:r>
      <w:r>
        <w:fldChar w:fldCharType="separate"/>
      </w:r>
      <w:r>
        <w:rPr>
          <w:rStyle w:val="7"/>
          <w:rFonts w:hint="eastAsia" w:ascii="方正仿宋_GBK" w:hAnsi="方正仿宋_GBK" w:eastAsia="方正仿宋_GBK" w:cs="方正仿宋_GBK"/>
          <w:i w:val="0"/>
          <w:color w:val="212529"/>
          <w:spacing w:val="0"/>
          <w:sz w:val="31"/>
          <w:szCs w:val="31"/>
          <w:shd w:val="clear" w:color="auto" w:fill="FFFFFF"/>
        </w:rPr>
        <w:t>家庭养老床位</w:t>
      </w:r>
      <w:r>
        <w:fldChar w:fldCharType="end"/>
      </w:r>
      <w:r>
        <w:rPr>
          <w:rFonts w:hint="eastAsia" w:ascii="方正仿宋_GBK" w:hAnsi="方正仿宋_GBK" w:eastAsia="方正仿宋_GBK" w:cs="方正仿宋_GBK"/>
          <w:i w:val="0"/>
          <w:color w:val="212529"/>
          <w:spacing w:val="0"/>
          <w:sz w:val="31"/>
          <w:szCs w:val="31"/>
          <w:shd w:val="clear" w:color="auto" w:fill="FFFFFF"/>
        </w:rPr>
        <w:t>建设探索和政府购买居家养老服务研究，鼓励开展试点。鼓励养老机构服务进社区、进家庭，鼓励专业机构开展居家老年人照护工作。</w:t>
      </w:r>
      <w:r>
        <w:rPr>
          <w:rStyle w:val="6"/>
          <w:rFonts w:hint="eastAsia" w:ascii="方正仿宋_GBK" w:hAnsi="方正仿宋_GBK" w:eastAsia="方正仿宋_GBK" w:cs="方正仿宋_GBK"/>
          <w:b/>
          <w:i w:val="0"/>
          <w:color w:val="000000"/>
          <w:spacing w:val="0"/>
          <w:sz w:val="31"/>
          <w:szCs w:val="31"/>
          <w:shd w:val="clear" w:color="auto" w:fill="FFFFFF"/>
        </w:rPr>
        <w:t>实施</w:t>
      </w:r>
      <w:r>
        <w:fldChar w:fldCharType="begin"/>
      </w:r>
      <w:r>
        <w:instrText xml:space="preserve"> HYPERLINK "https://www.yanglaocn.com/shtml/20201109/1604928478125439.html" \o "家庭适老化" </w:instrText>
      </w:r>
      <w:r>
        <w:fldChar w:fldCharType="separate"/>
      </w:r>
      <w:r>
        <w:rPr>
          <w:rStyle w:val="7"/>
          <w:rFonts w:hint="eastAsia" w:ascii="方正仿宋_GBK" w:hAnsi="方正仿宋_GBK" w:eastAsia="方正仿宋_GBK" w:cs="方正仿宋_GBK"/>
          <w:b/>
          <w:i w:val="0"/>
          <w:color w:val="000000"/>
          <w:spacing w:val="0"/>
          <w:sz w:val="31"/>
          <w:szCs w:val="31"/>
          <w:shd w:val="clear" w:color="auto" w:fill="FFFFFF"/>
        </w:rPr>
        <w:t>居家适老化</w:t>
      </w:r>
      <w:r>
        <w:fldChar w:fldCharType="end"/>
      </w:r>
      <w:r>
        <w:rPr>
          <w:rStyle w:val="6"/>
          <w:rFonts w:hint="eastAsia" w:ascii="方正仿宋_GBK" w:hAnsi="方正仿宋_GBK" w:eastAsia="方正仿宋_GBK" w:cs="方正仿宋_GBK"/>
          <w:b/>
          <w:i w:val="0"/>
          <w:color w:val="000000"/>
          <w:spacing w:val="0"/>
          <w:sz w:val="31"/>
          <w:szCs w:val="31"/>
          <w:shd w:val="clear" w:color="auto" w:fill="FFFFFF"/>
        </w:rPr>
        <w:t>改造，</w:t>
      </w:r>
      <w:r>
        <w:rPr>
          <w:rFonts w:hint="eastAsia" w:ascii="方正仿宋_GBK" w:hAnsi="方正仿宋_GBK" w:eastAsia="方正仿宋_GBK" w:cs="方正仿宋_GBK"/>
          <w:i w:val="0"/>
          <w:color w:val="212529"/>
          <w:spacing w:val="0"/>
          <w:sz w:val="31"/>
          <w:szCs w:val="31"/>
          <w:shd w:val="clear" w:color="auto" w:fill="FFFFFF"/>
        </w:rPr>
        <w:t>采取政府补贴等方式，引导社会化专业机构对城乡最低生活保障家庭、最低生活保障边缘家庭、分散特困供养老年人家庭中的高龄、失能、残疾老年人家庭实施适老化改造，重点满足老年人居家生活照料、起居行动、康复护理等需求。</w:t>
      </w:r>
      <w:r>
        <w:rPr>
          <w:rStyle w:val="6"/>
          <w:rFonts w:hint="eastAsia" w:ascii="方正仿宋_GBK" w:hAnsi="方正仿宋_GBK" w:eastAsia="方正仿宋_GBK" w:cs="方正仿宋_GBK"/>
          <w:b/>
          <w:i w:val="0"/>
          <w:color w:val="000000"/>
          <w:spacing w:val="0"/>
          <w:sz w:val="31"/>
          <w:szCs w:val="31"/>
          <w:shd w:val="clear" w:color="auto" w:fill="FFFFFF"/>
        </w:rPr>
        <w:t>提升老年人医疗健康服务水平，</w:t>
      </w:r>
      <w:r>
        <w:rPr>
          <w:rFonts w:hint="eastAsia" w:ascii="方正仿宋_GBK" w:hAnsi="方正仿宋_GBK" w:eastAsia="方正仿宋_GBK" w:cs="方正仿宋_GBK"/>
          <w:i w:val="0"/>
          <w:color w:val="000000"/>
          <w:spacing w:val="0"/>
          <w:sz w:val="31"/>
          <w:szCs w:val="31"/>
          <w:shd w:val="clear" w:color="auto" w:fill="FFFFFF"/>
        </w:rPr>
        <w:t>提高老年人家庭医生签约率，落实基本公共卫生服务老年人健康管理项目，全市医院</w:t>
      </w:r>
      <w:r>
        <w:rPr>
          <w:rFonts w:hint="default" w:ascii="Times New Roman" w:hAnsi="Times New Roman" w:cs="Times New Roman"/>
          <w:i w:val="0"/>
          <w:color w:val="000000"/>
          <w:spacing w:val="0"/>
          <w:sz w:val="31"/>
          <w:szCs w:val="31"/>
          <w:shd w:val="clear" w:color="auto" w:fill="FFFFFF"/>
        </w:rPr>
        <w:t>100%</w:t>
      </w:r>
      <w:r>
        <w:rPr>
          <w:rFonts w:hint="eastAsia" w:ascii="方正仿宋_GBK" w:hAnsi="方正仿宋_GBK" w:eastAsia="方正仿宋_GBK" w:cs="方正仿宋_GBK"/>
          <w:i w:val="0"/>
          <w:color w:val="000000"/>
          <w:spacing w:val="0"/>
          <w:sz w:val="31"/>
          <w:szCs w:val="31"/>
          <w:shd w:val="clear" w:color="auto" w:fill="FFFFFF"/>
        </w:rPr>
        <w:t>建立老年人就医绿色通道。</w:t>
      </w:r>
      <w:r>
        <w:rPr>
          <w:rFonts w:hint="eastAsia" w:ascii="方正仿宋_GBK" w:hAnsi="方正仿宋_GBK" w:eastAsia="方正仿宋_GBK" w:cs="方正仿宋_GBK"/>
          <w:color w:val="000000"/>
          <w:spacing w:val="0"/>
          <w:sz w:val="31"/>
          <w:szCs w:val="31"/>
        </w:rPr>
        <w:t>全市</w:t>
      </w:r>
      <w:r>
        <w:rPr>
          <w:rFonts w:hint="default" w:ascii="Times New Roman" w:hAnsi="Times New Roman" w:cs="Times New Roman"/>
          <w:color w:val="000000"/>
          <w:sz w:val="31"/>
          <w:szCs w:val="31"/>
        </w:rPr>
        <w:t>65-74</w:t>
      </w:r>
      <w:r>
        <w:rPr>
          <w:rFonts w:hint="eastAsia" w:ascii="方正仿宋_GBK" w:hAnsi="方正仿宋_GBK" w:eastAsia="方正仿宋_GBK" w:cs="方正仿宋_GBK"/>
          <w:color w:val="000000"/>
          <w:spacing w:val="0"/>
          <w:sz w:val="31"/>
          <w:szCs w:val="31"/>
        </w:rPr>
        <w:t>岁老年人失能发生率有所下降；</w:t>
      </w:r>
      <w:r>
        <w:rPr>
          <w:rFonts w:hint="default" w:ascii="Times New Roman" w:hAnsi="Times New Roman" w:cs="Times New Roman"/>
          <w:color w:val="000000"/>
          <w:sz w:val="31"/>
          <w:szCs w:val="31"/>
        </w:rPr>
        <w:t>65</w:t>
      </w:r>
      <w:r>
        <w:rPr>
          <w:rFonts w:hint="eastAsia" w:ascii="方正仿宋_GBK" w:hAnsi="方正仿宋_GBK" w:eastAsia="方正仿宋_GBK" w:cs="方正仿宋_GBK"/>
          <w:color w:val="000000"/>
          <w:sz w:val="31"/>
          <w:szCs w:val="31"/>
        </w:rPr>
        <w:t>岁及以上老年人城乡</w:t>
      </w:r>
      <w:r>
        <w:rPr>
          <w:rFonts w:hint="eastAsia" w:ascii="方正仿宋_GBK" w:hAnsi="方正仿宋_GBK" w:eastAsia="方正仿宋_GBK" w:cs="方正仿宋_GBK"/>
          <w:color w:val="000000"/>
          <w:spacing w:val="0"/>
          <w:sz w:val="31"/>
          <w:szCs w:val="31"/>
        </w:rPr>
        <w:t>社区规范化健康管理服务率达到</w:t>
      </w:r>
      <w:r>
        <w:rPr>
          <w:rFonts w:hint="default" w:ascii="Times New Roman" w:hAnsi="Times New Roman" w:cs="Times New Roman"/>
          <w:color w:val="000000"/>
          <w:sz w:val="31"/>
          <w:szCs w:val="31"/>
        </w:rPr>
        <w:t>65</w:t>
      </w:r>
      <w:r>
        <w:rPr>
          <w:rFonts w:hint="eastAsia" w:ascii="方正仿宋_GBK" w:hAnsi="方正仿宋_GBK" w:eastAsia="方正仿宋_GBK" w:cs="方正仿宋_GBK"/>
          <w:color w:val="000000"/>
          <w:spacing w:val="0"/>
          <w:sz w:val="31"/>
          <w:szCs w:val="31"/>
        </w:rPr>
        <w:t>％以上；</w:t>
      </w:r>
      <w:r>
        <w:rPr>
          <w:rFonts w:hint="default" w:ascii="Times New Roman" w:hAnsi="Times New Roman" w:cs="Times New Roman"/>
          <w:color w:val="000000"/>
          <w:sz w:val="31"/>
          <w:szCs w:val="31"/>
        </w:rPr>
        <w:t>65</w:t>
      </w:r>
      <w:r>
        <w:rPr>
          <w:rFonts w:hint="eastAsia" w:ascii="方正仿宋_GBK" w:hAnsi="方正仿宋_GBK" w:eastAsia="方正仿宋_GBK" w:cs="方正仿宋_GBK"/>
          <w:color w:val="000000"/>
          <w:sz w:val="31"/>
          <w:szCs w:val="31"/>
        </w:rPr>
        <w:t>岁及以上老年人</w:t>
      </w:r>
      <w:r>
        <w:rPr>
          <w:rFonts w:hint="eastAsia" w:ascii="方正仿宋_GBK" w:hAnsi="方正仿宋_GBK" w:eastAsia="方正仿宋_GBK" w:cs="方正仿宋_GBK"/>
          <w:color w:val="000000"/>
          <w:spacing w:val="0"/>
          <w:sz w:val="31"/>
          <w:szCs w:val="31"/>
        </w:rPr>
        <w:t>中医药健康管理率达到</w:t>
      </w:r>
      <w:r>
        <w:rPr>
          <w:rFonts w:hint="default" w:ascii="Times New Roman" w:hAnsi="Times New Roman" w:cs="Times New Roman"/>
          <w:color w:val="000000"/>
          <w:spacing w:val="0"/>
          <w:sz w:val="31"/>
          <w:szCs w:val="31"/>
        </w:rPr>
        <w:t>75</w:t>
      </w:r>
      <w:r>
        <w:rPr>
          <w:rFonts w:hint="eastAsia" w:ascii="方正仿宋_GBK" w:hAnsi="方正仿宋_GBK" w:eastAsia="方正仿宋_GBK" w:cs="方正仿宋_GBK"/>
          <w:color w:val="000000"/>
          <w:spacing w:val="0"/>
          <w:sz w:val="31"/>
          <w:szCs w:val="31"/>
        </w:rPr>
        <w:t>％以上；二级及以上公立综合医院设立老年医学科的比例达到</w:t>
      </w:r>
      <w:r>
        <w:rPr>
          <w:rFonts w:hint="default" w:ascii="Times New Roman" w:hAnsi="Times New Roman" w:cs="Times New Roman"/>
          <w:color w:val="000000"/>
          <w:spacing w:val="0"/>
          <w:sz w:val="31"/>
          <w:szCs w:val="31"/>
        </w:rPr>
        <w:t>60</w:t>
      </w:r>
      <w:r>
        <w:rPr>
          <w:rFonts w:hint="eastAsia" w:ascii="方正仿宋_GBK" w:hAnsi="方正仿宋_GBK" w:eastAsia="方正仿宋_GBK" w:cs="方正仿宋_GBK"/>
          <w:color w:val="000000"/>
          <w:spacing w:val="0"/>
          <w:sz w:val="31"/>
          <w:szCs w:val="31"/>
        </w:rPr>
        <w:t>％以上；综合性医院、康复医院、护理院和基层医疗卫生机构中老年友善医疗卫生机构占比达到</w:t>
      </w:r>
      <w:r>
        <w:rPr>
          <w:rFonts w:hint="default" w:ascii="Times New Roman" w:hAnsi="Times New Roman" w:cs="Times New Roman"/>
          <w:color w:val="000000"/>
          <w:sz w:val="31"/>
          <w:szCs w:val="31"/>
        </w:rPr>
        <w:t>85</w:t>
      </w:r>
      <w:r>
        <w:rPr>
          <w:rFonts w:hint="eastAsia" w:ascii="方正仿宋_GBK" w:hAnsi="方正仿宋_GBK" w:eastAsia="方正仿宋_GBK" w:cs="方正仿宋_GBK"/>
          <w:color w:val="000000"/>
          <w:sz w:val="31"/>
          <w:szCs w:val="31"/>
        </w:rPr>
        <w:t>％以上；三级中医医院设置康复（医学）科的比例达到</w:t>
      </w:r>
      <w:r>
        <w:rPr>
          <w:rFonts w:hint="default" w:ascii="Times New Roman" w:hAnsi="Times New Roman" w:cs="Times New Roman"/>
          <w:color w:val="000000"/>
          <w:sz w:val="31"/>
          <w:szCs w:val="31"/>
        </w:rPr>
        <w:t>85</w:t>
      </w:r>
      <w:r>
        <w:rPr>
          <w:rFonts w:hint="eastAsia" w:ascii="方正仿宋_GBK" w:hAnsi="方正仿宋_GBK" w:eastAsia="方正仿宋_GBK" w:cs="方正仿宋_GBK"/>
          <w:color w:val="000000"/>
          <w:sz w:val="31"/>
          <w:szCs w:val="31"/>
        </w:rPr>
        <w:t>％以上；</w:t>
      </w:r>
      <w:r>
        <w:rPr>
          <w:rFonts w:hint="eastAsia" w:ascii="方正仿宋_GBK" w:hAnsi="方正仿宋_GBK" w:eastAsia="方正仿宋_GBK" w:cs="方正仿宋_GBK"/>
          <w:color w:val="000000"/>
          <w:spacing w:val="0"/>
          <w:sz w:val="31"/>
          <w:szCs w:val="31"/>
        </w:rPr>
        <w:t>力争每个县（市、区）至少一</w:t>
      </w:r>
      <w:r>
        <w:rPr>
          <w:rFonts w:hint="eastAsia" w:ascii="方正仿宋_GBK" w:hAnsi="方正仿宋_GBK" w:eastAsia="方正仿宋_GBK" w:cs="方正仿宋_GBK"/>
          <w:color w:val="000000"/>
          <w:sz w:val="31"/>
          <w:szCs w:val="31"/>
        </w:rPr>
        <w:t>个村（社区）设有老年心理关爱点。</w:t>
      </w:r>
      <w:r>
        <w:rPr>
          <w:rFonts w:hint="eastAsia" w:ascii="方正楷体_GBK" w:hAnsi="方正楷体_GBK" w:eastAsia="方正楷体_GBK" w:cs="方正楷体_GBK"/>
          <w:sz w:val="31"/>
          <w:szCs w:val="31"/>
        </w:rPr>
        <w:t>（牵头单位：市民政局；责任单位：市财政局、市卫生健康委、市医保局、市残联，各县市区人民政府，曲靖经开区管委会）</w:t>
      </w:r>
    </w:p>
    <w:p w14:paraId="2EB96452">
      <w:pPr>
        <w:pStyle w:val="3"/>
        <w:keepNext w:val="0"/>
        <w:keepLines w:val="0"/>
        <w:widowControl/>
        <w:suppressLineNumbers w:val="0"/>
        <w:autoSpaceDE w:val="0"/>
        <w:autoSpaceDN/>
        <w:ind w:left="0" w:firstLine="645"/>
        <w:jc w:val="both"/>
      </w:pPr>
      <w:r>
        <w:rPr>
          <w:rFonts w:hint="eastAsia" w:ascii="方正楷体_GBK" w:hAnsi="方正楷体_GBK" w:eastAsia="方正楷体_GBK" w:cs="方正楷体_GBK"/>
          <w:sz w:val="31"/>
          <w:szCs w:val="31"/>
        </w:rPr>
        <w:t>（四）提升服务品质，推动基本养老服务增效扩容</w:t>
      </w:r>
    </w:p>
    <w:p w14:paraId="33957D5C">
      <w:pPr>
        <w:pStyle w:val="3"/>
        <w:keepNext w:val="0"/>
        <w:keepLines w:val="0"/>
        <w:widowControl/>
        <w:suppressLineNumbers w:val="0"/>
        <w:autoSpaceDE w:val="0"/>
        <w:autoSpaceDN/>
        <w:ind w:left="0" w:firstLine="645"/>
      </w:pPr>
      <w:r>
        <w:rPr>
          <w:rStyle w:val="6"/>
          <w:rFonts w:hint="default" w:ascii="Times New Roman" w:hAnsi="Times New Roman" w:cs="Times New Roman"/>
          <w:b/>
          <w:i w:val="0"/>
          <w:color w:val="000000"/>
          <w:spacing w:val="0"/>
          <w:sz w:val="31"/>
          <w:szCs w:val="31"/>
          <w:shd w:val="clear" w:color="auto" w:fill="FFFFFF"/>
        </w:rPr>
        <w:t>1.</w:t>
      </w:r>
      <w:r>
        <w:rPr>
          <w:rStyle w:val="6"/>
          <w:rFonts w:hint="eastAsia" w:ascii="方正仿宋_GBK" w:hAnsi="方正仿宋_GBK" w:eastAsia="方正仿宋_GBK" w:cs="方正仿宋_GBK"/>
          <w:b/>
          <w:i w:val="0"/>
          <w:color w:val="000000"/>
          <w:spacing w:val="0"/>
          <w:sz w:val="31"/>
          <w:szCs w:val="31"/>
          <w:shd w:val="clear" w:color="auto" w:fill="FFFFFF"/>
        </w:rPr>
        <w:t>完善基本养老服务标准体系。</w:t>
      </w:r>
      <w:r>
        <w:rPr>
          <w:rFonts w:hint="eastAsia" w:ascii="方正仿宋_GBK" w:hAnsi="方正仿宋_GBK" w:eastAsia="方正仿宋_GBK" w:cs="方正仿宋_GBK"/>
          <w:i w:val="0"/>
          <w:color w:val="000000"/>
          <w:spacing w:val="0"/>
          <w:sz w:val="31"/>
          <w:szCs w:val="31"/>
          <w:shd w:val="clear" w:color="auto" w:fill="FFFFFF"/>
        </w:rPr>
        <w:t>贯彻落实《养老机构管理办法》</w:t>
      </w:r>
      <w:r>
        <w:fldChar w:fldCharType="begin"/>
      </w:r>
      <w:r>
        <w:instrText xml:space="preserve"> HYPERLINK "https://www.yanglaocn.com/shtml/20200113/1578896117122237.html" \o "《养老机构服务安全基本规范》" </w:instrText>
      </w:r>
      <w:r>
        <w:fldChar w:fldCharType="separate"/>
      </w:r>
      <w:r>
        <w:rPr>
          <w:rStyle w:val="7"/>
          <w:rFonts w:hint="eastAsia" w:ascii="方正仿宋_GBK" w:hAnsi="方正仿宋_GBK" w:eastAsia="方正仿宋_GBK" w:cs="方正仿宋_GBK"/>
          <w:i w:val="0"/>
          <w:color w:val="000000"/>
          <w:spacing w:val="0"/>
          <w:sz w:val="31"/>
          <w:szCs w:val="31"/>
          <w:shd w:val="clear" w:color="auto" w:fill="FFFFFF"/>
        </w:rPr>
        <w:t>《养老机构服务安全基本规范》</w:t>
      </w:r>
      <w:r>
        <w:fldChar w:fldCharType="end"/>
      </w:r>
      <w:r>
        <w:rPr>
          <w:rFonts w:hint="eastAsia" w:ascii="方正仿宋_GBK" w:hAnsi="方正仿宋_GBK" w:eastAsia="方正仿宋_GBK" w:cs="方正仿宋_GBK"/>
          <w:i w:val="0"/>
          <w:color w:val="000000"/>
          <w:spacing w:val="0"/>
          <w:sz w:val="31"/>
          <w:szCs w:val="31"/>
          <w:shd w:val="clear" w:color="auto" w:fill="FFFFFF"/>
        </w:rPr>
        <w:t>等强制性国家标准、行业标准，严格落实《曲靖市养老服务促进条例》，督促养老机构在消防、卫生与健康、食品药品、风险评估、服务防护及安全管理等方面符合相关规定，确保到</w:t>
      </w:r>
      <w:r>
        <w:rPr>
          <w:rFonts w:hint="default" w:ascii="Times New Roman" w:hAnsi="Times New Roman" w:cs="Times New Roman"/>
          <w:i w:val="0"/>
          <w:color w:val="000000"/>
          <w:spacing w:val="0"/>
          <w:sz w:val="31"/>
          <w:szCs w:val="31"/>
          <w:shd w:val="clear" w:color="auto" w:fill="FFFFFF"/>
        </w:rPr>
        <w:t>2025</w:t>
      </w:r>
      <w:r>
        <w:rPr>
          <w:rFonts w:hint="eastAsia" w:ascii="方正仿宋_GBK" w:hAnsi="方正仿宋_GBK" w:eastAsia="方正仿宋_GBK" w:cs="方正仿宋_GBK"/>
          <w:i w:val="0"/>
          <w:color w:val="000000"/>
          <w:spacing w:val="0"/>
          <w:sz w:val="31"/>
          <w:szCs w:val="31"/>
          <w:shd w:val="clear" w:color="auto" w:fill="FFFFFF"/>
        </w:rPr>
        <w:t>年，全市养老机构</w:t>
      </w:r>
      <w:r>
        <w:rPr>
          <w:rFonts w:hint="default" w:ascii="Times New Roman" w:hAnsi="Times New Roman" w:cs="Times New Roman"/>
          <w:i w:val="0"/>
          <w:color w:val="000000"/>
          <w:spacing w:val="0"/>
          <w:sz w:val="31"/>
          <w:szCs w:val="31"/>
          <w:shd w:val="clear" w:color="auto" w:fill="FFFFFF"/>
        </w:rPr>
        <w:t>100%</w:t>
      </w:r>
      <w:r>
        <w:rPr>
          <w:rFonts w:hint="eastAsia" w:ascii="方正仿宋_GBK" w:hAnsi="方正仿宋_GBK" w:eastAsia="方正仿宋_GBK" w:cs="方正仿宋_GBK"/>
          <w:i w:val="0"/>
          <w:color w:val="000000"/>
          <w:spacing w:val="0"/>
          <w:sz w:val="31"/>
          <w:szCs w:val="31"/>
          <w:shd w:val="clear" w:color="auto" w:fill="FFFFFF"/>
        </w:rPr>
        <w:t>达标。</w:t>
      </w:r>
      <w:r>
        <w:rPr>
          <w:rStyle w:val="6"/>
          <w:rFonts w:hint="eastAsia" w:ascii="方正仿宋_GBK" w:hAnsi="方正仿宋_GBK" w:eastAsia="方正仿宋_GBK" w:cs="方正仿宋_GBK"/>
          <w:b/>
          <w:i w:val="0"/>
          <w:color w:val="000000"/>
          <w:spacing w:val="0"/>
          <w:sz w:val="31"/>
          <w:szCs w:val="31"/>
          <w:shd w:val="clear" w:color="auto" w:fill="FFFFFF"/>
        </w:rPr>
        <w:t>开展养老机构评星定级，</w:t>
      </w:r>
      <w:r>
        <w:rPr>
          <w:rFonts w:hint="eastAsia" w:ascii="方正仿宋_GBK" w:hAnsi="方正仿宋_GBK" w:eastAsia="方正仿宋_GBK" w:cs="方正仿宋_GBK"/>
          <w:i w:val="0"/>
          <w:color w:val="000000"/>
          <w:spacing w:val="0"/>
          <w:sz w:val="31"/>
          <w:szCs w:val="31"/>
          <w:shd w:val="clear" w:color="auto" w:fill="FFFFFF"/>
        </w:rPr>
        <w:t>严格按照《</w:t>
      </w:r>
      <w:r>
        <w:fldChar w:fldCharType="begin"/>
      </w:r>
      <w:r>
        <w:instrText xml:space="preserve"> HYPERLINK "https://www.yanglaocn.com/shtml/juhe/jh6529.html" \o "养老机构等级划分与评定" </w:instrText>
      </w:r>
      <w:r>
        <w:fldChar w:fldCharType="separate"/>
      </w:r>
      <w:r>
        <w:rPr>
          <w:rStyle w:val="7"/>
          <w:rFonts w:hint="eastAsia" w:ascii="方正仿宋_GBK" w:hAnsi="方正仿宋_GBK" w:eastAsia="方正仿宋_GBK" w:cs="方正仿宋_GBK"/>
          <w:i w:val="0"/>
          <w:color w:val="000000"/>
          <w:spacing w:val="0"/>
          <w:sz w:val="31"/>
          <w:szCs w:val="31"/>
          <w:shd w:val="clear" w:color="auto" w:fill="FFFFFF"/>
        </w:rPr>
        <w:t>养老机构等级划分与评定</w:t>
      </w:r>
      <w:r>
        <w:fldChar w:fldCharType="end"/>
      </w:r>
      <w:r>
        <w:rPr>
          <w:rFonts w:hint="eastAsia" w:ascii="方正仿宋_GBK" w:hAnsi="方正仿宋_GBK" w:eastAsia="方正仿宋_GBK" w:cs="方正仿宋_GBK"/>
          <w:i w:val="0"/>
          <w:color w:val="000000"/>
          <w:spacing w:val="0"/>
          <w:sz w:val="31"/>
          <w:szCs w:val="31"/>
          <w:shd w:val="clear" w:color="auto" w:fill="FFFFFF"/>
        </w:rPr>
        <w:t>》评定标椎，星级评定结果与运营补贴挂钩，引导养老服务机构对照标准改善室内外环境、加强设施设备配置、强化运营管理、提高运营服务质量。</w:t>
      </w:r>
      <w:r>
        <w:rPr>
          <w:rFonts w:hint="eastAsia" w:ascii="方正楷体_GBK" w:hAnsi="方正楷体_GBK" w:eastAsia="方正楷体_GBK" w:cs="方正楷体_GBK"/>
          <w:sz w:val="31"/>
          <w:szCs w:val="31"/>
        </w:rPr>
        <w:t>（牵头单位：市民政局；责任单位：市住房和城乡建设局、市市场监督管理局、市消防救助支队、市应急管理局、市委编办、市财政局、市卫生健康委、市医保局、市残联，各县市区人民政府，曲靖经开区管委会）</w:t>
      </w:r>
    </w:p>
    <w:p w14:paraId="3A1F49D3">
      <w:pPr>
        <w:pStyle w:val="3"/>
        <w:keepNext w:val="0"/>
        <w:keepLines w:val="0"/>
        <w:widowControl/>
        <w:suppressLineNumbers w:val="0"/>
        <w:autoSpaceDE w:val="0"/>
        <w:autoSpaceDN/>
        <w:ind w:left="0" w:firstLine="645"/>
      </w:pPr>
      <w:r>
        <w:t>2.加大对基本养老服务的支持力度。建立完善基本养老服务经费保障机制，市、县两级人民政府应根据经济社会发展状况和老年人口增长情况，逐步加大基本养老服务经费投入。严格落实福利彩票公益金不低于60%用于养老服务。完善和落实优惠扶持政策，优化养老服务机构建设补助、运营补助等政策，支持养老服务机构提供基本养老服务。发挥国有经济作用，提升国有经济对养老服务体系的支持能力，强化国有经济在基本养老服务领域有效供给。推动有条件的党政机关和国有事业单位所属培训疗养机构转型为普惠型养老服务设施。引导社会广泛参与，鼓励各类企业、社会组织、个人为基本养老服务提供支持和帮助，倡导社会各界对养老事业的慈善捐赠，形成财政资金、社会资本、慈善资金等多元结合的投入机制。（牵头单位：市民政局；责任单位：市发展改革委、市国资委、市住房和城乡建设局、市市场监督管理局、市消防救助支队、市应急管理局、市委编办、市财政局、市卫生健康委、市医保局，各县市区人民政府，曲靖经开区管委会）</w:t>
      </w:r>
    </w:p>
    <w:p w14:paraId="096B68BD">
      <w:pPr>
        <w:pStyle w:val="3"/>
        <w:keepNext w:val="0"/>
        <w:keepLines w:val="0"/>
        <w:widowControl/>
        <w:suppressLineNumbers w:val="0"/>
        <w:autoSpaceDE w:val="0"/>
        <w:autoSpaceDN/>
        <w:ind w:left="0" w:firstLine="645"/>
      </w:pPr>
      <w:r>
        <w:rPr>
          <w:rFonts w:hint="eastAsia" w:ascii="方正黑体_GBK" w:hAnsi="方正黑体_GBK" w:eastAsia="方正黑体_GBK" w:cs="方正黑体_GBK"/>
          <w:sz w:val="31"/>
          <w:szCs w:val="31"/>
        </w:rPr>
        <w:t>三、组织保障</w:t>
      </w:r>
    </w:p>
    <w:p w14:paraId="2C1D20A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autoSpaceDE w:val="0"/>
        <w:autoSpaceDN/>
        <w:spacing w:before="0" w:beforeAutospacing="0" w:after="0" w:afterAutospacing="0"/>
        <w:ind w:left="0" w:right="0" w:firstLine="645"/>
        <w:jc w:val="both"/>
      </w:pPr>
      <w:r>
        <w:rPr>
          <w:rStyle w:val="6"/>
          <w:rFonts w:hint="eastAsia" w:ascii="方正仿宋_GBK" w:hAnsi="方正仿宋_GBK" w:eastAsia="方正仿宋_GBK" w:cs="方正仿宋_GBK"/>
          <w:b/>
          <w:i w:val="0"/>
          <w:color w:val="000000"/>
          <w:spacing w:val="0"/>
          <w:sz w:val="31"/>
          <w:szCs w:val="31"/>
          <w:shd w:val="clear" w:color="auto" w:fill="FFFFFF"/>
        </w:rPr>
        <w:t>（一）加强组织领导。</w:t>
      </w:r>
      <w:r>
        <w:rPr>
          <w:rFonts w:hint="eastAsia" w:ascii="方正仿宋_GBK" w:hAnsi="方正仿宋_GBK" w:eastAsia="方正仿宋_GBK" w:cs="方正仿宋_GBK"/>
          <w:sz w:val="31"/>
          <w:szCs w:val="31"/>
          <w:shd w:val="clear" w:color="auto" w:fill="FFFFFF"/>
        </w:rPr>
        <w:t>坚持和加强党对养老服务工作的全面领导，</w:t>
      </w:r>
      <w:r>
        <w:rPr>
          <w:rFonts w:hint="eastAsia" w:ascii="方正仿宋_GBK" w:hAnsi="方正仿宋_GBK" w:eastAsia="方正仿宋_GBK" w:cs="方正仿宋_GBK"/>
          <w:i w:val="0"/>
          <w:color w:val="000000"/>
          <w:spacing w:val="0"/>
          <w:sz w:val="31"/>
          <w:szCs w:val="31"/>
          <w:shd w:val="clear" w:color="auto" w:fill="FFFFFF"/>
        </w:rPr>
        <w:t>强化各级党委政府落实《清单》的主体责任，将基本养老服务体系建设纳入重要议事日程，为各服务项目实施提供坚强保障。各有关部门和单位要按照职责分工，推进</w:t>
      </w:r>
      <w:r>
        <w:rPr>
          <w:rFonts w:hint="eastAsia" w:ascii="方正仿宋_GBK" w:hAnsi="方正仿宋_GBK" w:eastAsia="方正仿宋_GBK" w:cs="方正仿宋_GBK"/>
          <w:sz w:val="31"/>
          <w:szCs w:val="31"/>
          <w:shd w:val="clear" w:color="auto" w:fill="FFFFFF"/>
        </w:rPr>
        <w:t>任务项目化、项目清单化、清单具体化抓好各项任务落实。</w:t>
      </w:r>
      <w:r>
        <w:rPr>
          <w:rFonts w:hint="eastAsia" w:ascii="方正仿宋_GBK" w:hAnsi="方正仿宋_GBK" w:eastAsia="方正仿宋_GBK" w:cs="方正仿宋_GBK"/>
          <w:i w:val="0"/>
          <w:color w:val="000000"/>
          <w:spacing w:val="0"/>
          <w:sz w:val="31"/>
          <w:szCs w:val="31"/>
          <w:shd w:val="clear" w:color="auto" w:fill="FFFFFF"/>
        </w:rPr>
        <w:t>发挥</w:t>
      </w:r>
      <w:r>
        <w:rPr>
          <w:rFonts w:hint="eastAsia" w:ascii="方正仿宋_GBK" w:hAnsi="方正仿宋_GBK" w:eastAsia="方正仿宋_GBK" w:cs="方正仿宋_GBK"/>
          <w:sz w:val="31"/>
          <w:szCs w:val="31"/>
          <w:shd w:val="clear" w:color="auto" w:fill="FFFFFF"/>
        </w:rPr>
        <w:t>各级养老服务联席会议制度</w:t>
      </w:r>
      <w:r>
        <w:rPr>
          <w:rFonts w:hint="eastAsia" w:ascii="方正仿宋_GBK" w:hAnsi="方正仿宋_GBK" w:eastAsia="方正仿宋_GBK" w:cs="方正仿宋_GBK"/>
          <w:i w:val="0"/>
          <w:color w:val="000000"/>
          <w:spacing w:val="0"/>
          <w:sz w:val="31"/>
          <w:szCs w:val="31"/>
          <w:shd w:val="clear" w:color="auto" w:fill="FFFFFF"/>
        </w:rPr>
        <w:t>牵头协调作用，研究并推动解决基本养老服务体系建设工作中的重点、难点问题。</w:t>
      </w:r>
    </w:p>
    <w:p w14:paraId="6A9A07D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autoSpaceDE w:val="0"/>
        <w:autoSpaceDN/>
        <w:spacing w:before="0" w:beforeAutospacing="0" w:after="0" w:afterAutospacing="0"/>
        <w:ind w:left="0" w:right="0" w:firstLine="645"/>
        <w:jc w:val="both"/>
      </w:pPr>
      <w:r>
        <w:rPr>
          <w:rStyle w:val="6"/>
          <w:rFonts w:hint="eastAsia" w:ascii="方正仿宋_GBK" w:hAnsi="方正仿宋_GBK" w:eastAsia="方正仿宋_GBK" w:cs="方正仿宋_GBK"/>
          <w:b/>
          <w:i w:val="0"/>
          <w:color w:val="000000"/>
          <w:spacing w:val="0"/>
          <w:sz w:val="31"/>
          <w:szCs w:val="31"/>
          <w:shd w:val="clear" w:color="auto" w:fill="FFFFFF"/>
        </w:rPr>
        <w:t>（二）强化督导检查。</w:t>
      </w:r>
      <w:r>
        <w:rPr>
          <w:rFonts w:hint="eastAsia" w:ascii="方正仿宋_GBK" w:hAnsi="方正仿宋_GBK" w:eastAsia="方正仿宋_GBK" w:cs="方正仿宋_GBK"/>
          <w:i w:val="0"/>
          <w:color w:val="000000"/>
          <w:spacing w:val="0"/>
          <w:sz w:val="31"/>
          <w:szCs w:val="31"/>
          <w:shd w:val="clear" w:color="auto" w:fill="FFFFFF"/>
        </w:rPr>
        <w:t>市养老服务联席会议办公室会同成员单位建立动态监测和评估评价机制，加强组织、协调和督导，及时向市委、市人民政府报告工作进展情况。基本养老服务有关情况纳入市委、市政府对各县（市、区）和市直有关单位考核，养老服务政策落实情况和营商环境中养老服务情况纳入市对县考核。</w:t>
      </w:r>
    </w:p>
    <w:p w14:paraId="2559E58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autoSpaceDE w:val="0"/>
        <w:autoSpaceDN/>
        <w:spacing w:before="0" w:beforeAutospacing="0" w:after="0" w:afterAutospacing="0"/>
        <w:ind w:left="0" w:right="0" w:firstLine="645"/>
        <w:jc w:val="both"/>
      </w:pPr>
      <w:r>
        <w:rPr>
          <w:rStyle w:val="6"/>
          <w:rFonts w:hint="eastAsia" w:ascii="方正仿宋_GBK" w:hAnsi="方正仿宋_GBK" w:eastAsia="方正仿宋_GBK" w:cs="方正仿宋_GBK"/>
          <w:b/>
          <w:i w:val="0"/>
          <w:color w:val="000000"/>
          <w:spacing w:val="0"/>
          <w:sz w:val="31"/>
          <w:szCs w:val="31"/>
          <w:shd w:val="clear" w:color="auto" w:fill="FFFFFF"/>
        </w:rPr>
        <w:t>（三）凝聚社会共识。</w:t>
      </w:r>
      <w:r>
        <w:rPr>
          <w:rFonts w:hint="eastAsia" w:ascii="方正仿宋_GBK" w:hAnsi="方正仿宋_GBK" w:eastAsia="方正仿宋_GBK" w:cs="方正仿宋_GBK"/>
          <w:i w:val="0"/>
          <w:color w:val="000000"/>
          <w:spacing w:val="0"/>
          <w:sz w:val="31"/>
          <w:szCs w:val="31"/>
          <w:shd w:val="clear" w:color="auto" w:fill="FFFFFF"/>
        </w:rPr>
        <w:t>各地区、各有关部门要主动做好推进基本养老服务体系建设的政策措施和《清单》有关政策的宣传解读，及时公开基本养老服务信息，畅通意见建议反馈渠道，充分调动各方支持配合基本养老服务体系建设的积极性和主动性。各地各有关部门要积极宣传养老服务的好经验好做法。</w:t>
      </w:r>
    </w:p>
    <w:p w14:paraId="59FAF845">
      <w:pPr>
        <w:pStyle w:val="3"/>
        <w:keepNext w:val="0"/>
        <w:keepLines w:val="0"/>
        <w:widowControl/>
        <w:suppressLineNumbers w:val="0"/>
      </w:pPr>
    </w:p>
    <w:p w14:paraId="42155086">
      <w:pPr>
        <w:rPr>
          <w:rFonts w:hint="default"/>
          <w:lang w:val="en-US"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Kai">
    <w:altName w:val="Segoe Print"/>
    <w:panose1 w:val="00000000000000000000"/>
    <w:charset w:val="00"/>
    <w:family w:val="script"/>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方正小标宋_GBK">
    <w:altName w:val="Arial Unicode MS"/>
    <w:panose1 w:val="03000509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楷体">
    <w:panose1 w:val="02010609060101010101"/>
    <w:charset w:val="86"/>
    <w:family w:val="auto"/>
    <w:pitch w:val="default"/>
    <w:sig w:usb0="800002BF" w:usb1="38CF7CFA" w:usb2="00000016" w:usb3="00000000" w:csb0="00040001" w:csb1="00000000"/>
  </w:font>
  <w:font w:name="方正仿宋_GBK">
    <w:altName w:val="Arial Unicode MS"/>
    <w:panose1 w:val="03000509000000000000"/>
    <w:charset w:val="86"/>
    <w:family w:val="auto"/>
    <w:pitch w:val="default"/>
    <w:sig w:usb0="00000000" w:usb1="00000000" w:usb2="00000000" w:usb3="00000000" w:csb0="00040000" w:csb1="00000000"/>
  </w:font>
  <w:font w:name="方正黑体_GBK">
    <w:altName w:val="Arial Unicode MS"/>
    <w:panose1 w:val="03000509000000000000"/>
    <w:charset w:val="86"/>
    <w:family w:val="auto"/>
    <w:pitch w:val="default"/>
    <w:sig w:usb0="00000000" w:usb1="00000000" w:usb2="00000000" w:usb3="00000000" w:csb0="00040000" w:csb1="00000000"/>
  </w:font>
  <w:font w:name="方正楷体_GBK">
    <w:altName w:val="Arial Unicode MS"/>
    <w:panose1 w:val="03000509000000000000"/>
    <w:charset w:val="86"/>
    <w:family w:val="auto"/>
    <w:pitch w:val="default"/>
    <w:sig w:usb0="00000000" w:usb1="00000000" w:usb2="00000000" w:usb3="00000000" w:csb0="00040000" w:csb1="00000000"/>
  </w:font>
  <w:font w:name="KSOF706E71A8">
    <w:panose1 w:val="020B0604020202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53EB6"/>
    <w:rsid w:val="006F60C7"/>
    <w:rsid w:val="04AD7E06"/>
    <w:rsid w:val="07E747B0"/>
    <w:rsid w:val="09815E90"/>
    <w:rsid w:val="09850BF8"/>
    <w:rsid w:val="0AC02044"/>
    <w:rsid w:val="0E1B7E6D"/>
    <w:rsid w:val="1026183F"/>
    <w:rsid w:val="1080660C"/>
    <w:rsid w:val="10AA52D5"/>
    <w:rsid w:val="12C97C35"/>
    <w:rsid w:val="14655983"/>
    <w:rsid w:val="14CE7A74"/>
    <w:rsid w:val="1502142C"/>
    <w:rsid w:val="1590719C"/>
    <w:rsid w:val="15C32CA2"/>
    <w:rsid w:val="17D25813"/>
    <w:rsid w:val="18402FCB"/>
    <w:rsid w:val="197317DE"/>
    <w:rsid w:val="19FB77F5"/>
    <w:rsid w:val="1BC553B7"/>
    <w:rsid w:val="1D1B277C"/>
    <w:rsid w:val="1D5235A8"/>
    <w:rsid w:val="1D7038E3"/>
    <w:rsid w:val="1E160442"/>
    <w:rsid w:val="1F3B5CD5"/>
    <w:rsid w:val="200C00E0"/>
    <w:rsid w:val="22334F43"/>
    <w:rsid w:val="22D11787"/>
    <w:rsid w:val="24D10F29"/>
    <w:rsid w:val="276D47AF"/>
    <w:rsid w:val="27CE7842"/>
    <w:rsid w:val="29DA3090"/>
    <w:rsid w:val="2C4C1BA4"/>
    <w:rsid w:val="2C590409"/>
    <w:rsid w:val="2C5F188E"/>
    <w:rsid w:val="2F996CB1"/>
    <w:rsid w:val="2FC877AA"/>
    <w:rsid w:val="32D55027"/>
    <w:rsid w:val="3337781E"/>
    <w:rsid w:val="33617636"/>
    <w:rsid w:val="340E7A0B"/>
    <w:rsid w:val="352260B4"/>
    <w:rsid w:val="35B32CBB"/>
    <w:rsid w:val="389B1B29"/>
    <w:rsid w:val="3B016296"/>
    <w:rsid w:val="3B67594F"/>
    <w:rsid w:val="3D5176A5"/>
    <w:rsid w:val="3E7C4B78"/>
    <w:rsid w:val="40FD2C67"/>
    <w:rsid w:val="41215A6B"/>
    <w:rsid w:val="4429557F"/>
    <w:rsid w:val="44937396"/>
    <w:rsid w:val="46F265E1"/>
    <w:rsid w:val="49346C62"/>
    <w:rsid w:val="49C548DE"/>
    <w:rsid w:val="49D41235"/>
    <w:rsid w:val="4CC17B18"/>
    <w:rsid w:val="4D5C4D1E"/>
    <w:rsid w:val="4EBF079D"/>
    <w:rsid w:val="50222FB9"/>
    <w:rsid w:val="50774557"/>
    <w:rsid w:val="510922D6"/>
    <w:rsid w:val="526A2012"/>
    <w:rsid w:val="52C360F6"/>
    <w:rsid w:val="536D6B29"/>
    <w:rsid w:val="53CF3D85"/>
    <w:rsid w:val="55D041A7"/>
    <w:rsid w:val="56276DB2"/>
    <w:rsid w:val="5654764B"/>
    <w:rsid w:val="56C57ADD"/>
    <w:rsid w:val="572F28CA"/>
    <w:rsid w:val="578E2B60"/>
    <w:rsid w:val="58284022"/>
    <w:rsid w:val="5851475A"/>
    <w:rsid w:val="59294730"/>
    <w:rsid w:val="5D2B05E4"/>
    <w:rsid w:val="5D4B5C1F"/>
    <w:rsid w:val="5E8B635C"/>
    <w:rsid w:val="5E8F6C53"/>
    <w:rsid w:val="600C3749"/>
    <w:rsid w:val="61BD0F60"/>
    <w:rsid w:val="61CF73C7"/>
    <w:rsid w:val="63317561"/>
    <w:rsid w:val="64ED6D40"/>
    <w:rsid w:val="68B03ACC"/>
    <w:rsid w:val="68BA611E"/>
    <w:rsid w:val="68CE3392"/>
    <w:rsid w:val="69005644"/>
    <w:rsid w:val="6CEA502F"/>
    <w:rsid w:val="6DBF12AA"/>
    <w:rsid w:val="6FF42DA2"/>
    <w:rsid w:val="70072BDC"/>
    <w:rsid w:val="72132863"/>
    <w:rsid w:val="7351411B"/>
    <w:rsid w:val="73817925"/>
    <w:rsid w:val="78A249E5"/>
    <w:rsid w:val="78BC6348"/>
    <w:rsid w:val="7925700A"/>
    <w:rsid w:val="792B2EEF"/>
    <w:rsid w:val="795B64AF"/>
    <w:rsid w:val="79F83816"/>
    <w:rsid w:val="7A45403C"/>
    <w:rsid w:val="7B3D5F97"/>
    <w:rsid w:val="7FA71F6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rFonts w:ascii="Kai" w:hAnsi="Kai" w:eastAsia="Kai" w:cs="Kai"/>
      <w:sz w:val="29"/>
      <w:szCs w:val="29"/>
      <w:lang w:val="en-US" w:eastAsia="zh-CN" w:bidi="ar-SA"/>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837</Words>
  <Characters>847</Characters>
  <Lines>0</Lines>
  <Paragraphs>0</Paragraphs>
  <TotalTime>71</TotalTime>
  <ScaleCrop>false</ScaleCrop>
  <LinksUpToDate>false</LinksUpToDate>
  <CharactersWithSpaces>848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2022-10-09T02:19:00Z</dcterms:created>
  <dc:creator>Administrator</dc:creator>
  <cp:lastModifiedBy>郭丽娜</cp:lastModifiedBy>
  <dcterms:modified xsi:type="dcterms:W3CDTF">2026-10-27T02:21:44Z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6F225A3961F34E268637CB2C4E443D7D_13</vt:lpwstr>
  </property>
  <property fmtid="{D5CDD505-2E9C-101B-9397-08002B2CF9AE}" pid="4" name="KSOTemplateDocerSaveRecord">
    <vt:lpwstr>eyJoZGlkIjoiYTA0OTFiNTllN2E3YTc2MDc5ZTIwYTg0ZjFlZjFlMWQiLCJ1c2VySWQiOiIzNzMyMDUyODEifQ==</vt:lpwstr>
  </property>
</Properties>
</file>