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97BA92">
      <w:pPr>
        <w:spacing w:before="120" w:beforeLines="50" w:after="120" w:afterLines="50"/>
        <w:jc w:val="center"/>
        <w:rPr>
          <w:rFonts w:hint="default" w:ascii="Times New Roman" w:hAnsi="Times New Roman" w:eastAsia="宋体" w:cs="Times New Roman"/>
          <w:b/>
          <w:color w:val="auto"/>
          <w:sz w:val="52"/>
          <w:szCs w:val="48"/>
          <w:highlight w:val="none"/>
        </w:rPr>
      </w:pPr>
    </w:p>
    <w:p w14:paraId="50C7E8BF">
      <w:pPr>
        <w:spacing w:before="120" w:beforeLines="50" w:after="120" w:afterLines="50"/>
        <w:jc w:val="center"/>
        <w:rPr>
          <w:rFonts w:hint="default" w:ascii="Times New Roman" w:hAnsi="Times New Roman" w:eastAsia="宋体" w:cs="Times New Roman"/>
          <w:b/>
          <w:color w:val="auto"/>
          <w:sz w:val="52"/>
          <w:szCs w:val="48"/>
          <w:highlight w:val="none"/>
        </w:rPr>
      </w:pPr>
    </w:p>
    <w:p w14:paraId="3E48173B">
      <w:pPr>
        <w:spacing w:before="120" w:beforeLines="50" w:after="120" w:afterLines="50"/>
        <w:jc w:val="center"/>
        <w:rPr>
          <w:rFonts w:hint="default" w:ascii="Times New Roman" w:hAnsi="Times New Roman" w:eastAsia="宋体" w:cs="Times New Roman"/>
          <w:b/>
          <w:color w:val="auto"/>
          <w:sz w:val="48"/>
          <w:szCs w:val="44"/>
          <w:highlight w:val="none"/>
        </w:rPr>
      </w:pPr>
      <w:r>
        <w:rPr>
          <w:rFonts w:hint="default" w:ascii="Times New Roman" w:hAnsi="Times New Roman" w:eastAsia="宋体" w:cs="Times New Roman"/>
          <w:b/>
          <w:color w:val="auto"/>
          <w:sz w:val="48"/>
          <w:szCs w:val="44"/>
          <w:highlight w:val="none"/>
        </w:rPr>
        <w:t>南盘江（曲靖市境内）流域综合规划</w:t>
      </w:r>
    </w:p>
    <w:p w14:paraId="6AC64F98">
      <w:pPr>
        <w:spacing w:before="120" w:beforeLines="50" w:after="120" w:afterLines="50"/>
        <w:jc w:val="center"/>
        <w:rPr>
          <w:rFonts w:hint="default" w:ascii="Times New Roman" w:hAnsi="Times New Roman" w:eastAsia="宋体" w:cs="Times New Roman"/>
          <w:b/>
          <w:color w:val="auto"/>
          <w:sz w:val="52"/>
          <w:szCs w:val="48"/>
          <w:highlight w:val="none"/>
        </w:rPr>
      </w:pPr>
    </w:p>
    <w:p w14:paraId="4CFF4846">
      <w:pPr>
        <w:spacing w:before="120" w:beforeLines="50" w:after="120" w:afterLines="50"/>
        <w:jc w:val="center"/>
        <w:rPr>
          <w:rFonts w:hint="default" w:ascii="Times New Roman" w:hAnsi="Times New Roman" w:eastAsia="宋体" w:cs="Times New Roman"/>
          <w:b/>
          <w:color w:val="auto"/>
          <w:sz w:val="56"/>
          <w:szCs w:val="52"/>
          <w:highlight w:val="none"/>
        </w:rPr>
      </w:pPr>
      <w:r>
        <w:rPr>
          <w:rFonts w:hint="default" w:ascii="Times New Roman" w:hAnsi="Times New Roman" w:eastAsia="宋体" w:cs="Times New Roman"/>
          <w:b/>
          <w:color w:val="auto"/>
          <w:sz w:val="56"/>
          <w:szCs w:val="52"/>
          <w:highlight w:val="none"/>
          <w:lang w:val="en-US" w:eastAsia="zh-CN"/>
        </w:rPr>
        <w:t>生态</w:t>
      </w:r>
      <w:r>
        <w:rPr>
          <w:rFonts w:hint="default" w:ascii="Times New Roman" w:hAnsi="Times New Roman" w:eastAsia="宋体" w:cs="Times New Roman"/>
          <w:b/>
          <w:color w:val="auto"/>
          <w:sz w:val="56"/>
          <w:szCs w:val="52"/>
          <w:highlight w:val="none"/>
        </w:rPr>
        <w:t>环境影响</w:t>
      </w:r>
      <w:r>
        <w:rPr>
          <w:rFonts w:hint="default" w:ascii="Times New Roman" w:hAnsi="Times New Roman" w:eastAsia="宋体" w:cs="Times New Roman"/>
          <w:b/>
          <w:color w:val="auto"/>
          <w:sz w:val="56"/>
          <w:szCs w:val="52"/>
          <w:highlight w:val="none"/>
          <w:lang w:val="en-US" w:eastAsia="zh-CN"/>
        </w:rPr>
        <w:t>评价</w:t>
      </w:r>
      <w:r>
        <w:rPr>
          <w:rFonts w:hint="default" w:ascii="Times New Roman" w:hAnsi="Times New Roman" w:eastAsia="宋体" w:cs="Times New Roman"/>
          <w:b/>
          <w:color w:val="auto"/>
          <w:sz w:val="56"/>
          <w:szCs w:val="52"/>
          <w:highlight w:val="none"/>
        </w:rPr>
        <w:t>报告书</w:t>
      </w:r>
    </w:p>
    <w:p w14:paraId="2666CD98">
      <w:pPr>
        <w:spacing w:before="120" w:beforeLines="50" w:after="120" w:afterLines="50"/>
        <w:jc w:val="center"/>
        <w:rPr>
          <w:rFonts w:hint="eastAsia" w:ascii="Times New Roman" w:hAnsi="Times New Roman" w:eastAsia="宋体" w:cs="Times New Roman"/>
          <w:b/>
          <w:color w:val="auto"/>
          <w:sz w:val="32"/>
          <w:szCs w:val="28"/>
          <w:highlight w:val="none"/>
          <w:lang w:val="en-US" w:eastAsia="zh-CN"/>
        </w:rPr>
      </w:pPr>
      <w:r>
        <w:rPr>
          <w:rFonts w:hint="eastAsia" w:ascii="Times New Roman" w:hAnsi="Times New Roman" w:eastAsia="宋体" w:cs="Times New Roman"/>
          <w:b/>
          <w:color w:val="auto"/>
          <w:sz w:val="32"/>
          <w:szCs w:val="28"/>
          <w:highlight w:val="none"/>
          <w:lang w:val="en-US" w:eastAsia="zh-CN"/>
        </w:rPr>
        <w:t>（征求意见稿）</w:t>
      </w:r>
    </w:p>
    <w:p w14:paraId="051B57E6">
      <w:pPr>
        <w:rPr>
          <w:rFonts w:hint="default" w:ascii="Times New Roman" w:hAnsi="Times New Roman" w:eastAsia="宋体" w:cs="Times New Roman"/>
          <w:color w:val="auto"/>
          <w:highlight w:val="none"/>
        </w:rPr>
      </w:pPr>
    </w:p>
    <w:p w14:paraId="305130D7">
      <w:pPr>
        <w:rPr>
          <w:rFonts w:hint="default" w:ascii="Times New Roman" w:hAnsi="Times New Roman" w:eastAsia="宋体" w:cs="Times New Roman"/>
          <w:color w:val="auto"/>
          <w:highlight w:val="none"/>
        </w:rPr>
      </w:pPr>
    </w:p>
    <w:p w14:paraId="7789E662">
      <w:pPr>
        <w:rPr>
          <w:rFonts w:hint="default" w:ascii="Times New Roman" w:hAnsi="Times New Roman" w:eastAsia="宋体" w:cs="Times New Roman"/>
          <w:color w:val="auto"/>
          <w:highlight w:val="none"/>
        </w:rPr>
      </w:pPr>
    </w:p>
    <w:p w14:paraId="3349CFFE">
      <w:pPr>
        <w:rPr>
          <w:rFonts w:hint="default" w:ascii="Times New Roman" w:hAnsi="Times New Roman" w:eastAsia="宋体" w:cs="Times New Roman"/>
          <w:color w:val="auto"/>
          <w:highlight w:val="none"/>
        </w:rPr>
      </w:pPr>
    </w:p>
    <w:p w14:paraId="38B71B6E">
      <w:pPr>
        <w:rPr>
          <w:rFonts w:hint="default" w:ascii="Times New Roman" w:hAnsi="Times New Roman" w:eastAsia="宋体" w:cs="Times New Roman"/>
          <w:color w:val="auto"/>
          <w:highlight w:val="none"/>
        </w:rPr>
      </w:pPr>
    </w:p>
    <w:p w14:paraId="4DFAEDC5">
      <w:pPr>
        <w:rPr>
          <w:rFonts w:hint="default" w:ascii="Times New Roman" w:hAnsi="Times New Roman" w:eastAsia="宋体" w:cs="Times New Roman"/>
          <w:color w:val="auto"/>
          <w:highlight w:val="none"/>
        </w:rPr>
      </w:pPr>
    </w:p>
    <w:p w14:paraId="6E8BD641">
      <w:pPr>
        <w:rPr>
          <w:rFonts w:hint="default" w:ascii="Times New Roman" w:hAnsi="Times New Roman" w:eastAsia="宋体" w:cs="Times New Roman"/>
          <w:color w:val="auto"/>
          <w:highlight w:val="none"/>
        </w:rPr>
      </w:pPr>
    </w:p>
    <w:p w14:paraId="296BF41C">
      <w:pPr>
        <w:rPr>
          <w:rFonts w:hint="default" w:ascii="Times New Roman" w:hAnsi="Times New Roman" w:eastAsia="宋体" w:cs="Times New Roman"/>
          <w:color w:val="auto"/>
          <w:highlight w:val="none"/>
        </w:rPr>
      </w:pPr>
    </w:p>
    <w:p w14:paraId="41AD4A73">
      <w:pPr>
        <w:rPr>
          <w:rFonts w:hint="default" w:ascii="Times New Roman" w:hAnsi="Times New Roman" w:eastAsia="宋体" w:cs="Times New Roman"/>
          <w:color w:val="auto"/>
          <w:highlight w:val="none"/>
        </w:rPr>
      </w:pPr>
    </w:p>
    <w:p w14:paraId="4C10F793">
      <w:pPr>
        <w:rPr>
          <w:rFonts w:hint="default" w:ascii="Times New Roman" w:hAnsi="Times New Roman" w:eastAsia="宋体" w:cs="Times New Roman"/>
          <w:color w:val="auto"/>
          <w:highlight w:val="none"/>
        </w:rPr>
      </w:pPr>
    </w:p>
    <w:p w14:paraId="39EA2E5C">
      <w:pPr>
        <w:rPr>
          <w:rFonts w:hint="default" w:ascii="Times New Roman" w:hAnsi="Times New Roman" w:eastAsia="宋体" w:cs="Times New Roman"/>
          <w:color w:val="auto"/>
          <w:highlight w:val="none"/>
        </w:rPr>
      </w:pPr>
    </w:p>
    <w:p w14:paraId="4FCB3C24">
      <w:pPr>
        <w:rPr>
          <w:rFonts w:hint="default" w:ascii="Times New Roman" w:hAnsi="Times New Roman" w:eastAsia="宋体" w:cs="Times New Roman"/>
          <w:color w:val="auto"/>
          <w:highlight w:val="none"/>
        </w:rPr>
      </w:pPr>
    </w:p>
    <w:p w14:paraId="7C278475">
      <w:pPr>
        <w:spacing w:before="240" w:after="48" w:afterLines="20"/>
        <w:ind w:firstLine="1405" w:firstLineChars="500"/>
        <w:rPr>
          <w:rFonts w:hint="default" w:ascii="Times New Roman" w:hAnsi="Times New Roman" w:eastAsia="宋体" w:cs="Times New Roman"/>
          <w:b/>
          <w:bCs/>
          <w:color w:val="auto"/>
          <w:sz w:val="28"/>
          <w:highlight w:val="none"/>
        </w:rPr>
      </w:pPr>
      <w:r>
        <w:rPr>
          <w:rFonts w:hint="default" w:ascii="Times New Roman" w:hAnsi="Times New Roman" w:eastAsia="宋体" w:cs="Times New Roman"/>
          <w:b/>
          <w:bCs/>
          <w:color w:val="auto"/>
          <w:sz w:val="28"/>
          <w:highlight w:val="none"/>
        </w:rPr>
        <w:t>委托单位：曲靖市重点水利项目建设管理中心</w:t>
      </w:r>
    </w:p>
    <w:p w14:paraId="2BD7B162">
      <w:pPr>
        <w:spacing w:before="240" w:after="48" w:afterLines="20"/>
        <w:ind w:firstLine="1405" w:firstLineChars="500"/>
        <w:rPr>
          <w:rFonts w:hint="default" w:ascii="Times New Roman" w:hAnsi="Times New Roman" w:eastAsia="宋体" w:cs="Times New Roman"/>
          <w:b/>
          <w:bCs/>
          <w:color w:val="auto"/>
          <w:sz w:val="28"/>
          <w:highlight w:val="none"/>
        </w:rPr>
      </w:pPr>
      <w:r>
        <w:rPr>
          <w:rFonts w:hint="default" w:ascii="Times New Roman" w:hAnsi="Times New Roman" w:eastAsia="宋体" w:cs="Times New Roman"/>
          <w:b/>
          <w:bCs/>
          <w:color w:val="auto"/>
          <w:sz w:val="28"/>
          <w:highlight w:val="none"/>
        </w:rPr>
        <w:t>评价单位：云南省水利水电勘测设计院有限公司</w:t>
      </w:r>
    </w:p>
    <w:p w14:paraId="5E10C038">
      <w:pPr>
        <w:spacing w:before="240" w:after="48" w:afterLines="20"/>
        <w:jc w:val="center"/>
        <w:rPr>
          <w:rFonts w:hint="default" w:ascii="Times New Roman" w:hAnsi="Times New Roman" w:eastAsia="宋体" w:cs="Times New Roman"/>
          <w:b/>
          <w:bCs/>
          <w:color w:val="auto"/>
          <w:sz w:val="28"/>
          <w:highlight w:val="none"/>
        </w:rPr>
      </w:pPr>
      <w:r>
        <w:rPr>
          <w:rFonts w:hint="default" w:ascii="Times New Roman" w:hAnsi="Times New Roman" w:eastAsia="宋体" w:cs="Times New Roman"/>
          <w:b/>
          <w:bCs/>
          <w:color w:val="auto"/>
          <w:sz w:val="28"/>
          <w:highlight w:val="none"/>
        </w:rPr>
        <w:t>二〇二六年</w:t>
      </w:r>
      <w:r>
        <w:rPr>
          <w:rFonts w:hint="eastAsia" w:cs="Times New Roman"/>
          <w:b/>
          <w:bCs/>
          <w:color w:val="auto"/>
          <w:sz w:val="28"/>
          <w:highlight w:val="none"/>
          <w:lang w:val="en-US" w:eastAsia="zh-CN"/>
        </w:rPr>
        <w:t>九</w:t>
      </w:r>
      <w:r>
        <w:rPr>
          <w:rFonts w:hint="default" w:ascii="Times New Roman" w:hAnsi="Times New Roman" w:eastAsia="宋体" w:cs="Times New Roman"/>
          <w:b/>
          <w:bCs/>
          <w:color w:val="auto"/>
          <w:sz w:val="28"/>
          <w:highlight w:val="none"/>
        </w:rPr>
        <w:t>月</w:t>
      </w:r>
    </w:p>
    <w:p w14:paraId="3BE3615D">
      <w:pPr>
        <w:rPr>
          <w:rFonts w:hint="default" w:ascii="Times New Roman" w:hAnsi="Times New Roman" w:eastAsia="宋体" w:cs="Times New Roman"/>
          <w:color w:val="auto"/>
          <w:highlight w:val="none"/>
        </w:rPr>
        <w:sectPr>
          <w:headerReference r:id="rId7" w:type="first"/>
          <w:headerReference r:id="rId5" w:type="default"/>
          <w:footerReference r:id="rId8" w:type="default"/>
          <w:headerReference r:id="rId6" w:type="even"/>
          <w:footerReference r:id="rId9" w:type="even"/>
          <w:pgSz w:w="11906" w:h="16838"/>
          <w:pgMar w:top="1440" w:right="1985" w:bottom="1440" w:left="1588" w:header="851" w:footer="992" w:gutter="0"/>
          <w:paperSrc w:first="15" w:other="15"/>
          <w:pgNumType w:fmt="decimal"/>
          <w:cols w:space="425" w:num="1"/>
          <w:titlePg/>
          <w:docGrid w:linePitch="312" w:charSpace="0"/>
        </w:sectPr>
      </w:pPr>
    </w:p>
    <w:p w14:paraId="223E8527">
      <w:pPr>
        <w:keepNext w:val="0"/>
        <w:keepLines w:val="0"/>
        <w:pageBreakBefore w:val="0"/>
        <w:widowControl w:val="0"/>
        <w:kinsoku/>
        <w:wordWrap/>
        <w:overflowPunct/>
        <w:topLinePunct w:val="0"/>
        <w:autoSpaceDE/>
        <w:autoSpaceDN/>
        <w:bidi w:val="0"/>
        <w:adjustRightInd w:val="0"/>
        <w:snapToGrid w:val="0"/>
        <w:spacing w:line="300" w:lineRule="auto"/>
        <w:jc w:val="center"/>
        <w:textAlignment w:val="auto"/>
        <w:rPr>
          <w:rFonts w:hint="default" w:ascii="Times New Roman" w:hAnsi="Times New Roman" w:eastAsia="宋体" w:cs="Times New Roman"/>
          <w:color w:val="auto"/>
          <w:sz w:val="28"/>
          <w:szCs w:val="28"/>
          <w:highlight w:val="none"/>
          <w:lang w:val="en-US" w:eastAsia="zh-CN"/>
        </w:rPr>
      </w:pPr>
      <w:r>
        <w:rPr>
          <w:rFonts w:hint="default" w:ascii="Times New Roman" w:hAnsi="Times New Roman" w:cs="Times New Roman"/>
          <w:color w:val="auto"/>
          <w:sz w:val="28"/>
          <w:szCs w:val="28"/>
          <w:highlight w:val="none"/>
          <w:lang w:val="en-US" w:eastAsia="zh-CN"/>
        </w:rPr>
        <w:t>目  录</w:t>
      </w:r>
    </w:p>
    <w:p w14:paraId="6EB36303">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TOC \o "1-2" \h \u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_Toc11558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 </w:t>
      </w:r>
      <w:r>
        <w:rPr>
          <w:rFonts w:hint="default" w:ascii="Times New Roman" w:hAnsi="Times New Roman" w:eastAsia="宋体" w:cs="Times New Roman"/>
          <w:color w:val="auto"/>
          <w:highlight w:val="none"/>
        </w:rPr>
        <w:t>总则</w:t>
      </w:r>
      <w:r>
        <w:rPr>
          <w:color w:val="auto"/>
        </w:rPr>
        <w:tab/>
      </w:r>
      <w:r>
        <w:rPr>
          <w:color w:val="auto"/>
        </w:rPr>
        <w:fldChar w:fldCharType="begin"/>
      </w:r>
      <w:r>
        <w:rPr>
          <w:color w:val="auto"/>
        </w:rPr>
        <w:instrText xml:space="preserve"> PAGEREF _Toc11558 \h </w:instrText>
      </w:r>
      <w:r>
        <w:rPr>
          <w:color w:val="auto"/>
        </w:rPr>
        <w:fldChar w:fldCharType="separate"/>
      </w:r>
      <w:r>
        <w:rPr>
          <w:color w:val="auto"/>
        </w:rPr>
        <w:t>3</w:t>
      </w:r>
      <w:r>
        <w:rPr>
          <w:color w:val="auto"/>
        </w:rPr>
        <w:fldChar w:fldCharType="end"/>
      </w:r>
      <w:r>
        <w:rPr>
          <w:rFonts w:hint="default" w:ascii="Times New Roman" w:hAnsi="Times New Roman" w:eastAsia="宋体" w:cs="Times New Roman"/>
          <w:color w:val="auto"/>
          <w:highlight w:val="none"/>
        </w:rPr>
        <w:fldChar w:fldCharType="end"/>
      </w:r>
    </w:p>
    <w:p w14:paraId="1FDF046F">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_Toc6947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1.1. </w:t>
      </w:r>
      <w:r>
        <w:rPr>
          <w:rFonts w:hint="default" w:ascii="Times New Roman" w:hAnsi="Times New Roman" w:eastAsia="宋体" w:cs="Times New Roman"/>
          <w:color w:val="auto"/>
          <w:highlight w:val="none"/>
        </w:rPr>
        <w:t>任务由来</w:t>
      </w:r>
      <w:r>
        <w:rPr>
          <w:color w:val="auto"/>
        </w:rPr>
        <w:tab/>
      </w:r>
      <w:r>
        <w:rPr>
          <w:color w:val="auto"/>
        </w:rPr>
        <w:fldChar w:fldCharType="begin"/>
      </w:r>
      <w:r>
        <w:rPr>
          <w:color w:val="auto"/>
        </w:rPr>
        <w:instrText xml:space="preserve"> PAGEREF _Toc6947 \h </w:instrText>
      </w:r>
      <w:r>
        <w:rPr>
          <w:color w:val="auto"/>
        </w:rPr>
        <w:fldChar w:fldCharType="separate"/>
      </w:r>
      <w:r>
        <w:rPr>
          <w:color w:val="auto"/>
        </w:rPr>
        <w:t>3</w:t>
      </w:r>
      <w:r>
        <w:rPr>
          <w:color w:val="auto"/>
        </w:rPr>
        <w:fldChar w:fldCharType="end"/>
      </w:r>
      <w:r>
        <w:rPr>
          <w:rFonts w:hint="default" w:ascii="Times New Roman" w:hAnsi="Times New Roman" w:eastAsia="宋体" w:cs="Times New Roman"/>
          <w:color w:val="auto"/>
          <w:highlight w:val="none"/>
        </w:rPr>
        <w:fldChar w:fldCharType="end"/>
      </w:r>
    </w:p>
    <w:p w14:paraId="70176AFD">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_Toc19713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1.2. </w:t>
      </w:r>
      <w:r>
        <w:rPr>
          <w:rFonts w:hint="default" w:ascii="Times New Roman" w:hAnsi="Times New Roman" w:eastAsia="宋体" w:cs="Times New Roman"/>
          <w:color w:val="auto"/>
          <w:highlight w:val="none"/>
        </w:rPr>
        <w:t>评价目的与原则</w:t>
      </w:r>
      <w:r>
        <w:rPr>
          <w:color w:val="auto"/>
        </w:rPr>
        <w:tab/>
      </w:r>
      <w:r>
        <w:rPr>
          <w:color w:val="auto"/>
        </w:rPr>
        <w:fldChar w:fldCharType="begin"/>
      </w:r>
      <w:r>
        <w:rPr>
          <w:color w:val="auto"/>
        </w:rPr>
        <w:instrText xml:space="preserve"> PAGEREF _Toc19713 \h </w:instrText>
      </w:r>
      <w:r>
        <w:rPr>
          <w:color w:val="auto"/>
        </w:rPr>
        <w:fldChar w:fldCharType="separate"/>
      </w:r>
      <w:r>
        <w:rPr>
          <w:color w:val="auto"/>
        </w:rPr>
        <w:t>3</w:t>
      </w:r>
      <w:r>
        <w:rPr>
          <w:color w:val="auto"/>
        </w:rPr>
        <w:fldChar w:fldCharType="end"/>
      </w:r>
      <w:r>
        <w:rPr>
          <w:rFonts w:hint="default" w:ascii="Times New Roman" w:hAnsi="Times New Roman" w:eastAsia="宋体" w:cs="Times New Roman"/>
          <w:color w:val="auto"/>
          <w:highlight w:val="none"/>
        </w:rPr>
        <w:fldChar w:fldCharType="end"/>
      </w:r>
    </w:p>
    <w:p w14:paraId="7896F532">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_Toc4496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1.3. </w:t>
      </w:r>
      <w:r>
        <w:rPr>
          <w:rFonts w:hint="default" w:ascii="Times New Roman" w:hAnsi="Times New Roman" w:eastAsia="宋体" w:cs="Times New Roman"/>
          <w:color w:val="auto"/>
          <w:highlight w:val="none"/>
          <w:lang w:val="en-US" w:eastAsia="zh-CN"/>
        </w:rPr>
        <w:t>评价</w:t>
      </w:r>
      <w:r>
        <w:rPr>
          <w:rFonts w:hint="default" w:ascii="Times New Roman" w:hAnsi="Times New Roman" w:eastAsia="宋体" w:cs="Times New Roman"/>
          <w:color w:val="auto"/>
          <w:highlight w:val="none"/>
        </w:rPr>
        <w:t>依据</w:t>
      </w:r>
      <w:r>
        <w:rPr>
          <w:color w:val="auto"/>
        </w:rPr>
        <w:tab/>
      </w:r>
      <w:r>
        <w:rPr>
          <w:color w:val="auto"/>
        </w:rPr>
        <w:fldChar w:fldCharType="begin"/>
      </w:r>
      <w:r>
        <w:rPr>
          <w:color w:val="auto"/>
        </w:rPr>
        <w:instrText xml:space="preserve"> PAGEREF _Toc4496 \h </w:instrText>
      </w:r>
      <w:r>
        <w:rPr>
          <w:color w:val="auto"/>
        </w:rPr>
        <w:fldChar w:fldCharType="separate"/>
      </w:r>
      <w:r>
        <w:rPr>
          <w:color w:val="auto"/>
        </w:rPr>
        <w:t>5</w:t>
      </w:r>
      <w:r>
        <w:rPr>
          <w:color w:val="auto"/>
        </w:rPr>
        <w:fldChar w:fldCharType="end"/>
      </w:r>
      <w:r>
        <w:rPr>
          <w:rFonts w:hint="default" w:ascii="Times New Roman" w:hAnsi="Times New Roman" w:eastAsia="宋体" w:cs="Times New Roman"/>
          <w:color w:val="auto"/>
          <w:highlight w:val="none"/>
        </w:rPr>
        <w:fldChar w:fldCharType="end"/>
      </w:r>
    </w:p>
    <w:p w14:paraId="0FDEF611">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_Toc3161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1.4. </w:t>
      </w:r>
      <w:r>
        <w:rPr>
          <w:rFonts w:hint="default" w:ascii="Times New Roman" w:hAnsi="Times New Roman" w:eastAsia="宋体" w:cs="Times New Roman"/>
          <w:color w:val="auto"/>
          <w:highlight w:val="none"/>
        </w:rPr>
        <w:t>评价范围及评价</w:t>
      </w:r>
      <w:r>
        <w:rPr>
          <w:rFonts w:hint="default" w:ascii="Times New Roman" w:hAnsi="Times New Roman" w:cs="Times New Roman"/>
          <w:color w:val="auto"/>
          <w:highlight w:val="none"/>
          <w:lang w:val="en-US" w:eastAsia="zh-CN"/>
        </w:rPr>
        <w:t>时段</w:t>
      </w:r>
      <w:r>
        <w:rPr>
          <w:color w:val="auto"/>
        </w:rPr>
        <w:tab/>
      </w:r>
      <w:r>
        <w:rPr>
          <w:color w:val="auto"/>
        </w:rPr>
        <w:fldChar w:fldCharType="begin"/>
      </w:r>
      <w:r>
        <w:rPr>
          <w:color w:val="auto"/>
        </w:rPr>
        <w:instrText xml:space="preserve"> PAGEREF _Toc3161 \h </w:instrText>
      </w:r>
      <w:r>
        <w:rPr>
          <w:color w:val="auto"/>
        </w:rPr>
        <w:fldChar w:fldCharType="separate"/>
      </w:r>
      <w:r>
        <w:rPr>
          <w:color w:val="auto"/>
        </w:rPr>
        <w:t>8</w:t>
      </w:r>
      <w:r>
        <w:rPr>
          <w:color w:val="auto"/>
        </w:rPr>
        <w:fldChar w:fldCharType="end"/>
      </w:r>
      <w:r>
        <w:rPr>
          <w:rFonts w:hint="default" w:ascii="Times New Roman" w:hAnsi="Times New Roman" w:eastAsia="宋体" w:cs="Times New Roman"/>
          <w:color w:val="auto"/>
          <w:highlight w:val="none"/>
        </w:rPr>
        <w:fldChar w:fldCharType="end"/>
      </w:r>
    </w:p>
    <w:p w14:paraId="6ED07DCC">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_Toc32207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1.5. </w:t>
      </w:r>
      <w:r>
        <w:rPr>
          <w:rFonts w:hint="default" w:ascii="Times New Roman" w:hAnsi="Times New Roman" w:eastAsia="宋体" w:cs="Times New Roman"/>
          <w:color w:val="auto"/>
          <w:highlight w:val="none"/>
        </w:rPr>
        <w:t>相关功能区划状况</w:t>
      </w:r>
      <w:r>
        <w:rPr>
          <w:color w:val="auto"/>
        </w:rPr>
        <w:tab/>
      </w:r>
      <w:r>
        <w:rPr>
          <w:color w:val="auto"/>
        </w:rPr>
        <w:fldChar w:fldCharType="begin"/>
      </w:r>
      <w:r>
        <w:rPr>
          <w:color w:val="auto"/>
        </w:rPr>
        <w:instrText xml:space="preserve"> PAGEREF _Toc32207 \h </w:instrText>
      </w:r>
      <w:r>
        <w:rPr>
          <w:color w:val="auto"/>
        </w:rPr>
        <w:fldChar w:fldCharType="separate"/>
      </w:r>
      <w:r>
        <w:rPr>
          <w:color w:val="auto"/>
        </w:rPr>
        <w:t>11</w:t>
      </w:r>
      <w:r>
        <w:rPr>
          <w:color w:val="auto"/>
        </w:rPr>
        <w:fldChar w:fldCharType="end"/>
      </w:r>
      <w:r>
        <w:rPr>
          <w:rFonts w:hint="default" w:ascii="Times New Roman" w:hAnsi="Times New Roman" w:eastAsia="宋体" w:cs="Times New Roman"/>
          <w:color w:val="auto"/>
          <w:highlight w:val="none"/>
        </w:rPr>
        <w:fldChar w:fldCharType="end"/>
      </w:r>
    </w:p>
    <w:p w14:paraId="5CB82916">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_Toc4716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1.6. </w:t>
      </w:r>
      <w:r>
        <w:rPr>
          <w:rFonts w:hint="default" w:ascii="Times New Roman" w:hAnsi="Times New Roman" w:eastAsia="宋体" w:cs="Times New Roman"/>
          <w:color w:val="auto"/>
          <w:highlight w:val="none"/>
        </w:rPr>
        <w:t>环境保护目标</w:t>
      </w:r>
      <w:r>
        <w:rPr>
          <w:color w:val="auto"/>
        </w:rPr>
        <w:tab/>
      </w:r>
      <w:r>
        <w:rPr>
          <w:color w:val="auto"/>
        </w:rPr>
        <w:fldChar w:fldCharType="begin"/>
      </w:r>
      <w:r>
        <w:rPr>
          <w:color w:val="auto"/>
        </w:rPr>
        <w:instrText xml:space="preserve"> PAGEREF _Toc4716 \h </w:instrText>
      </w:r>
      <w:r>
        <w:rPr>
          <w:color w:val="auto"/>
        </w:rPr>
        <w:fldChar w:fldCharType="separate"/>
      </w:r>
      <w:r>
        <w:rPr>
          <w:color w:val="auto"/>
        </w:rPr>
        <w:t>21</w:t>
      </w:r>
      <w:r>
        <w:rPr>
          <w:color w:val="auto"/>
        </w:rPr>
        <w:fldChar w:fldCharType="end"/>
      </w:r>
      <w:r>
        <w:rPr>
          <w:rFonts w:hint="default" w:ascii="Times New Roman" w:hAnsi="Times New Roman" w:eastAsia="宋体" w:cs="Times New Roman"/>
          <w:color w:val="auto"/>
          <w:highlight w:val="none"/>
        </w:rPr>
        <w:fldChar w:fldCharType="end"/>
      </w:r>
    </w:p>
    <w:p w14:paraId="666C1410">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_Toc11852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1.7. </w:t>
      </w:r>
      <w:r>
        <w:rPr>
          <w:rFonts w:hint="default" w:ascii="Times New Roman" w:hAnsi="Times New Roman" w:eastAsia="宋体" w:cs="Times New Roman"/>
          <w:color w:val="auto"/>
          <w:highlight w:val="none"/>
        </w:rPr>
        <w:t>评价标准</w:t>
      </w:r>
      <w:r>
        <w:rPr>
          <w:color w:val="auto"/>
        </w:rPr>
        <w:tab/>
      </w:r>
      <w:r>
        <w:rPr>
          <w:color w:val="auto"/>
        </w:rPr>
        <w:fldChar w:fldCharType="begin"/>
      </w:r>
      <w:r>
        <w:rPr>
          <w:color w:val="auto"/>
        </w:rPr>
        <w:instrText xml:space="preserve"> PAGEREF _Toc11852 \h </w:instrText>
      </w:r>
      <w:r>
        <w:rPr>
          <w:color w:val="auto"/>
        </w:rPr>
        <w:fldChar w:fldCharType="separate"/>
      </w:r>
      <w:r>
        <w:rPr>
          <w:color w:val="auto"/>
        </w:rPr>
        <w:t>26</w:t>
      </w:r>
      <w:r>
        <w:rPr>
          <w:color w:val="auto"/>
        </w:rPr>
        <w:fldChar w:fldCharType="end"/>
      </w:r>
      <w:r>
        <w:rPr>
          <w:rFonts w:hint="default" w:ascii="Times New Roman" w:hAnsi="Times New Roman" w:eastAsia="宋体" w:cs="Times New Roman"/>
          <w:color w:val="auto"/>
          <w:highlight w:val="none"/>
        </w:rPr>
        <w:fldChar w:fldCharType="end"/>
      </w:r>
    </w:p>
    <w:p w14:paraId="2AC94D7B">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_Toc20340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1.8. </w:t>
      </w:r>
      <w:r>
        <w:rPr>
          <w:rFonts w:hint="default" w:ascii="Times New Roman" w:hAnsi="Times New Roman" w:eastAsia="宋体" w:cs="Times New Roman"/>
          <w:color w:val="auto"/>
          <w:highlight w:val="none"/>
          <w:lang w:val="en-US" w:eastAsia="zh-CN"/>
        </w:rPr>
        <w:t>评价内容和</w:t>
      </w:r>
      <w:r>
        <w:rPr>
          <w:rFonts w:hint="default" w:ascii="Times New Roman" w:hAnsi="Times New Roman" w:eastAsia="宋体" w:cs="Times New Roman"/>
          <w:color w:val="auto"/>
          <w:highlight w:val="none"/>
        </w:rPr>
        <w:t>评价重点</w:t>
      </w:r>
      <w:r>
        <w:rPr>
          <w:color w:val="auto"/>
        </w:rPr>
        <w:tab/>
      </w:r>
      <w:r>
        <w:rPr>
          <w:color w:val="auto"/>
        </w:rPr>
        <w:fldChar w:fldCharType="begin"/>
      </w:r>
      <w:r>
        <w:rPr>
          <w:color w:val="auto"/>
        </w:rPr>
        <w:instrText xml:space="preserve"> PAGEREF _Toc20340 \h </w:instrText>
      </w:r>
      <w:r>
        <w:rPr>
          <w:color w:val="auto"/>
        </w:rPr>
        <w:fldChar w:fldCharType="separate"/>
      </w:r>
      <w:r>
        <w:rPr>
          <w:color w:val="auto"/>
        </w:rPr>
        <w:t>30</w:t>
      </w:r>
      <w:r>
        <w:rPr>
          <w:color w:val="auto"/>
        </w:rPr>
        <w:fldChar w:fldCharType="end"/>
      </w:r>
      <w:r>
        <w:rPr>
          <w:rFonts w:hint="default" w:ascii="Times New Roman" w:hAnsi="Times New Roman" w:eastAsia="宋体" w:cs="Times New Roman"/>
          <w:color w:val="auto"/>
          <w:highlight w:val="none"/>
        </w:rPr>
        <w:fldChar w:fldCharType="end"/>
      </w:r>
    </w:p>
    <w:p w14:paraId="4DCAE0B1">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_Toc18385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1.9. </w:t>
      </w:r>
      <w:r>
        <w:rPr>
          <w:rFonts w:hint="default" w:ascii="Times New Roman" w:hAnsi="Times New Roman" w:eastAsia="宋体" w:cs="Times New Roman"/>
          <w:color w:val="auto"/>
          <w:highlight w:val="none"/>
        </w:rPr>
        <w:t>评价方法</w:t>
      </w:r>
      <w:r>
        <w:rPr>
          <w:rFonts w:hint="default" w:ascii="Times New Roman" w:hAnsi="Times New Roman" w:eastAsia="宋体" w:cs="Times New Roman"/>
          <w:color w:val="auto"/>
          <w:highlight w:val="none"/>
          <w:lang w:val="en-US" w:eastAsia="zh-CN"/>
        </w:rPr>
        <w:t>与工作程序</w:t>
      </w:r>
      <w:r>
        <w:rPr>
          <w:color w:val="auto"/>
        </w:rPr>
        <w:tab/>
      </w:r>
      <w:r>
        <w:rPr>
          <w:color w:val="auto"/>
        </w:rPr>
        <w:fldChar w:fldCharType="begin"/>
      </w:r>
      <w:r>
        <w:rPr>
          <w:color w:val="auto"/>
        </w:rPr>
        <w:instrText xml:space="preserve"> PAGEREF _Toc18385 \h </w:instrText>
      </w:r>
      <w:r>
        <w:rPr>
          <w:color w:val="auto"/>
        </w:rPr>
        <w:fldChar w:fldCharType="separate"/>
      </w:r>
      <w:r>
        <w:rPr>
          <w:color w:val="auto"/>
        </w:rPr>
        <w:t>32</w:t>
      </w:r>
      <w:r>
        <w:rPr>
          <w:color w:val="auto"/>
        </w:rPr>
        <w:fldChar w:fldCharType="end"/>
      </w:r>
      <w:r>
        <w:rPr>
          <w:rFonts w:hint="default" w:ascii="Times New Roman" w:hAnsi="Times New Roman" w:eastAsia="宋体" w:cs="Times New Roman"/>
          <w:color w:val="auto"/>
          <w:highlight w:val="none"/>
        </w:rPr>
        <w:fldChar w:fldCharType="end"/>
      </w:r>
    </w:p>
    <w:p w14:paraId="2A2A0D90">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_Toc23723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2. </w:t>
      </w:r>
      <w:r>
        <w:rPr>
          <w:rFonts w:hint="default" w:ascii="Times New Roman" w:hAnsi="Times New Roman" w:eastAsia="宋体" w:cs="Times New Roman"/>
          <w:color w:val="auto"/>
          <w:highlight w:val="none"/>
        </w:rPr>
        <w:t>规划分析</w:t>
      </w:r>
      <w:r>
        <w:rPr>
          <w:color w:val="auto"/>
        </w:rPr>
        <w:tab/>
      </w:r>
      <w:r>
        <w:rPr>
          <w:color w:val="auto"/>
        </w:rPr>
        <w:fldChar w:fldCharType="begin"/>
      </w:r>
      <w:r>
        <w:rPr>
          <w:color w:val="auto"/>
        </w:rPr>
        <w:instrText xml:space="preserve"> PAGEREF _Toc23723 \h </w:instrText>
      </w:r>
      <w:r>
        <w:rPr>
          <w:color w:val="auto"/>
        </w:rPr>
        <w:fldChar w:fldCharType="separate"/>
      </w:r>
      <w:r>
        <w:rPr>
          <w:color w:val="auto"/>
        </w:rPr>
        <w:t>34</w:t>
      </w:r>
      <w:r>
        <w:rPr>
          <w:color w:val="auto"/>
        </w:rPr>
        <w:fldChar w:fldCharType="end"/>
      </w:r>
      <w:r>
        <w:rPr>
          <w:rFonts w:hint="default" w:ascii="Times New Roman" w:hAnsi="Times New Roman" w:eastAsia="宋体" w:cs="Times New Roman"/>
          <w:color w:val="auto"/>
          <w:highlight w:val="none"/>
        </w:rPr>
        <w:fldChar w:fldCharType="end"/>
      </w:r>
    </w:p>
    <w:p w14:paraId="698F2D89">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_Toc12288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2.1. </w:t>
      </w:r>
      <w:r>
        <w:rPr>
          <w:rFonts w:hint="default" w:ascii="Times New Roman" w:hAnsi="Times New Roman" w:eastAsia="宋体" w:cs="Times New Roman"/>
          <w:color w:val="auto"/>
          <w:highlight w:val="none"/>
        </w:rPr>
        <w:t>规划概述</w:t>
      </w:r>
      <w:r>
        <w:rPr>
          <w:color w:val="auto"/>
        </w:rPr>
        <w:tab/>
      </w:r>
      <w:r>
        <w:rPr>
          <w:color w:val="auto"/>
        </w:rPr>
        <w:fldChar w:fldCharType="begin"/>
      </w:r>
      <w:r>
        <w:rPr>
          <w:color w:val="auto"/>
        </w:rPr>
        <w:instrText xml:space="preserve"> PAGEREF _Toc12288 \h </w:instrText>
      </w:r>
      <w:r>
        <w:rPr>
          <w:color w:val="auto"/>
        </w:rPr>
        <w:fldChar w:fldCharType="separate"/>
      </w:r>
      <w:r>
        <w:rPr>
          <w:color w:val="auto"/>
        </w:rPr>
        <w:t>34</w:t>
      </w:r>
      <w:r>
        <w:rPr>
          <w:color w:val="auto"/>
        </w:rPr>
        <w:fldChar w:fldCharType="end"/>
      </w:r>
      <w:r>
        <w:rPr>
          <w:rFonts w:hint="default" w:ascii="Times New Roman" w:hAnsi="Times New Roman" w:eastAsia="宋体" w:cs="Times New Roman"/>
          <w:color w:val="auto"/>
          <w:highlight w:val="none"/>
        </w:rPr>
        <w:fldChar w:fldCharType="end"/>
      </w:r>
    </w:p>
    <w:p w14:paraId="60C8A765">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_Toc7497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2.2. </w:t>
      </w:r>
      <w:r>
        <w:rPr>
          <w:rFonts w:hint="default" w:ascii="Times New Roman" w:hAnsi="Times New Roman" w:cs="Times New Roman"/>
          <w:color w:val="auto"/>
          <w:highlight w:val="none"/>
          <w:lang w:val="en-US" w:eastAsia="zh-CN"/>
        </w:rPr>
        <w:t>专业</w:t>
      </w:r>
      <w:r>
        <w:rPr>
          <w:rFonts w:hint="default" w:ascii="Times New Roman" w:hAnsi="Times New Roman" w:eastAsia="宋体" w:cs="Times New Roman"/>
          <w:color w:val="auto"/>
          <w:highlight w:val="none"/>
        </w:rPr>
        <w:t>规划</w:t>
      </w:r>
      <w:r>
        <w:rPr>
          <w:rFonts w:hint="default" w:ascii="Times New Roman" w:hAnsi="Times New Roman" w:cs="Times New Roman"/>
          <w:color w:val="auto"/>
          <w:highlight w:val="none"/>
          <w:lang w:val="en-US" w:eastAsia="zh-CN"/>
        </w:rPr>
        <w:t>内容</w:t>
      </w:r>
      <w:r>
        <w:rPr>
          <w:color w:val="auto"/>
        </w:rPr>
        <w:tab/>
      </w:r>
      <w:r>
        <w:rPr>
          <w:color w:val="auto"/>
        </w:rPr>
        <w:fldChar w:fldCharType="begin"/>
      </w:r>
      <w:r>
        <w:rPr>
          <w:color w:val="auto"/>
        </w:rPr>
        <w:instrText xml:space="preserve"> PAGEREF _Toc7497 \h </w:instrText>
      </w:r>
      <w:r>
        <w:rPr>
          <w:color w:val="auto"/>
        </w:rPr>
        <w:fldChar w:fldCharType="separate"/>
      </w:r>
      <w:r>
        <w:rPr>
          <w:color w:val="auto"/>
        </w:rPr>
        <w:t>48</w:t>
      </w:r>
      <w:r>
        <w:rPr>
          <w:color w:val="auto"/>
        </w:rPr>
        <w:fldChar w:fldCharType="end"/>
      </w:r>
      <w:r>
        <w:rPr>
          <w:rFonts w:hint="default" w:ascii="Times New Roman" w:hAnsi="Times New Roman" w:eastAsia="宋体" w:cs="Times New Roman"/>
          <w:color w:val="auto"/>
          <w:highlight w:val="none"/>
        </w:rPr>
        <w:fldChar w:fldCharType="end"/>
      </w:r>
    </w:p>
    <w:p w14:paraId="6416F25A">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_Toc2245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lang w:val="en-US" w:eastAsia="zh-CN"/>
        </w:rPr>
        <w:t xml:space="preserve">2.3. </w:t>
      </w:r>
      <w:r>
        <w:rPr>
          <w:rFonts w:hint="default" w:ascii="Times New Roman" w:hAnsi="Times New Roman" w:eastAsia="宋体" w:cs="Times New Roman"/>
          <w:color w:val="auto"/>
          <w:highlight w:val="none"/>
          <w:lang w:val="en-US" w:eastAsia="zh-CN"/>
        </w:rPr>
        <w:t>重</w:t>
      </w:r>
      <w:r>
        <w:rPr>
          <w:rFonts w:hint="default" w:ascii="Times New Roman" w:hAnsi="Times New Roman" w:cs="Times New Roman"/>
          <w:color w:val="auto"/>
          <w:highlight w:val="none"/>
          <w:lang w:val="en-US" w:eastAsia="zh-CN"/>
        </w:rPr>
        <w:t>大</w:t>
      </w:r>
      <w:r>
        <w:rPr>
          <w:rFonts w:hint="default" w:ascii="Times New Roman" w:hAnsi="Times New Roman" w:eastAsia="宋体" w:cs="Times New Roman"/>
          <w:color w:val="auto"/>
          <w:highlight w:val="none"/>
          <w:lang w:val="en-US" w:eastAsia="zh-CN"/>
        </w:rPr>
        <w:t>水利工程规划</w:t>
      </w:r>
      <w:r>
        <w:rPr>
          <w:color w:val="auto"/>
        </w:rPr>
        <w:tab/>
      </w:r>
      <w:r>
        <w:rPr>
          <w:color w:val="auto"/>
        </w:rPr>
        <w:fldChar w:fldCharType="begin"/>
      </w:r>
      <w:r>
        <w:rPr>
          <w:color w:val="auto"/>
        </w:rPr>
        <w:instrText xml:space="preserve"> PAGEREF _Toc2245 \h </w:instrText>
      </w:r>
      <w:r>
        <w:rPr>
          <w:color w:val="auto"/>
        </w:rPr>
        <w:fldChar w:fldCharType="separate"/>
      </w:r>
      <w:r>
        <w:rPr>
          <w:color w:val="auto"/>
        </w:rPr>
        <w:t>69</w:t>
      </w:r>
      <w:r>
        <w:rPr>
          <w:color w:val="auto"/>
        </w:rPr>
        <w:fldChar w:fldCharType="end"/>
      </w:r>
      <w:r>
        <w:rPr>
          <w:rFonts w:hint="default" w:ascii="Times New Roman" w:hAnsi="Times New Roman" w:eastAsia="宋体" w:cs="Times New Roman"/>
          <w:color w:val="auto"/>
          <w:highlight w:val="none"/>
        </w:rPr>
        <w:fldChar w:fldCharType="end"/>
      </w:r>
    </w:p>
    <w:p w14:paraId="632425AF">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_Toc12478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2.4. </w:t>
      </w:r>
      <w:r>
        <w:rPr>
          <w:rFonts w:hint="default" w:ascii="Times New Roman" w:hAnsi="Times New Roman" w:eastAsia="宋体" w:cs="Times New Roman"/>
          <w:color w:val="auto"/>
          <w:highlight w:val="none"/>
        </w:rPr>
        <w:t>规划协调性分析</w:t>
      </w:r>
      <w:r>
        <w:rPr>
          <w:color w:val="auto"/>
        </w:rPr>
        <w:tab/>
      </w:r>
      <w:r>
        <w:rPr>
          <w:color w:val="auto"/>
        </w:rPr>
        <w:fldChar w:fldCharType="begin"/>
      </w:r>
      <w:r>
        <w:rPr>
          <w:color w:val="auto"/>
        </w:rPr>
        <w:instrText xml:space="preserve"> PAGEREF _Toc12478 \h </w:instrText>
      </w:r>
      <w:r>
        <w:rPr>
          <w:color w:val="auto"/>
        </w:rPr>
        <w:fldChar w:fldCharType="separate"/>
      </w:r>
      <w:r>
        <w:rPr>
          <w:color w:val="auto"/>
        </w:rPr>
        <w:t>79</w:t>
      </w:r>
      <w:r>
        <w:rPr>
          <w:color w:val="auto"/>
        </w:rPr>
        <w:fldChar w:fldCharType="end"/>
      </w:r>
      <w:r>
        <w:rPr>
          <w:rFonts w:hint="default" w:ascii="Times New Roman" w:hAnsi="Times New Roman" w:eastAsia="宋体" w:cs="Times New Roman"/>
          <w:color w:val="auto"/>
          <w:highlight w:val="none"/>
        </w:rPr>
        <w:fldChar w:fldCharType="end"/>
      </w:r>
    </w:p>
    <w:p w14:paraId="4A31E807">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_Toc11324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2.5. </w:t>
      </w:r>
      <w:r>
        <w:rPr>
          <w:rFonts w:hint="default" w:ascii="Times New Roman" w:hAnsi="Times New Roman" w:eastAsia="宋体" w:cs="Times New Roman"/>
          <w:color w:val="auto"/>
          <w:highlight w:val="none"/>
        </w:rPr>
        <w:t>规划不确定性</w:t>
      </w:r>
      <w:r>
        <w:rPr>
          <w:rFonts w:hint="default" w:ascii="Times New Roman" w:hAnsi="Times New Roman" w:cs="Times New Roman"/>
          <w:color w:val="auto"/>
          <w:highlight w:val="none"/>
          <w:lang w:val="en-US" w:eastAsia="zh-CN"/>
        </w:rPr>
        <w:t>分析</w:t>
      </w:r>
      <w:r>
        <w:rPr>
          <w:color w:val="auto"/>
        </w:rPr>
        <w:tab/>
      </w:r>
      <w:r>
        <w:rPr>
          <w:color w:val="auto"/>
        </w:rPr>
        <w:fldChar w:fldCharType="begin"/>
      </w:r>
      <w:r>
        <w:rPr>
          <w:color w:val="auto"/>
        </w:rPr>
        <w:instrText xml:space="preserve"> PAGEREF _Toc11324 \h </w:instrText>
      </w:r>
      <w:r>
        <w:rPr>
          <w:color w:val="auto"/>
        </w:rPr>
        <w:fldChar w:fldCharType="separate"/>
      </w:r>
      <w:r>
        <w:rPr>
          <w:color w:val="auto"/>
        </w:rPr>
        <w:t>127</w:t>
      </w:r>
      <w:r>
        <w:rPr>
          <w:color w:val="auto"/>
        </w:rPr>
        <w:fldChar w:fldCharType="end"/>
      </w:r>
      <w:r>
        <w:rPr>
          <w:rFonts w:hint="default" w:ascii="Times New Roman" w:hAnsi="Times New Roman" w:eastAsia="宋体" w:cs="Times New Roman"/>
          <w:color w:val="auto"/>
          <w:highlight w:val="none"/>
        </w:rPr>
        <w:fldChar w:fldCharType="end"/>
      </w:r>
    </w:p>
    <w:p w14:paraId="5DAEC442">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_Toc1909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 </w:t>
      </w:r>
      <w:r>
        <w:rPr>
          <w:rFonts w:hint="default" w:ascii="Times New Roman" w:hAnsi="Times New Roman" w:eastAsia="宋体" w:cs="Times New Roman"/>
          <w:color w:val="auto"/>
          <w:highlight w:val="none"/>
        </w:rPr>
        <w:t>现状调查与评价</w:t>
      </w:r>
      <w:r>
        <w:rPr>
          <w:color w:val="auto"/>
        </w:rPr>
        <w:tab/>
      </w:r>
      <w:r>
        <w:rPr>
          <w:color w:val="auto"/>
        </w:rPr>
        <w:fldChar w:fldCharType="begin"/>
      </w:r>
      <w:r>
        <w:rPr>
          <w:color w:val="auto"/>
        </w:rPr>
        <w:instrText xml:space="preserve"> PAGEREF _Toc1909 \h </w:instrText>
      </w:r>
      <w:r>
        <w:rPr>
          <w:color w:val="auto"/>
        </w:rPr>
        <w:fldChar w:fldCharType="separate"/>
      </w:r>
      <w:r>
        <w:rPr>
          <w:color w:val="auto"/>
        </w:rPr>
        <w:t>131</w:t>
      </w:r>
      <w:r>
        <w:rPr>
          <w:color w:val="auto"/>
        </w:rPr>
        <w:fldChar w:fldCharType="end"/>
      </w:r>
      <w:r>
        <w:rPr>
          <w:rFonts w:hint="default" w:ascii="Times New Roman" w:hAnsi="Times New Roman" w:eastAsia="宋体" w:cs="Times New Roman"/>
          <w:color w:val="auto"/>
          <w:highlight w:val="none"/>
        </w:rPr>
        <w:fldChar w:fldCharType="end"/>
      </w:r>
    </w:p>
    <w:p w14:paraId="2585FE2E">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_Toc21725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3.1. </w:t>
      </w:r>
      <w:r>
        <w:rPr>
          <w:rFonts w:hint="default" w:ascii="Times New Roman" w:hAnsi="Times New Roman" w:eastAsia="宋体" w:cs="Times New Roman"/>
          <w:color w:val="auto"/>
          <w:highlight w:val="none"/>
        </w:rPr>
        <w:t>自然环境现状</w:t>
      </w:r>
      <w:r>
        <w:rPr>
          <w:color w:val="auto"/>
        </w:rPr>
        <w:tab/>
      </w:r>
      <w:r>
        <w:rPr>
          <w:color w:val="auto"/>
        </w:rPr>
        <w:fldChar w:fldCharType="begin"/>
      </w:r>
      <w:r>
        <w:rPr>
          <w:color w:val="auto"/>
        </w:rPr>
        <w:instrText xml:space="preserve"> PAGEREF _Toc21725 \h </w:instrText>
      </w:r>
      <w:r>
        <w:rPr>
          <w:color w:val="auto"/>
        </w:rPr>
        <w:fldChar w:fldCharType="separate"/>
      </w:r>
      <w:r>
        <w:rPr>
          <w:color w:val="auto"/>
        </w:rPr>
        <w:t>131</w:t>
      </w:r>
      <w:r>
        <w:rPr>
          <w:color w:val="auto"/>
        </w:rPr>
        <w:fldChar w:fldCharType="end"/>
      </w:r>
      <w:r>
        <w:rPr>
          <w:rFonts w:hint="default" w:ascii="Times New Roman" w:hAnsi="Times New Roman" w:eastAsia="宋体" w:cs="Times New Roman"/>
          <w:color w:val="auto"/>
          <w:highlight w:val="none"/>
        </w:rPr>
        <w:fldChar w:fldCharType="end"/>
      </w:r>
    </w:p>
    <w:p w14:paraId="68EE28BD">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_Toc14044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3.2. </w:t>
      </w:r>
      <w:r>
        <w:rPr>
          <w:rFonts w:hint="default" w:ascii="Times New Roman" w:hAnsi="Times New Roman" w:eastAsia="宋体" w:cs="Times New Roman"/>
          <w:color w:val="auto"/>
          <w:highlight w:val="none"/>
        </w:rPr>
        <w:t>水环境质量现状</w:t>
      </w:r>
      <w:r>
        <w:rPr>
          <w:color w:val="auto"/>
        </w:rPr>
        <w:tab/>
      </w:r>
      <w:r>
        <w:rPr>
          <w:color w:val="auto"/>
        </w:rPr>
        <w:fldChar w:fldCharType="begin"/>
      </w:r>
      <w:r>
        <w:rPr>
          <w:color w:val="auto"/>
        </w:rPr>
        <w:instrText xml:space="preserve"> PAGEREF _Toc14044 \h </w:instrText>
      </w:r>
      <w:r>
        <w:rPr>
          <w:color w:val="auto"/>
        </w:rPr>
        <w:fldChar w:fldCharType="separate"/>
      </w:r>
      <w:r>
        <w:rPr>
          <w:color w:val="auto"/>
        </w:rPr>
        <w:t>136</w:t>
      </w:r>
      <w:r>
        <w:rPr>
          <w:color w:val="auto"/>
        </w:rPr>
        <w:fldChar w:fldCharType="end"/>
      </w:r>
      <w:r>
        <w:rPr>
          <w:rFonts w:hint="default" w:ascii="Times New Roman" w:hAnsi="Times New Roman" w:eastAsia="宋体" w:cs="Times New Roman"/>
          <w:color w:val="auto"/>
          <w:highlight w:val="none"/>
        </w:rPr>
        <w:fldChar w:fldCharType="end"/>
      </w:r>
    </w:p>
    <w:p w14:paraId="2B74DDD1">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_Toc15339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3.3. </w:t>
      </w:r>
      <w:r>
        <w:rPr>
          <w:rFonts w:hint="default" w:ascii="Times New Roman" w:hAnsi="Times New Roman" w:eastAsia="宋体" w:cs="Times New Roman"/>
          <w:color w:val="auto"/>
          <w:highlight w:val="none"/>
        </w:rPr>
        <w:t>地下水环境质量现状</w:t>
      </w:r>
      <w:r>
        <w:rPr>
          <w:color w:val="auto"/>
        </w:rPr>
        <w:tab/>
      </w:r>
      <w:r>
        <w:rPr>
          <w:color w:val="auto"/>
        </w:rPr>
        <w:fldChar w:fldCharType="begin"/>
      </w:r>
      <w:r>
        <w:rPr>
          <w:color w:val="auto"/>
        </w:rPr>
        <w:instrText xml:space="preserve"> PAGEREF _Toc15339 \h </w:instrText>
      </w:r>
      <w:r>
        <w:rPr>
          <w:color w:val="auto"/>
        </w:rPr>
        <w:fldChar w:fldCharType="separate"/>
      </w:r>
      <w:r>
        <w:rPr>
          <w:color w:val="auto"/>
        </w:rPr>
        <w:t>146</w:t>
      </w:r>
      <w:r>
        <w:rPr>
          <w:color w:val="auto"/>
        </w:rPr>
        <w:fldChar w:fldCharType="end"/>
      </w:r>
      <w:r>
        <w:rPr>
          <w:rFonts w:hint="default" w:ascii="Times New Roman" w:hAnsi="Times New Roman" w:eastAsia="宋体" w:cs="Times New Roman"/>
          <w:color w:val="auto"/>
          <w:highlight w:val="none"/>
        </w:rPr>
        <w:fldChar w:fldCharType="end"/>
      </w:r>
    </w:p>
    <w:p w14:paraId="49DF7B23">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_Toc20106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3.4. </w:t>
      </w:r>
      <w:r>
        <w:rPr>
          <w:rFonts w:hint="default" w:ascii="Times New Roman" w:hAnsi="Times New Roman" w:eastAsia="宋体" w:cs="Times New Roman"/>
          <w:color w:val="auto"/>
          <w:highlight w:val="none"/>
        </w:rPr>
        <w:t>生态环境现状及评价</w:t>
      </w:r>
      <w:r>
        <w:rPr>
          <w:color w:val="auto"/>
        </w:rPr>
        <w:tab/>
      </w:r>
      <w:r>
        <w:rPr>
          <w:color w:val="auto"/>
        </w:rPr>
        <w:fldChar w:fldCharType="begin"/>
      </w:r>
      <w:r>
        <w:rPr>
          <w:color w:val="auto"/>
        </w:rPr>
        <w:instrText xml:space="preserve"> PAGEREF _Toc20106 \h </w:instrText>
      </w:r>
      <w:r>
        <w:rPr>
          <w:color w:val="auto"/>
        </w:rPr>
        <w:fldChar w:fldCharType="separate"/>
      </w:r>
      <w:r>
        <w:rPr>
          <w:color w:val="auto"/>
        </w:rPr>
        <w:t>148</w:t>
      </w:r>
      <w:r>
        <w:rPr>
          <w:color w:val="auto"/>
        </w:rPr>
        <w:fldChar w:fldCharType="end"/>
      </w:r>
      <w:r>
        <w:rPr>
          <w:rFonts w:hint="default" w:ascii="Times New Roman" w:hAnsi="Times New Roman" w:eastAsia="宋体" w:cs="Times New Roman"/>
          <w:color w:val="auto"/>
          <w:highlight w:val="none"/>
        </w:rPr>
        <w:fldChar w:fldCharType="end"/>
      </w:r>
    </w:p>
    <w:p w14:paraId="32FE2CFF">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_Toc2169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3.5. </w:t>
      </w:r>
      <w:r>
        <w:rPr>
          <w:rFonts w:hint="default" w:ascii="Times New Roman" w:hAnsi="Times New Roman" w:eastAsia="宋体" w:cs="Times New Roman"/>
          <w:color w:val="auto"/>
          <w:highlight w:val="none"/>
        </w:rPr>
        <w:t>环境敏感区</w:t>
      </w:r>
      <w:r>
        <w:rPr>
          <w:color w:val="auto"/>
        </w:rPr>
        <w:tab/>
      </w:r>
      <w:r>
        <w:rPr>
          <w:color w:val="auto"/>
        </w:rPr>
        <w:fldChar w:fldCharType="begin"/>
      </w:r>
      <w:r>
        <w:rPr>
          <w:color w:val="auto"/>
        </w:rPr>
        <w:instrText xml:space="preserve"> PAGEREF _Toc2169 \h </w:instrText>
      </w:r>
      <w:r>
        <w:rPr>
          <w:color w:val="auto"/>
        </w:rPr>
        <w:fldChar w:fldCharType="separate"/>
      </w:r>
      <w:r>
        <w:rPr>
          <w:color w:val="auto"/>
        </w:rPr>
        <w:t>203</w:t>
      </w:r>
      <w:r>
        <w:rPr>
          <w:color w:val="auto"/>
        </w:rPr>
        <w:fldChar w:fldCharType="end"/>
      </w:r>
      <w:r>
        <w:rPr>
          <w:rFonts w:hint="default" w:ascii="Times New Roman" w:hAnsi="Times New Roman" w:eastAsia="宋体" w:cs="Times New Roman"/>
          <w:color w:val="auto"/>
          <w:highlight w:val="none"/>
        </w:rPr>
        <w:fldChar w:fldCharType="end"/>
      </w:r>
    </w:p>
    <w:p w14:paraId="1922696D">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_Toc16312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3.6. </w:t>
      </w:r>
      <w:r>
        <w:rPr>
          <w:rFonts w:hint="default" w:ascii="Times New Roman" w:hAnsi="Times New Roman" w:eastAsia="宋体" w:cs="Times New Roman"/>
          <w:color w:val="auto"/>
          <w:highlight w:val="none"/>
        </w:rPr>
        <w:t>社会环境</w:t>
      </w:r>
      <w:r>
        <w:rPr>
          <w:color w:val="auto"/>
        </w:rPr>
        <w:tab/>
      </w:r>
      <w:r>
        <w:rPr>
          <w:color w:val="auto"/>
        </w:rPr>
        <w:fldChar w:fldCharType="begin"/>
      </w:r>
      <w:r>
        <w:rPr>
          <w:color w:val="auto"/>
        </w:rPr>
        <w:instrText xml:space="preserve"> PAGEREF _Toc16312 \h </w:instrText>
      </w:r>
      <w:r>
        <w:rPr>
          <w:color w:val="auto"/>
        </w:rPr>
        <w:fldChar w:fldCharType="separate"/>
      </w:r>
      <w:r>
        <w:rPr>
          <w:color w:val="auto"/>
        </w:rPr>
        <w:t>209</w:t>
      </w:r>
      <w:r>
        <w:rPr>
          <w:color w:val="auto"/>
        </w:rPr>
        <w:fldChar w:fldCharType="end"/>
      </w:r>
      <w:r>
        <w:rPr>
          <w:rFonts w:hint="default" w:ascii="Times New Roman" w:hAnsi="Times New Roman" w:eastAsia="宋体" w:cs="Times New Roman"/>
          <w:color w:val="auto"/>
          <w:highlight w:val="none"/>
        </w:rPr>
        <w:fldChar w:fldCharType="end"/>
      </w:r>
    </w:p>
    <w:p w14:paraId="73564136">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_Toc31622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3.7. </w:t>
      </w:r>
      <w:r>
        <w:rPr>
          <w:rFonts w:hint="default" w:ascii="Times New Roman" w:hAnsi="Times New Roman" w:eastAsia="宋体" w:cs="Times New Roman"/>
          <w:color w:val="auto"/>
          <w:highlight w:val="none"/>
        </w:rPr>
        <w:t>流域环境影响回顾性评价</w:t>
      </w:r>
      <w:r>
        <w:rPr>
          <w:color w:val="auto"/>
        </w:rPr>
        <w:tab/>
      </w:r>
      <w:r>
        <w:rPr>
          <w:color w:val="auto"/>
        </w:rPr>
        <w:fldChar w:fldCharType="begin"/>
      </w:r>
      <w:r>
        <w:rPr>
          <w:color w:val="auto"/>
        </w:rPr>
        <w:instrText xml:space="preserve"> PAGEREF _Toc31622 \h </w:instrText>
      </w:r>
      <w:r>
        <w:rPr>
          <w:color w:val="auto"/>
        </w:rPr>
        <w:fldChar w:fldCharType="separate"/>
      </w:r>
      <w:r>
        <w:rPr>
          <w:color w:val="auto"/>
        </w:rPr>
        <w:t>214</w:t>
      </w:r>
      <w:r>
        <w:rPr>
          <w:color w:val="auto"/>
        </w:rPr>
        <w:fldChar w:fldCharType="end"/>
      </w:r>
      <w:r>
        <w:rPr>
          <w:rFonts w:hint="default" w:ascii="Times New Roman" w:hAnsi="Times New Roman" w:eastAsia="宋体" w:cs="Times New Roman"/>
          <w:color w:val="auto"/>
          <w:highlight w:val="none"/>
        </w:rPr>
        <w:fldChar w:fldCharType="end"/>
      </w:r>
    </w:p>
    <w:p w14:paraId="2363D2C8">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_Toc12653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3.8. </w:t>
      </w:r>
      <w:r>
        <w:rPr>
          <w:rFonts w:hint="default" w:ascii="Times New Roman" w:hAnsi="Times New Roman" w:eastAsia="宋体" w:cs="Times New Roman"/>
          <w:color w:val="auto"/>
          <w:highlight w:val="none"/>
        </w:rPr>
        <w:t>规划区主要环境问题</w:t>
      </w:r>
      <w:r>
        <w:rPr>
          <w:color w:val="auto"/>
        </w:rPr>
        <w:tab/>
      </w:r>
      <w:r>
        <w:rPr>
          <w:color w:val="auto"/>
        </w:rPr>
        <w:fldChar w:fldCharType="begin"/>
      </w:r>
      <w:r>
        <w:rPr>
          <w:color w:val="auto"/>
        </w:rPr>
        <w:instrText xml:space="preserve"> PAGEREF _Toc12653 \h </w:instrText>
      </w:r>
      <w:r>
        <w:rPr>
          <w:color w:val="auto"/>
        </w:rPr>
        <w:fldChar w:fldCharType="separate"/>
      </w:r>
      <w:r>
        <w:rPr>
          <w:color w:val="auto"/>
        </w:rPr>
        <w:t>231</w:t>
      </w:r>
      <w:r>
        <w:rPr>
          <w:color w:val="auto"/>
        </w:rPr>
        <w:fldChar w:fldCharType="end"/>
      </w:r>
      <w:r>
        <w:rPr>
          <w:rFonts w:hint="default" w:ascii="Times New Roman" w:hAnsi="Times New Roman" w:eastAsia="宋体" w:cs="Times New Roman"/>
          <w:color w:val="auto"/>
          <w:highlight w:val="none"/>
        </w:rPr>
        <w:fldChar w:fldCharType="end"/>
      </w:r>
    </w:p>
    <w:p w14:paraId="077215B3">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_Toc27128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3.9. </w:t>
      </w:r>
      <w:r>
        <w:rPr>
          <w:rFonts w:hint="default" w:ascii="Times New Roman" w:hAnsi="Times New Roman" w:eastAsia="宋体" w:cs="Times New Roman"/>
          <w:color w:val="auto"/>
          <w:highlight w:val="none"/>
        </w:rPr>
        <w:t>流域环境发展趋势</w:t>
      </w:r>
      <w:r>
        <w:rPr>
          <w:color w:val="auto"/>
        </w:rPr>
        <w:tab/>
      </w:r>
      <w:r>
        <w:rPr>
          <w:color w:val="auto"/>
        </w:rPr>
        <w:fldChar w:fldCharType="begin"/>
      </w:r>
      <w:r>
        <w:rPr>
          <w:color w:val="auto"/>
        </w:rPr>
        <w:instrText xml:space="preserve"> PAGEREF _Toc27128 \h </w:instrText>
      </w:r>
      <w:r>
        <w:rPr>
          <w:color w:val="auto"/>
        </w:rPr>
        <w:fldChar w:fldCharType="separate"/>
      </w:r>
      <w:r>
        <w:rPr>
          <w:color w:val="auto"/>
        </w:rPr>
        <w:t>232</w:t>
      </w:r>
      <w:r>
        <w:rPr>
          <w:color w:val="auto"/>
        </w:rPr>
        <w:fldChar w:fldCharType="end"/>
      </w:r>
      <w:r>
        <w:rPr>
          <w:rFonts w:hint="default" w:ascii="Times New Roman" w:hAnsi="Times New Roman" w:eastAsia="宋体" w:cs="Times New Roman"/>
          <w:color w:val="auto"/>
          <w:highlight w:val="none"/>
        </w:rPr>
        <w:fldChar w:fldCharType="end"/>
      </w:r>
    </w:p>
    <w:p w14:paraId="3CBBB9EC">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_Toc12036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3.10. </w:t>
      </w:r>
      <w:r>
        <w:rPr>
          <w:rFonts w:hint="default" w:ascii="Times New Roman" w:hAnsi="Times New Roman" w:eastAsia="宋体" w:cs="Times New Roman"/>
          <w:color w:val="auto"/>
          <w:highlight w:val="none"/>
        </w:rPr>
        <w:t>规划环境限制性因素分析</w:t>
      </w:r>
      <w:r>
        <w:rPr>
          <w:color w:val="auto"/>
        </w:rPr>
        <w:tab/>
      </w:r>
      <w:r>
        <w:rPr>
          <w:color w:val="auto"/>
        </w:rPr>
        <w:fldChar w:fldCharType="begin"/>
      </w:r>
      <w:r>
        <w:rPr>
          <w:color w:val="auto"/>
        </w:rPr>
        <w:instrText xml:space="preserve"> PAGEREF _Toc12036 \h </w:instrText>
      </w:r>
      <w:r>
        <w:rPr>
          <w:color w:val="auto"/>
        </w:rPr>
        <w:fldChar w:fldCharType="separate"/>
      </w:r>
      <w:r>
        <w:rPr>
          <w:color w:val="auto"/>
        </w:rPr>
        <w:t>234</w:t>
      </w:r>
      <w:r>
        <w:rPr>
          <w:color w:val="auto"/>
        </w:rPr>
        <w:fldChar w:fldCharType="end"/>
      </w:r>
      <w:r>
        <w:rPr>
          <w:rFonts w:hint="default" w:ascii="Times New Roman" w:hAnsi="Times New Roman" w:eastAsia="宋体" w:cs="Times New Roman"/>
          <w:color w:val="auto"/>
          <w:highlight w:val="none"/>
        </w:rPr>
        <w:fldChar w:fldCharType="end"/>
      </w:r>
    </w:p>
    <w:p w14:paraId="14F0F5AD">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_Toc23431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4. </w:t>
      </w:r>
      <w:r>
        <w:rPr>
          <w:rFonts w:hint="default" w:ascii="Times New Roman" w:hAnsi="Times New Roman" w:eastAsia="宋体" w:cs="Times New Roman"/>
          <w:color w:val="auto"/>
          <w:highlight w:val="none"/>
        </w:rPr>
        <w:t>环境影响识别及评价指标体系构建</w:t>
      </w:r>
      <w:r>
        <w:rPr>
          <w:color w:val="auto"/>
        </w:rPr>
        <w:tab/>
      </w:r>
      <w:r>
        <w:rPr>
          <w:color w:val="auto"/>
        </w:rPr>
        <w:fldChar w:fldCharType="begin"/>
      </w:r>
      <w:r>
        <w:rPr>
          <w:color w:val="auto"/>
        </w:rPr>
        <w:instrText xml:space="preserve"> PAGEREF _Toc23431 \h </w:instrText>
      </w:r>
      <w:r>
        <w:rPr>
          <w:color w:val="auto"/>
        </w:rPr>
        <w:fldChar w:fldCharType="separate"/>
      </w:r>
      <w:r>
        <w:rPr>
          <w:color w:val="auto"/>
        </w:rPr>
        <w:t>237</w:t>
      </w:r>
      <w:r>
        <w:rPr>
          <w:color w:val="auto"/>
        </w:rPr>
        <w:fldChar w:fldCharType="end"/>
      </w:r>
      <w:r>
        <w:rPr>
          <w:rFonts w:hint="default" w:ascii="Times New Roman" w:hAnsi="Times New Roman" w:eastAsia="宋体" w:cs="Times New Roman"/>
          <w:color w:val="auto"/>
          <w:highlight w:val="none"/>
        </w:rPr>
        <w:fldChar w:fldCharType="end"/>
      </w:r>
    </w:p>
    <w:p w14:paraId="1FF712D1">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_Toc19452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4.1. </w:t>
      </w:r>
      <w:r>
        <w:rPr>
          <w:rFonts w:hint="default" w:ascii="Times New Roman" w:hAnsi="Times New Roman" w:eastAsia="宋体" w:cs="Times New Roman"/>
          <w:color w:val="auto"/>
          <w:highlight w:val="none"/>
        </w:rPr>
        <w:t>环境影响识别</w:t>
      </w:r>
      <w:r>
        <w:rPr>
          <w:color w:val="auto"/>
        </w:rPr>
        <w:tab/>
      </w:r>
      <w:r>
        <w:rPr>
          <w:color w:val="auto"/>
        </w:rPr>
        <w:fldChar w:fldCharType="begin"/>
      </w:r>
      <w:r>
        <w:rPr>
          <w:color w:val="auto"/>
        </w:rPr>
        <w:instrText xml:space="preserve"> PAGEREF _Toc19452 \h </w:instrText>
      </w:r>
      <w:r>
        <w:rPr>
          <w:color w:val="auto"/>
        </w:rPr>
        <w:fldChar w:fldCharType="separate"/>
      </w:r>
      <w:r>
        <w:rPr>
          <w:color w:val="auto"/>
        </w:rPr>
        <w:t>237</w:t>
      </w:r>
      <w:r>
        <w:rPr>
          <w:color w:val="auto"/>
        </w:rPr>
        <w:fldChar w:fldCharType="end"/>
      </w:r>
      <w:r>
        <w:rPr>
          <w:rFonts w:hint="default" w:ascii="Times New Roman" w:hAnsi="Times New Roman" w:eastAsia="宋体" w:cs="Times New Roman"/>
          <w:color w:val="auto"/>
          <w:highlight w:val="none"/>
        </w:rPr>
        <w:fldChar w:fldCharType="end"/>
      </w:r>
    </w:p>
    <w:p w14:paraId="79747F46">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_Toc7630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4.2. </w:t>
      </w:r>
      <w:r>
        <w:rPr>
          <w:rFonts w:hint="default" w:ascii="Times New Roman" w:hAnsi="Times New Roman" w:eastAsia="宋体" w:cs="Times New Roman"/>
          <w:color w:val="auto"/>
          <w:highlight w:val="none"/>
        </w:rPr>
        <w:t>生态环境保护定位</w:t>
      </w:r>
      <w:r>
        <w:rPr>
          <w:color w:val="auto"/>
        </w:rPr>
        <w:tab/>
      </w:r>
      <w:r>
        <w:rPr>
          <w:color w:val="auto"/>
        </w:rPr>
        <w:fldChar w:fldCharType="begin"/>
      </w:r>
      <w:r>
        <w:rPr>
          <w:color w:val="auto"/>
        </w:rPr>
        <w:instrText xml:space="preserve"> PAGEREF _Toc7630 \h </w:instrText>
      </w:r>
      <w:r>
        <w:rPr>
          <w:color w:val="auto"/>
        </w:rPr>
        <w:fldChar w:fldCharType="separate"/>
      </w:r>
      <w:r>
        <w:rPr>
          <w:color w:val="auto"/>
        </w:rPr>
        <w:t>245</w:t>
      </w:r>
      <w:r>
        <w:rPr>
          <w:color w:val="auto"/>
        </w:rPr>
        <w:fldChar w:fldCharType="end"/>
      </w:r>
      <w:r>
        <w:rPr>
          <w:rFonts w:hint="default" w:ascii="Times New Roman" w:hAnsi="Times New Roman" w:eastAsia="宋体" w:cs="Times New Roman"/>
          <w:color w:val="auto"/>
          <w:highlight w:val="none"/>
        </w:rPr>
        <w:fldChar w:fldCharType="end"/>
      </w:r>
    </w:p>
    <w:p w14:paraId="79EE2618">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_Toc28467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4.3. </w:t>
      </w:r>
      <w:r>
        <w:rPr>
          <w:rFonts w:hint="default" w:ascii="Times New Roman" w:hAnsi="Times New Roman" w:eastAsia="宋体" w:cs="Times New Roman"/>
          <w:color w:val="auto"/>
          <w:highlight w:val="none"/>
        </w:rPr>
        <w:t>环境影响评价指标体系</w:t>
      </w:r>
      <w:r>
        <w:rPr>
          <w:color w:val="auto"/>
        </w:rPr>
        <w:tab/>
      </w:r>
      <w:r>
        <w:rPr>
          <w:color w:val="auto"/>
        </w:rPr>
        <w:fldChar w:fldCharType="begin"/>
      </w:r>
      <w:r>
        <w:rPr>
          <w:color w:val="auto"/>
        </w:rPr>
        <w:instrText xml:space="preserve"> PAGEREF _Toc28467 \h </w:instrText>
      </w:r>
      <w:r>
        <w:rPr>
          <w:color w:val="auto"/>
        </w:rPr>
        <w:fldChar w:fldCharType="separate"/>
      </w:r>
      <w:r>
        <w:rPr>
          <w:color w:val="auto"/>
        </w:rPr>
        <w:t>246</w:t>
      </w:r>
      <w:r>
        <w:rPr>
          <w:color w:val="auto"/>
        </w:rPr>
        <w:fldChar w:fldCharType="end"/>
      </w:r>
      <w:r>
        <w:rPr>
          <w:rFonts w:hint="default" w:ascii="Times New Roman" w:hAnsi="Times New Roman" w:eastAsia="宋体" w:cs="Times New Roman"/>
          <w:color w:val="auto"/>
          <w:highlight w:val="none"/>
        </w:rPr>
        <w:fldChar w:fldCharType="end"/>
      </w:r>
    </w:p>
    <w:p w14:paraId="11A409EF">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_Toc21793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5. </w:t>
      </w:r>
      <w:r>
        <w:rPr>
          <w:rFonts w:hint="default" w:ascii="Times New Roman" w:hAnsi="Times New Roman" w:eastAsia="宋体" w:cs="Times New Roman"/>
          <w:color w:val="auto"/>
          <w:highlight w:val="none"/>
        </w:rPr>
        <w:t>环境影响预测与评价</w:t>
      </w:r>
      <w:r>
        <w:rPr>
          <w:color w:val="auto"/>
        </w:rPr>
        <w:tab/>
      </w:r>
      <w:r>
        <w:rPr>
          <w:color w:val="auto"/>
        </w:rPr>
        <w:fldChar w:fldCharType="begin"/>
      </w:r>
      <w:r>
        <w:rPr>
          <w:color w:val="auto"/>
        </w:rPr>
        <w:instrText xml:space="preserve"> PAGEREF _Toc21793 \h </w:instrText>
      </w:r>
      <w:r>
        <w:rPr>
          <w:color w:val="auto"/>
        </w:rPr>
        <w:fldChar w:fldCharType="separate"/>
      </w:r>
      <w:r>
        <w:rPr>
          <w:color w:val="auto"/>
        </w:rPr>
        <w:t>249</w:t>
      </w:r>
      <w:r>
        <w:rPr>
          <w:color w:val="auto"/>
        </w:rPr>
        <w:fldChar w:fldCharType="end"/>
      </w:r>
      <w:r>
        <w:rPr>
          <w:rFonts w:hint="default" w:ascii="Times New Roman" w:hAnsi="Times New Roman" w:eastAsia="宋体" w:cs="Times New Roman"/>
          <w:color w:val="auto"/>
          <w:highlight w:val="none"/>
        </w:rPr>
        <w:fldChar w:fldCharType="end"/>
      </w:r>
    </w:p>
    <w:p w14:paraId="69446F03">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_Toc18676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5.1. </w:t>
      </w:r>
      <w:r>
        <w:rPr>
          <w:rFonts w:hint="default" w:ascii="Times New Roman" w:hAnsi="Times New Roman" w:eastAsia="宋体" w:cs="Times New Roman"/>
          <w:color w:val="auto"/>
          <w:highlight w:val="none"/>
        </w:rPr>
        <w:t>水文水资源影响预测与评价</w:t>
      </w:r>
      <w:r>
        <w:rPr>
          <w:color w:val="auto"/>
        </w:rPr>
        <w:tab/>
      </w:r>
      <w:r>
        <w:rPr>
          <w:color w:val="auto"/>
        </w:rPr>
        <w:fldChar w:fldCharType="begin"/>
      </w:r>
      <w:r>
        <w:rPr>
          <w:color w:val="auto"/>
        </w:rPr>
        <w:instrText xml:space="preserve"> PAGEREF _Toc18676 \h </w:instrText>
      </w:r>
      <w:r>
        <w:rPr>
          <w:color w:val="auto"/>
        </w:rPr>
        <w:fldChar w:fldCharType="separate"/>
      </w:r>
      <w:r>
        <w:rPr>
          <w:color w:val="auto"/>
        </w:rPr>
        <w:t>249</w:t>
      </w:r>
      <w:r>
        <w:rPr>
          <w:color w:val="auto"/>
        </w:rPr>
        <w:fldChar w:fldCharType="end"/>
      </w:r>
      <w:r>
        <w:rPr>
          <w:rFonts w:hint="default" w:ascii="Times New Roman" w:hAnsi="Times New Roman" w:eastAsia="宋体" w:cs="Times New Roman"/>
          <w:color w:val="auto"/>
          <w:highlight w:val="none"/>
        </w:rPr>
        <w:fldChar w:fldCharType="end"/>
      </w:r>
    </w:p>
    <w:p w14:paraId="76953439">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_Toc8407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5.2. </w:t>
      </w:r>
      <w:r>
        <w:rPr>
          <w:rFonts w:hint="default" w:ascii="Times New Roman" w:hAnsi="Times New Roman" w:eastAsia="宋体" w:cs="Times New Roman"/>
          <w:color w:val="auto"/>
          <w:highlight w:val="none"/>
        </w:rPr>
        <w:t>生态流量保障程度分析</w:t>
      </w:r>
      <w:r>
        <w:rPr>
          <w:color w:val="auto"/>
        </w:rPr>
        <w:tab/>
      </w:r>
      <w:r>
        <w:rPr>
          <w:color w:val="auto"/>
        </w:rPr>
        <w:fldChar w:fldCharType="begin"/>
      </w:r>
      <w:r>
        <w:rPr>
          <w:color w:val="auto"/>
        </w:rPr>
        <w:instrText xml:space="preserve"> PAGEREF _Toc8407 \h </w:instrText>
      </w:r>
      <w:r>
        <w:rPr>
          <w:color w:val="auto"/>
        </w:rPr>
        <w:fldChar w:fldCharType="separate"/>
      </w:r>
      <w:r>
        <w:rPr>
          <w:color w:val="auto"/>
        </w:rPr>
        <w:t>256</w:t>
      </w:r>
      <w:r>
        <w:rPr>
          <w:color w:val="auto"/>
        </w:rPr>
        <w:fldChar w:fldCharType="end"/>
      </w:r>
      <w:r>
        <w:rPr>
          <w:rFonts w:hint="default" w:ascii="Times New Roman" w:hAnsi="Times New Roman" w:eastAsia="宋体" w:cs="Times New Roman"/>
          <w:color w:val="auto"/>
          <w:highlight w:val="none"/>
        </w:rPr>
        <w:fldChar w:fldCharType="end"/>
      </w:r>
    </w:p>
    <w:p w14:paraId="3D6DA651">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_Toc21124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5.3. </w:t>
      </w:r>
      <w:r>
        <w:rPr>
          <w:rFonts w:hint="default" w:ascii="Times New Roman" w:hAnsi="Times New Roman" w:eastAsia="宋体" w:cs="Times New Roman"/>
          <w:color w:val="auto"/>
          <w:highlight w:val="none"/>
        </w:rPr>
        <w:t>对水环境的影响</w:t>
      </w:r>
      <w:r>
        <w:rPr>
          <w:color w:val="auto"/>
        </w:rPr>
        <w:tab/>
      </w:r>
      <w:r>
        <w:rPr>
          <w:color w:val="auto"/>
        </w:rPr>
        <w:fldChar w:fldCharType="begin"/>
      </w:r>
      <w:r>
        <w:rPr>
          <w:color w:val="auto"/>
        </w:rPr>
        <w:instrText xml:space="preserve"> PAGEREF _Toc21124 \h </w:instrText>
      </w:r>
      <w:r>
        <w:rPr>
          <w:color w:val="auto"/>
        </w:rPr>
        <w:fldChar w:fldCharType="separate"/>
      </w:r>
      <w:r>
        <w:rPr>
          <w:color w:val="auto"/>
        </w:rPr>
        <w:t>263</w:t>
      </w:r>
      <w:r>
        <w:rPr>
          <w:color w:val="auto"/>
        </w:rPr>
        <w:fldChar w:fldCharType="end"/>
      </w:r>
      <w:r>
        <w:rPr>
          <w:rFonts w:hint="default" w:ascii="Times New Roman" w:hAnsi="Times New Roman" w:eastAsia="宋体" w:cs="Times New Roman"/>
          <w:color w:val="auto"/>
          <w:highlight w:val="none"/>
        </w:rPr>
        <w:fldChar w:fldCharType="end"/>
      </w:r>
    </w:p>
    <w:p w14:paraId="3C370BA2">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_Toc22318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5.4. </w:t>
      </w:r>
      <w:r>
        <w:rPr>
          <w:rFonts w:hint="default" w:ascii="Times New Roman" w:hAnsi="Times New Roman" w:eastAsia="宋体" w:cs="Times New Roman"/>
          <w:color w:val="auto"/>
          <w:highlight w:val="none"/>
        </w:rPr>
        <w:t>对陆生生态的影响</w:t>
      </w:r>
      <w:r>
        <w:rPr>
          <w:color w:val="auto"/>
        </w:rPr>
        <w:tab/>
      </w:r>
      <w:r>
        <w:rPr>
          <w:color w:val="auto"/>
        </w:rPr>
        <w:fldChar w:fldCharType="begin"/>
      </w:r>
      <w:r>
        <w:rPr>
          <w:color w:val="auto"/>
        </w:rPr>
        <w:instrText xml:space="preserve"> PAGEREF _Toc22318 \h </w:instrText>
      </w:r>
      <w:r>
        <w:rPr>
          <w:color w:val="auto"/>
        </w:rPr>
        <w:fldChar w:fldCharType="separate"/>
      </w:r>
      <w:r>
        <w:rPr>
          <w:color w:val="auto"/>
        </w:rPr>
        <w:t>279</w:t>
      </w:r>
      <w:r>
        <w:rPr>
          <w:color w:val="auto"/>
        </w:rPr>
        <w:fldChar w:fldCharType="end"/>
      </w:r>
      <w:r>
        <w:rPr>
          <w:rFonts w:hint="default" w:ascii="Times New Roman" w:hAnsi="Times New Roman" w:eastAsia="宋体" w:cs="Times New Roman"/>
          <w:color w:val="auto"/>
          <w:highlight w:val="none"/>
        </w:rPr>
        <w:fldChar w:fldCharType="end"/>
      </w:r>
    </w:p>
    <w:p w14:paraId="2D5ED912">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_Toc27410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5.5. </w:t>
      </w:r>
      <w:r>
        <w:rPr>
          <w:rFonts w:hint="default" w:ascii="Times New Roman" w:hAnsi="Times New Roman" w:eastAsia="宋体" w:cs="Times New Roman"/>
          <w:color w:val="auto"/>
          <w:highlight w:val="none"/>
        </w:rPr>
        <w:t>对水生生态的影响</w:t>
      </w:r>
      <w:r>
        <w:rPr>
          <w:color w:val="auto"/>
        </w:rPr>
        <w:tab/>
      </w:r>
      <w:r>
        <w:rPr>
          <w:color w:val="auto"/>
        </w:rPr>
        <w:fldChar w:fldCharType="begin"/>
      </w:r>
      <w:r>
        <w:rPr>
          <w:color w:val="auto"/>
        </w:rPr>
        <w:instrText xml:space="preserve"> PAGEREF _Toc27410 \h </w:instrText>
      </w:r>
      <w:r>
        <w:rPr>
          <w:color w:val="auto"/>
        </w:rPr>
        <w:fldChar w:fldCharType="separate"/>
      </w:r>
      <w:r>
        <w:rPr>
          <w:color w:val="auto"/>
        </w:rPr>
        <w:t>288</w:t>
      </w:r>
      <w:r>
        <w:rPr>
          <w:color w:val="auto"/>
        </w:rPr>
        <w:fldChar w:fldCharType="end"/>
      </w:r>
      <w:r>
        <w:rPr>
          <w:rFonts w:hint="default" w:ascii="Times New Roman" w:hAnsi="Times New Roman" w:eastAsia="宋体" w:cs="Times New Roman"/>
          <w:color w:val="auto"/>
          <w:highlight w:val="none"/>
        </w:rPr>
        <w:fldChar w:fldCharType="end"/>
      </w:r>
    </w:p>
    <w:p w14:paraId="2D0A0820">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_Toc15596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5.6. </w:t>
      </w:r>
      <w:r>
        <w:rPr>
          <w:rFonts w:hint="default" w:ascii="Times New Roman" w:hAnsi="Times New Roman" w:eastAsia="宋体" w:cs="Times New Roman"/>
          <w:color w:val="auto"/>
          <w:highlight w:val="none"/>
        </w:rPr>
        <w:t>对环境敏感区的影响</w:t>
      </w:r>
      <w:r>
        <w:rPr>
          <w:color w:val="auto"/>
        </w:rPr>
        <w:tab/>
      </w:r>
      <w:r>
        <w:rPr>
          <w:color w:val="auto"/>
        </w:rPr>
        <w:fldChar w:fldCharType="begin"/>
      </w:r>
      <w:r>
        <w:rPr>
          <w:color w:val="auto"/>
        </w:rPr>
        <w:instrText xml:space="preserve"> PAGEREF _Toc15596 \h </w:instrText>
      </w:r>
      <w:r>
        <w:rPr>
          <w:color w:val="auto"/>
        </w:rPr>
        <w:fldChar w:fldCharType="separate"/>
      </w:r>
      <w:r>
        <w:rPr>
          <w:color w:val="auto"/>
        </w:rPr>
        <w:t>298</w:t>
      </w:r>
      <w:r>
        <w:rPr>
          <w:color w:val="auto"/>
        </w:rPr>
        <w:fldChar w:fldCharType="end"/>
      </w:r>
      <w:r>
        <w:rPr>
          <w:rFonts w:hint="default" w:ascii="Times New Roman" w:hAnsi="Times New Roman" w:eastAsia="宋体" w:cs="Times New Roman"/>
          <w:color w:val="auto"/>
          <w:highlight w:val="none"/>
        </w:rPr>
        <w:fldChar w:fldCharType="end"/>
      </w:r>
    </w:p>
    <w:p w14:paraId="1BB27985">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_Toc1340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5.7. </w:t>
      </w:r>
      <w:r>
        <w:rPr>
          <w:rFonts w:hint="default" w:ascii="Times New Roman" w:hAnsi="Times New Roman" w:eastAsia="宋体" w:cs="Times New Roman"/>
          <w:color w:val="auto"/>
          <w:highlight w:val="none"/>
        </w:rPr>
        <w:t>对社会环境的影响</w:t>
      </w:r>
      <w:r>
        <w:rPr>
          <w:color w:val="auto"/>
        </w:rPr>
        <w:tab/>
      </w:r>
      <w:r>
        <w:rPr>
          <w:color w:val="auto"/>
        </w:rPr>
        <w:fldChar w:fldCharType="begin"/>
      </w:r>
      <w:r>
        <w:rPr>
          <w:color w:val="auto"/>
        </w:rPr>
        <w:instrText xml:space="preserve"> PAGEREF _Toc1340 \h </w:instrText>
      </w:r>
      <w:r>
        <w:rPr>
          <w:color w:val="auto"/>
        </w:rPr>
        <w:fldChar w:fldCharType="separate"/>
      </w:r>
      <w:r>
        <w:rPr>
          <w:color w:val="auto"/>
        </w:rPr>
        <w:t>302</w:t>
      </w:r>
      <w:r>
        <w:rPr>
          <w:color w:val="auto"/>
        </w:rPr>
        <w:fldChar w:fldCharType="end"/>
      </w:r>
      <w:r>
        <w:rPr>
          <w:rFonts w:hint="default" w:ascii="Times New Roman" w:hAnsi="Times New Roman" w:eastAsia="宋体" w:cs="Times New Roman"/>
          <w:color w:val="auto"/>
          <w:highlight w:val="none"/>
        </w:rPr>
        <w:fldChar w:fldCharType="end"/>
      </w:r>
    </w:p>
    <w:p w14:paraId="56A0660C">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_Toc32617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5.8. </w:t>
      </w:r>
      <w:r>
        <w:rPr>
          <w:rFonts w:hint="default" w:ascii="Times New Roman" w:hAnsi="Times New Roman" w:cs="Times New Roman"/>
          <w:color w:val="auto"/>
          <w:highlight w:val="none"/>
        </w:rPr>
        <w:t>环境风险预测与评价</w:t>
      </w:r>
      <w:r>
        <w:rPr>
          <w:color w:val="auto"/>
        </w:rPr>
        <w:tab/>
      </w:r>
      <w:r>
        <w:rPr>
          <w:color w:val="auto"/>
        </w:rPr>
        <w:fldChar w:fldCharType="begin"/>
      </w:r>
      <w:r>
        <w:rPr>
          <w:color w:val="auto"/>
        </w:rPr>
        <w:instrText xml:space="preserve"> PAGEREF _Toc32617 \h </w:instrText>
      </w:r>
      <w:r>
        <w:rPr>
          <w:color w:val="auto"/>
        </w:rPr>
        <w:fldChar w:fldCharType="separate"/>
      </w:r>
      <w:r>
        <w:rPr>
          <w:color w:val="auto"/>
        </w:rPr>
        <w:t>305</w:t>
      </w:r>
      <w:r>
        <w:rPr>
          <w:color w:val="auto"/>
        </w:rPr>
        <w:fldChar w:fldCharType="end"/>
      </w:r>
      <w:r>
        <w:rPr>
          <w:rFonts w:hint="default" w:ascii="Times New Roman" w:hAnsi="Times New Roman" w:eastAsia="宋体" w:cs="Times New Roman"/>
          <w:color w:val="auto"/>
          <w:highlight w:val="none"/>
        </w:rPr>
        <w:fldChar w:fldCharType="end"/>
      </w:r>
    </w:p>
    <w:p w14:paraId="6E858227">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_Toc12665 </w:instrText>
      </w:r>
      <w:r>
        <w:rPr>
          <w:rFonts w:hint="default" w:ascii="Times New Roman" w:hAnsi="Times New Roman" w:eastAsia="宋体" w:cs="Times New Roman"/>
          <w:color w:val="auto"/>
          <w:highlight w:val="none"/>
        </w:rPr>
        <w:fldChar w:fldCharType="separate"/>
      </w:r>
      <w:r>
        <w:rPr>
          <w:rFonts w:hint="default" w:ascii="Times New Roman" w:hAnsi="Times New Roman" w:cs="Times New Roman"/>
          <w:color w:val="auto"/>
        </w:rPr>
        <w:t xml:space="preserve">5.9. </w:t>
      </w:r>
      <w:r>
        <w:rPr>
          <w:rFonts w:hint="default" w:ascii="Times New Roman" w:hAnsi="Times New Roman" w:cs="Times New Roman"/>
          <w:color w:val="auto"/>
          <w:highlight w:val="none"/>
        </w:rPr>
        <w:t>资源与环境承载力评估</w:t>
      </w:r>
      <w:r>
        <w:rPr>
          <w:color w:val="auto"/>
        </w:rPr>
        <w:tab/>
      </w:r>
      <w:r>
        <w:rPr>
          <w:color w:val="auto"/>
        </w:rPr>
        <w:fldChar w:fldCharType="begin"/>
      </w:r>
      <w:r>
        <w:rPr>
          <w:color w:val="auto"/>
        </w:rPr>
        <w:instrText xml:space="preserve"> PAGEREF _Toc12665 \h </w:instrText>
      </w:r>
      <w:r>
        <w:rPr>
          <w:color w:val="auto"/>
        </w:rPr>
        <w:fldChar w:fldCharType="separate"/>
      </w:r>
      <w:r>
        <w:rPr>
          <w:color w:val="auto"/>
        </w:rPr>
        <w:t>306</w:t>
      </w:r>
      <w:r>
        <w:rPr>
          <w:color w:val="auto"/>
        </w:rPr>
        <w:fldChar w:fldCharType="end"/>
      </w:r>
      <w:r>
        <w:rPr>
          <w:rFonts w:hint="default" w:ascii="Times New Roman" w:hAnsi="Times New Roman" w:eastAsia="宋体" w:cs="Times New Roman"/>
          <w:color w:val="auto"/>
          <w:highlight w:val="none"/>
        </w:rPr>
        <w:fldChar w:fldCharType="end"/>
      </w:r>
    </w:p>
    <w:p w14:paraId="74BC8DD9">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_Toc11187 </w:instrText>
      </w:r>
      <w:r>
        <w:rPr>
          <w:rFonts w:hint="default" w:ascii="Times New Roman" w:hAnsi="Times New Roman" w:eastAsia="宋体" w:cs="Times New Roman"/>
          <w:color w:val="auto"/>
          <w:highlight w:val="none"/>
        </w:rPr>
        <w:fldChar w:fldCharType="separate"/>
      </w:r>
      <w:r>
        <w:rPr>
          <w:rFonts w:hint="default" w:ascii="Times New Roman" w:hAnsi="Times New Roman" w:cs="Times New Roman"/>
          <w:color w:val="auto"/>
        </w:rPr>
        <w:t xml:space="preserve">5.10. </w:t>
      </w:r>
      <w:r>
        <w:rPr>
          <w:rFonts w:hint="default" w:ascii="Times New Roman" w:hAnsi="Times New Roman" w:cs="Times New Roman"/>
          <w:color w:val="auto"/>
          <w:highlight w:val="none"/>
        </w:rPr>
        <w:t>规划实施后环境演变趋势</w:t>
      </w:r>
      <w:r>
        <w:rPr>
          <w:color w:val="auto"/>
        </w:rPr>
        <w:tab/>
      </w:r>
      <w:r>
        <w:rPr>
          <w:color w:val="auto"/>
        </w:rPr>
        <w:fldChar w:fldCharType="begin"/>
      </w:r>
      <w:r>
        <w:rPr>
          <w:color w:val="auto"/>
        </w:rPr>
        <w:instrText xml:space="preserve"> PAGEREF _Toc11187 \h </w:instrText>
      </w:r>
      <w:r>
        <w:rPr>
          <w:color w:val="auto"/>
        </w:rPr>
        <w:fldChar w:fldCharType="separate"/>
      </w:r>
      <w:r>
        <w:rPr>
          <w:color w:val="auto"/>
        </w:rPr>
        <w:t>308</w:t>
      </w:r>
      <w:r>
        <w:rPr>
          <w:color w:val="auto"/>
        </w:rPr>
        <w:fldChar w:fldCharType="end"/>
      </w:r>
      <w:r>
        <w:rPr>
          <w:rFonts w:hint="default" w:ascii="Times New Roman" w:hAnsi="Times New Roman" w:eastAsia="宋体" w:cs="Times New Roman"/>
          <w:color w:val="auto"/>
          <w:highlight w:val="none"/>
        </w:rPr>
        <w:fldChar w:fldCharType="end"/>
      </w:r>
    </w:p>
    <w:p w14:paraId="55E7E86D">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_Toc30002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6. </w:t>
      </w:r>
      <w:r>
        <w:rPr>
          <w:rFonts w:hint="default" w:ascii="Times New Roman" w:hAnsi="Times New Roman" w:eastAsia="宋体" w:cs="Times New Roman"/>
          <w:color w:val="auto"/>
          <w:highlight w:val="none"/>
        </w:rPr>
        <w:t>规划方案环境合理性论证和优化调整建议</w:t>
      </w:r>
      <w:r>
        <w:rPr>
          <w:color w:val="auto"/>
        </w:rPr>
        <w:tab/>
      </w:r>
      <w:r>
        <w:rPr>
          <w:color w:val="auto"/>
        </w:rPr>
        <w:fldChar w:fldCharType="begin"/>
      </w:r>
      <w:r>
        <w:rPr>
          <w:color w:val="auto"/>
        </w:rPr>
        <w:instrText xml:space="preserve"> PAGEREF _Toc30002 \h </w:instrText>
      </w:r>
      <w:r>
        <w:rPr>
          <w:color w:val="auto"/>
        </w:rPr>
        <w:fldChar w:fldCharType="separate"/>
      </w:r>
      <w:r>
        <w:rPr>
          <w:color w:val="auto"/>
        </w:rPr>
        <w:t>311</w:t>
      </w:r>
      <w:r>
        <w:rPr>
          <w:color w:val="auto"/>
        </w:rPr>
        <w:fldChar w:fldCharType="end"/>
      </w:r>
      <w:r>
        <w:rPr>
          <w:rFonts w:hint="default" w:ascii="Times New Roman" w:hAnsi="Times New Roman" w:eastAsia="宋体" w:cs="Times New Roman"/>
          <w:color w:val="auto"/>
          <w:highlight w:val="none"/>
        </w:rPr>
        <w:fldChar w:fldCharType="end"/>
      </w:r>
    </w:p>
    <w:p w14:paraId="5ACF15E4">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_Toc29661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6.1. </w:t>
      </w:r>
      <w:r>
        <w:rPr>
          <w:rFonts w:hint="default" w:ascii="Times New Roman" w:hAnsi="Times New Roman" w:eastAsia="宋体" w:cs="Times New Roman"/>
          <w:color w:val="auto"/>
          <w:highlight w:val="none"/>
        </w:rPr>
        <w:t>规划方案的环境合理性论证</w:t>
      </w:r>
      <w:r>
        <w:rPr>
          <w:color w:val="auto"/>
        </w:rPr>
        <w:tab/>
      </w:r>
      <w:r>
        <w:rPr>
          <w:color w:val="auto"/>
        </w:rPr>
        <w:fldChar w:fldCharType="begin"/>
      </w:r>
      <w:r>
        <w:rPr>
          <w:color w:val="auto"/>
        </w:rPr>
        <w:instrText xml:space="preserve"> PAGEREF _Toc29661 \h </w:instrText>
      </w:r>
      <w:r>
        <w:rPr>
          <w:color w:val="auto"/>
        </w:rPr>
        <w:fldChar w:fldCharType="separate"/>
      </w:r>
      <w:r>
        <w:rPr>
          <w:color w:val="auto"/>
        </w:rPr>
        <w:t>311</w:t>
      </w:r>
      <w:r>
        <w:rPr>
          <w:color w:val="auto"/>
        </w:rPr>
        <w:fldChar w:fldCharType="end"/>
      </w:r>
      <w:r>
        <w:rPr>
          <w:rFonts w:hint="default" w:ascii="Times New Roman" w:hAnsi="Times New Roman" w:eastAsia="宋体" w:cs="Times New Roman"/>
          <w:color w:val="auto"/>
          <w:highlight w:val="none"/>
        </w:rPr>
        <w:fldChar w:fldCharType="end"/>
      </w:r>
    </w:p>
    <w:p w14:paraId="3DEF0D27">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_Toc6996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6.2. </w:t>
      </w:r>
      <w:r>
        <w:rPr>
          <w:rFonts w:hint="default" w:ascii="Times New Roman" w:hAnsi="Times New Roman" w:eastAsia="宋体" w:cs="Times New Roman"/>
          <w:color w:val="auto"/>
          <w:highlight w:val="none"/>
        </w:rPr>
        <w:t>生态空间管控要求</w:t>
      </w:r>
      <w:r>
        <w:rPr>
          <w:color w:val="auto"/>
        </w:rPr>
        <w:tab/>
      </w:r>
      <w:r>
        <w:rPr>
          <w:color w:val="auto"/>
        </w:rPr>
        <w:fldChar w:fldCharType="begin"/>
      </w:r>
      <w:r>
        <w:rPr>
          <w:color w:val="auto"/>
        </w:rPr>
        <w:instrText xml:space="preserve"> PAGEREF _Toc6996 \h </w:instrText>
      </w:r>
      <w:r>
        <w:rPr>
          <w:color w:val="auto"/>
        </w:rPr>
        <w:fldChar w:fldCharType="separate"/>
      </w:r>
      <w:r>
        <w:rPr>
          <w:color w:val="auto"/>
        </w:rPr>
        <w:t>318</w:t>
      </w:r>
      <w:r>
        <w:rPr>
          <w:color w:val="auto"/>
        </w:rPr>
        <w:fldChar w:fldCharType="end"/>
      </w:r>
      <w:r>
        <w:rPr>
          <w:rFonts w:hint="default" w:ascii="Times New Roman" w:hAnsi="Times New Roman" w:eastAsia="宋体" w:cs="Times New Roman"/>
          <w:color w:val="auto"/>
          <w:highlight w:val="none"/>
        </w:rPr>
        <w:fldChar w:fldCharType="end"/>
      </w:r>
    </w:p>
    <w:p w14:paraId="4751B72C">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_Toc23483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6.3. </w:t>
      </w:r>
      <w:r>
        <w:rPr>
          <w:rFonts w:hint="default" w:ascii="Times New Roman" w:hAnsi="Times New Roman" w:eastAsia="宋体" w:cs="Times New Roman"/>
          <w:color w:val="auto"/>
          <w:highlight w:val="none"/>
        </w:rPr>
        <w:t>规划方案优化调整建议</w:t>
      </w:r>
      <w:r>
        <w:rPr>
          <w:color w:val="auto"/>
        </w:rPr>
        <w:tab/>
      </w:r>
      <w:r>
        <w:rPr>
          <w:color w:val="auto"/>
        </w:rPr>
        <w:fldChar w:fldCharType="begin"/>
      </w:r>
      <w:r>
        <w:rPr>
          <w:color w:val="auto"/>
        </w:rPr>
        <w:instrText xml:space="preserve"> PAGEREF _Toc23483 \h </w:instrText>
      </w:r>
      <w:r>
        <w:rPr>
          <w:color w:val="auto"/>
        </w:rPr>
        <w:fldChar w:fldCharType="separate"/>
      </w:r>
      <w:r>
        <w:rPr>
          <w:color w:val="auto"/>
        </w:rPr>
        <w:t>319</w:t>
      </w:r>
      <w:r>
        <w:rPr>
          <w:color w:val="auto"/>
        </w:rPr>
        <w:fldChar w:fldCharType="end"/>
      </w:r>
      <w:r>
        <w:rPr>
          <w:rFonts w:hint="default" w:ascii="Times New Roman" w:hAnsi="Times New Roman" w:eastAsia="宋体" w:cs="Times New Roman"/>
          <w:color w:val="auto"/>
          <w:highlight w:val="none"/>
        </w:rPr>
        <w:fldChar w:fldCharType="end"/>
      </w:r>
    </w:p>
    <w:p w14:paraId="68DAFC76">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_Toc21137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6.4. </w:t>
      </w:r>
      <w:r>
        <w:rPr>
          <w:rFonts w:hint="default" w:ascii="Times New Roman" w:hAnsi="Times New Roman" w:eastAsia="宋体" w:cs="Times New Roman"/>
          <w:color w:val="auto"/>
          <w:highlight w:val="none"/>
        </w:rPr>
        <w:t>对下阶段环评的指导意见</w:t>
      </w:r>
      <w:r>
        <w:rPr>
          <w:color w:val="auto"/>
        </w:rPr>
        <w:tab/>
      </w:r>
      <w:r>
        <w:rPr>
          <w:color w:val="auto"/>
        </w:rPr>
        <w:fldChar w:fldCharType="begin"/>
      </w:r>
      <w:r>
        <w:rPr>
          <w:color w:val="auto"/>
        </w:rPr>
        <w:instrText xml:space="preserve"> PAGEREF _Toc21137 \h </w:instrText>
      </w:r>
      <w:r>
        <w:rPr>
          <w:color w:val="auto"/>
        </w:rPr>
        <w:fldChar w:fldCharType="separate"/>
      </w:r>
      <w:r>
        <w:rPr>
          <w:color w:val="auto"/>
        </w:rPr>
        <w:t>323</w:t>
      </w:r>
      <w:r>
        <w:rPr>
          <w:color w:val="auto"/>
        </w:rPr>
        <w:fldChar w:fldCharType="end"/>
      </w:r>
      <w:r>
        <w:rPr>
          <w:rFonts w:hint="default" w:ascii="Times New Roman" w:hAnsi="Times New Roman" w:eastAsia="宋体" w:cs="Times New Roman"/>
          <w:color w:val="auto"/>
          <w:highlight w:val="none"/>
        </w:rPr>
        <w:fldChar w:fldCharType="end"/>
      </w:r>
    </w:p>
    <w:p w14:paraId="52D1BCDE">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_Toc28829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6.5. </w:t>
      </w:r>
      <w:r>
        <w:rPr>
          <w:rFonts w:hint="default" w:ascii="Times New Roman" w:hAnsi="Times New Roman" w:eastAsia="宋体" w:cs="Times New Roman"/>
          <w:color w:val="auto"/>
          <w:highlight w:val="none"/>
        </w:rPr>
        <w:t>规划环评与规划互动</w:t>
      </w:r>
      <w:r>
        <w:rPr>
          <w:color w:val="auto"/>
        </w:rPr>
        <w:tab/>
      </w:r>
      <w:r>
        <w:rPr>
          <w:color w:val="auto"/>
        </w:rPr>
        <w:fldChar w:fldCharType="begin"/>
      </w:r>
      <w:r>
        <w:rPr>
          <w:color w:val="auto"/>
        </w:rPr>
        <w:instrText xml:space="preserve"> PAGEREF _Toc28829 \h </w:instrText>
      </w:r>
      <w:r>
        <w:rPr>
          <w:color w:val="auto"/>
        </w:rPr>
        <w:fldChar w:fldCharType="separate"/>
      </w:r>
      <w:r>
        <w:rPr>
          <w:color w:val="auto"/>
        </w:rPr>
        <w:t>324</w:t>
      </w:r>
      <w:r>
        <w:rPr>
          <w:color w:val="auto"/>
        </w:rPr>
        <w:fldChar w:fldCharType="end"/>
      </w:r>
      <w:r>
        <w:rPr>
          <w:rFonts w:hint="default" w:ascii="Times New Roman" w:hAnsi="Times New Roman" w:eastAsia="宋体" w:cs="Times New Roman"/>
          <w:color w:val="auto"/>
          <w:highlight w:val="none"/>
        </w:rPr>
        <w:fldChar w:fldCharType="end"/>
      </w:r>
    </w:p>
    <w:p w14:paraId="3277AF73">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_Toc20156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 </w:t>
      </w:r>
      <w:r>
        <w:rPr>
          <w:rFonts w:hint="default" w:ascii="Times New Roman" w:hAnsi="Times New Roman" w:eastAsia="宋体" w:cs="Times New Roman"/>
          <w:color w:val="auto"/>
          <w:highlight w:val="none"/>
        </w:rPr>
        <w:t>环境影响减缓对策和措施</w:t>
      </w:r>
      <w:r>
        <w:rPr>
          <w:color w:val="auto"/>
        </w:rPr>
        <w:tab/>
      </w:r>
      <w:r>
        <w:rPr>
          <w:color w:val="auto"/>
        </w:rPr>
        <w:fldChar w:fldCharType="begin"/>
      </w:r>
      <w:r>
        <w:rPr>
          <w:color w:val="auto"/>
        </w:rPr>
        <w:instrText xml:space="preserve"> PAGEREF _Toc20156 \h </w:instrText>
      </w:r>
      <w:r>
        <w:rPr>
          <w:color w:val="auto"/>
        </w:rPr>
        <w:fldChar w:fldCharType="separate"/>
      </w:r>
      <w:r>
        <w:rPr>
          <w:color w:val="auto"/>
        </w:rPr>
        <w:t>326</w:t>
      </w:r>
      <w:r>
        <w:rPr>
          <w:color w:val="auto"/>
        </w:rPr>
        <w:fldChar w:fldCharType="end"/>
      </w:r>
      <w:r>
        <w:rPr>
          <w:rFonts w:hint="default" w:ascii="Times New Roman" w:hAnsi="Times New Roman" w:eastAsia="宋体" w:cs="Times New Roman"/>
          <w:color w:val="auto"/>
          <w:highlight w:val="none"/>
        </w:rPr>
        <w:fldChar w:fldCharType="end"/>
      </w:r>
    </w:p>
    <w:p w14:paraId="55373851">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_Toc3016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7.1. </w:t>
      </w:r>
      <w:r>
        <w:rPr>
          <w:rFonts w:hint="default" w:ascii="Times New Roman" w:hAnsi="Times New Roman" w:eastAsia="宋体" w:cs="Times New Roman"/>
          <w:color w:val="auto"/>
          <w:highlight w:val="none"/>
        </w:rPr>
        <w:t>总体思路</w:t>
      </w:r>
      <w:r>
        <w:rPr>
          <w:color w:val="auto"/>
        </w:rPr>
        <w:tab/>
      </w:r>
      <w:r>
        <w:rPr>
          <w:color w:val="auto"/>
        </w:rPr>
        <w:fldChar w:fldCharType="begin"/>
      </w:r>
      <w:r>
        <w:rPr>
          <w:color w:val="auto"/>
        </w:rPr>
        <w:instrText xml:space="preserve"> PAGEREF _Toc3016 \h </w:instrText>
      </w:r>
      <w:r>
        <w:rPr>
          <w:color w:val="auto"/>
        </w:rPr>
        <w:fldChar w:fldCharType="separate"/>
      </w:r>
      <w:r>
        <w:rPr>
          <w:color w:val="auto"/>
        </w:rPr>
        <w:t>326</w:t>
      </w:r>
      <w:r>
        <w:rPr>
          <w:color w:val="auto"/>
        </w:rPr>
        <w:fldChar w:fldCharType="end"/>
      </w:r>
      <w:r>
        <w:rPr>
          <w:rFonts w:hint="default" w:ascii="Times New Roman" w:hAnsi="Times New Roman" w:eastAsia="宋体" w:cs="Times New Roman"/>
          <w:color w:val="auto"/>
          <w:highlight w:val="none"/>
        </w:rPr>
        <w:fldChar w:fldCharType="end"/>
      </w:r>
    </w:p>
    <w:p w14:paraId="03B12FF7">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_Toc3546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7.2. </w:t>
      </w:r>
      <w:r>
        <w:rPr>
          <w:rFonts w:hint="default" w:ascii="Times New Roman" w:hAnsi="Times New Roman" w:eastAsia="宋体" w:cs="Times New Roman"/>
          <w:color w:val="auto"/>
          <w:highlight w:val="none"/>
        </w:rPr>
        <w:t>制定原则</w:t>
      </w:r>
      <w:r>
        <w:rPr>
          <w:color w:val="auto"/>
        </w:rPr>
        <w:tab/>
      </w:r>
      <w:r>
        <w:rPr>
          <w:color w:val="auto"/>
        </w:rPr>
        <w:fldChar w:fldCharType="begin"/>
      </w:r>
      <w:r>
        <w:rPr>
          <w:color w:val="auto"/>
        </w:rPr>
        <w:instrText xml:space="preserve"> PAGEREF _Toc3546 \h </w:instrText>
      </w:r>
      <w:r>
        <w:rPr>
          <w:color w:val="auto"/>
        </w:rPr>
        <w:fldChar w:fldCharType="separate"/>
      </w:r>
      <w:r>
        <w:rPr>
          <w:color w:val="auto"/>
        </w:rPr>
        <w:t>326</w:t>
      </w:r>
      <w:r>
        <w:rPr>
          <w:color w:val="auto"/>
        </w:rPr>
        <w:fldChar w:fldCharType="end"/>
      </w:r>
      <w:r>
        <w:rPr>
          <w:rFonts w:hint="default" w:ascii="Times New Roman" w:hAnsi="Times New Roman" w:eastAsia="宋体" w:cs="Times New Roman"/>
          <w:color w:val="auto"/>
          <w:highlight w:val="none"/>
        </w:rPr>
        <w:fldChar w:fldCharType="end"/>
      </w:r>
    </w:p>
    <w:p w14:paraId="38CB55CC">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_Toc23990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7.3. </w:t>
      </w:r>
      <w:r>
        <w:rPr>
          <w:rFonts w:hint="default" w:ascii="Times New Roman" w:hAnsi="Times New Roman" w:eastAsia="宋体" w:cs="Times New Roman"/>
          <w:color w:val="auto"/>
          <w:highlight w:val="none"/>
        </w:rPr>
        <w:t>水资源保护对策措施</w:t>
      </w:r>
      <w:r>
        <w:rPr>
          <w:color w:val="auto"/>
        </w:rPr>
        <w:tab/>
      </w:r>
      <w:r>
        <w:rPr>
          <w:color w:val="auto"/>
        </w:rPr>
        <w:fldChar w:fldCharType="begin"/>
      </w:r>
      <w:r>
        <w:rPr>
          <w:color w:val="auto"/>
        </w:rPr>
        <w:instrText xml:space="preserve"> PAGEREF _Toc23990 \h </w:instrText>
      </w:r>
      <w:r>
        <w:rPr>
          <w:color w:val="auto"/>
        </w:rPr>
        <w:fldChar w:fldCharType="separate"/>
      </w:r>
      <w:r>
        <w:rPr>
          <w:color w:val="auto"/>
        </w:rPr>
        <w:t>327</w:t>
      </w:r>
      <w:r>
        <w:rPr>
          <w:color w:val="auto"/>
        </w:rPr>
        <w:fldChar w:fldCharType="end"/>
      </w:r>
      <w:r>
        <w:rPr>
          <w:rFonts w:hint="default" w:ascii="Times New Roman" w:hAnsi="Times New Roman" w:eastAsia="宋体" w:cs="Times New Roman"/>
          <w:color w:val="auto"/>
          <w:highlight w:val="none"/>
        </w:rPr>
        <w:fldChar w:fldCharType="end"/>
      </w:r>
    </w:p>
    <w:p w14:paraId="45D57D76">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_Toc9948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7.4. </w:t>
      </w:r>
      <w:r>
        <w:rPr>
          <w:rFonts w:hint="default" w:ascii="Times New Roman" w:hAnsi="Times New Roman" w:cs="Times New Roman"/>
          <w:color w:val="auto"/>
          <w:highlight w:val="none"/>
          <w:lang w:val="en-US" w:eastAsia="zh-CN"/>
        </w:rPr>
        <w:t>地表水</w:t>
      </w:r>
      <w:r>
        <w:rPr>
          <w:rFonts w:hint="default" w:ascii="Times New Roman" w:hAnsi="Times New Roman" w:eastAsia="宋体" w:cs="Times New Roman"/>
          <w:color w:val="auto"/>
          <w:highlight w:val="none"/>
        </w:rPr>
        <w:t>环境保护对策措施</w:t>
      </w:r>
      <w:r>
        <w:rPr>
          <w:color w:val="auto"/>
        </w:rPr>
        <w:tab/>
      </w:r>
      <w:r>
        <w:rPr>
          <w:color w:val="auto"/>
        </w:rPr>
        <w:fldChar w:fldCharType="begin"/>
      </w:r>
      <w:r>
        <w:rPr>
          <w:color w:val="auto"/>
        </w:rPr>
        <w:instrText xml:space="preserve"> PAGEREF _Toc9948 \h </w:instrText>
      </w:r>
      <w:r>
        <w:rPr>
          <w:color w:val="auto"/>
        </w:rPr>
        <w:fldChar w:fldCharType="separate"/>
      </w:r>
      <w:r>
        <w:rPr>
          <w:color w:val="auto"/>
        </w:rPr>
        <w:t>328</w:t>
      </w:r>
      <w:r>
        <w:rPr>
          <w:color w:val="auto"/>
        </w:rPr>
        <w:fldChar w:fldCharType="end"/>
      </w:r>
      <w:r>
        <w:rPr>
          <w:rFonts w:hint="default" w:ascii="Times New Roman" w:hAnsi="Times New Roman" w:eastAsia="宋体" w:cs="Times New Roman"/>
          <w:color w:val="auto"/>
          <w:highlight w:val="none"/>
        </w:rPr>
        <w:fldChar w:fldCharType="end"/>
      </w:r>
    </w:p>
    <w:p w14:paraId="52C6DAEC">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_Toc12395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7.5. </w:t>
      </w:r>
      <w:r>
        <w:rPr>
          <w:rFonts w:hint="default" w:ascii="Times New Roman" w:hAnsi="Times New Roman" w:eastAsia="宋体" w:cs="Times New Roman"/>
          <w:color w:val="auto"/>
          <w:highlight w:val="none"/>
        </w:rPr>
        <w:t>地下水环境保护对策措施</w:t>
      </w:r>
      <w:r>
        <w:rPr>
          <w:color w:val="auto"/>
        </w:rPr>
        <w:tab/>
      </w:r>
      <w:r>
        <w:rPr>
          <w:color w:val="auto"/>
        </w:rPr>
        <w:fldChar w:fldCharType="begin"/>
      </w:r>
      <w:r>
        <w:rPr>
          <w:color w:val="auto"/>
        </w:rPr>
        <w:instrText xml:space="preserve"> PAGEREF _Toc12395 \h </w:instrText>
      </w:r>
      <w:r>
        <w:rPr>
          <w:color w:val="auto"/>
        </w:rPr>
        <w:fldChar w:fldCharType="separate"/>
      </w:r>
      <w:r>
        <w:rPr>
          <w:color w:val="auto"/>
        </w:rPr>
        <w:t>331</w:t>
      </w:r>
      <w:r>
        <w:rPr>
          <w:color w:val="auto"/>
        </w:rPr>
        <w:fldChar w:fldCharType="end"/>
      </w:r>
      <w:r>
        <w:rPr>
          <w:rFonts w:hint="default" w:ascii="Times New Roman" w:hAnsi="Times New Roman" w:eastAsia="宋体" w:cs="Times New Roman"/>
          <w:color w:val="auto"/>
          <w:highlight w:val="none"/>
        </w:rPr>
        <w:fldChar w:fldCharType="end"/>
      </w:r>
    </w:p>
    <w:p w14:paraId="25E43571">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_Toc30504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7.6. </w:t>
      </w:r>
      <w:r>
        <w:rPr>
          <w:rFonts w:hint="default" w:ascii="Times New Roman" w:hAnsi="Times New Roman" w:eastAsia="宋体" w:cs="Times New Roman"/>
          <w:color w:val="auto"/>
          <w:highlight w:val="none"/>
        </w:rPr>
        <w:t>陆生生态环境保护对策措施</w:t>
      </w:r>
      <w:r>
        <w:rPr>
          <w:color w:val="auto"/>
        </w:rPr>
        <w:tab/>
      </w:r>
      <w:r>
        <w:rPr>
          <w:color w:val="auto"/>
        </w:rPr>
        <w:fldChar w:fldCharType="begin"/>
      </w:r>
      <w:r>
        <w:rPr>
          <w:color w:val="auto"/>
        </w:rPr>
        <w:instrText xml:space="preserve"> PAGEREF _Toc30504 \h </w:instrText>
      </w:r>
      <w:r>
        <w:rPr>
          <w:color w:val="auto"/>
        </w:rPr>
        <w:fldChar w:fldCharType="separate"/>
      </w:r>
      <w:r>
        <w:rPr>
          <w:color w:val="auto"/>
        </w:rPr>
        <w:t>333</w:t>
      </w:r>
      <w:r>
        <w:rPr>
          <w:color w:val="auto"/>
        </w:rPr>
        <w:fldChar w:fldCharType="end"/>
      </w:r>
      <w:r>
        <w:rPr>
          <w:rFonts w:hint="default" w:ascii="Times New Roman" w:hAnsi="Times New Roman" w:eastAsia="宋体" w:cs="Times New Roman"/>
          <w:color w:val="auto"/>
          <w:highlight w:val="none"/>
        </w:rPr>
        <w:fldChar w:fldCharType="end"/>
      </w:r>
    </w:p>
    <w:p w14:paraId="1C918AD3">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_Toc354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7.7. </w:t>
      </w:r>
      <w:r>
        <w:rPr>
          <w:rFonts w:hint="default" w:ascii="Times New Roman" w:hAnsi="Times New Roman" w:eastAsia="宋体" w:cs="Times New Roman"/>
          <w:color w:val="auto"/>
          <w:highlight w:val="none"/>
        </w:rPr>
        <w:t>水生生态环境保护对策措施</w:t>
      </w:r>
      <w:r>
        <w:rPr>
          <w:color w:val="auto"/>
        </w:rPr>
        <w:tab/>
      </w:r>
      <w:r>
        <w:rPr>
          <w:color w:val="auto"/>
        </w:rPr>
        <w:fldChar w:fldCharType="begin"/>
      </w:r>
      <w:r>
        <w:rPr>
          <w:color w:val="auto"/>
        </w:rPr>
        <w:instrText xml:space="preserve"> PAGEREF _Toc354 \h </w:instrText>
      </w:r>
      <w:r>
        <w:rPr>
          <w:color w:val="auto"/>
        </w:rPr>
        <w:fldChar w:fldCharType="separate"/>
      </w:r>
      <w:r>
        <w:rPr>
          <w:color w:val="auto"/>
        </w:rPr>
        <w:t>336</w:t>
      </w:r>
      <w:r>
        <w:rPr>
          <w:color w:val="auto"/>
        </w:rPr>
        <w:fldChar w:fldCharType="end"/>
      </w:r>
      <w:r>
        <w:rPr>
          <w:rFonts w:hint="default" w:ascii="Times New Roman" w:hAnsi="Times New Roman" w:eastAsia="宋体" w:cs="Times New Roman"/>
          <w:color w:val="auto"/>
          <w:highlight w:val="none"/>
        </w:rPr>
        <w:fldChar w:fldCharType="end"/>
      </w:r>
    </w:p>
    <w:p w14:paraId="4EE647FC">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_Toc27987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7.8. </w:t>
      </w:r>
      <w:r>
        <w:rPr>
          <w:rFonts w:hint="default" w:ascii="Times New Roman" w:hAnsi="Times New Roman" w:eastAsia="宋体" w:cs="Times New Roman"/>
          <w:color w:val="auto"/>
          <w:highlight w:val="none"/>
        </w:rPr>
        <w:t>环境敏感区保护对策措施</w:t>
      </w:r>
      <w:r>
        <w:rPr>
          <w:color w:val="auto"/>
        </w:rPr>
        <w:tab/>
      </w:r>
      <w:r>
        <w:rPr>
          <w:color w:val="auto"/>
        </w:rPr>
        <w:fldChar w:fldCharType="begin"/>
      </w:r>
      <w:r>
        <w:rPr>
          <w:color w:val="auto"/>
        </w:rPr>
        <w:instrText xml:space="preserve"> PAGEREF _Toc27987 \h </w:instrText>
      </w:r>
      <w:r>
        <w:rPr>
          <w:color w:val="auto"/>
        </w:rPr>
        <w:fldChar w:fldCharType="separate"/>
      </w:r>
      <w:r>
        <w:rPr>
          <w:color w:val="auto"/>
        </w:rPr>
        <w:t>340</w:t>
      </w:r>
      <w:r>
        <w:rPr>
          <w:color w:val="auto"/>
        </w:rPr>
        <w:fldChar w:fldCharType="end"/>
      </w:r>
      <w:r>
        <w:rPr>
          <w:rFonts w:hint="default" w:ascii="Times New Roman" w:hAnsi="Times New Roman" w:eastAsia="宋体" w:cs="Times New Roman"/>
          <w:color w:val="auto"/>
          <w:highlight w:val="none"/>
        </w:rPr>
        <w:fldChar w:fldCharType="end"/>
      </w:r>
    </w:p>
    <w:p w14:paraId="3F785B2B">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_Toc22486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7.9. </w:t>
      </w:r>
      <w:r>
        <w:rPr>
          <w:rFonts w:hint="default" w:ascii="Times New Roman" w:hAnsi="Times New Roman" w:eastAsia="宋体" w:cs="Times New Roman"/>
          <w:color w:val="auto"/>
          <w:highlight w:val="none"/>
        </w:rPr>
        <w:t>土地资源保护对策措施</w:t>
      </w:r>
      <w:r>
        <w:rPr>
          <w:color w:val="auto"/>
        </w:rPr>
        <w:tab/>
      </w:r>
      <w:r>
        <w:rPr>
          <w:color w:val="auto"/>
        </w:rPr>
        <w:fldChar w:fldCharType="begin"/>
      </w:r>
      <w:r>
        <w:rPr>
          <w:color w:val="auto"/>
        </w:rPr>
        <w:instrText xml:space="preserve"> PAGEREF _Toc22486 \h </w:instrText>
      </w:r>
      <w:r>
        <w:rPr>
          <w:color w:val="auto"/>
        </w:rPr>
        <w:fldChar w:fldCharType="separate"/>
      </w:r>
      <w:r>
        <w:rPr>
          <w:color w:val="auto"/>
        </w:rPr>
        <w:t>342</w:t>
      </w:r>
      <w:r>
        <w:rPr>
          <w:color w:val="auto"/>
        </w:rPr>
        <w:fldChar w:fldCharType="end"/>
      </w:r>
      <w:r>
        <w:rPr>
          <w:rFonts w:hint="default" w:ascii="Times New Roman" w:hAnsi="Times New Roman" w:eastAsia="宋体" w:cs="Times New Roman"/>
          <w:color w:val="auto"/>
          <w:highlight w:val="none"/>
        </w:rPr>
        <w:fldChar w:fldCharType="end"/>
      </w:r>
    </w:p>
    <w:p w14:paraId="77F80141">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_Toc25272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7.10. </w:t>
      </w:r>
      <w:r>
        <w:rPr>
          <w:rFonts w:hint="default" w:ascii="Times New Roman" w:hAnsi="Times New Roman" w:eastAsia="宋体" w:cs="Times New Roman"/>
          <w:color w:val="auto"/>
          <w:highlight w:val="none"/>
        </w:rPr>
        <w:t>社会环境</w:t>
      </w:r>
      <w:r>
        <w:rPr>
          <w:color w:val="auto"/>
        </w:rPr>
        <w:tab/>
      </w:r>
      <w:r>
        <w:rPr>
          <w:color w:val="auto"/>
        </w:rPr>
        <w:fldChar w:fldCharType="begin"/>
      </w:r>
      <w:r>
        <w:rPr>
          <w:color w:val="auto"/>
        </w:rPr>
        <w:instrText xml:space="preserve"> PAGEREF _Toc25272 \h </w:instrText>
      </w:r>
      <w:r>
        <w:rPr>
          <w:color w:val="auto"/>
        </w:rPr>
        <w:fldChar w:fldCharType="separate"/>
      </w:r>
      <w:r>
        <w:rPr>
          <w:color w:val="auto"/>
        </w:rPr>
        <w:t>342</w:t>
      </w:r>
      <w:r>
        <w:rPr>
          <w:color w:val="auto"/>
        </w:rPr>
        <w:fldChar w:fldCharType="end"/>
      </w:r>
      <w:r>
        <w:rPr>
          <w:rFonts w:hint="default" w:ascii="Times New Roman" w:hAnsi="Times New Roman" w:eastAsia="宋体" w:cs="Times New Roman"/>
          <w:color w:val="auto"/>
          <w:highlight w:val="none"/>
        </w:rPr>
        <w:fldChar w:fldCharType="end"/>
      </w:r>
    </w:p>
    <w:p w14:paraId="2664DEFF">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_Toc8830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8. </w:t>
      </w:r>
      <w:r>
        <w:rPr>
          <w:rFonts w:hint="default" w:ascii="Times New Roman" w:hAnsi="Times New Roman" w:eastAsia="宋体" w:cs="Times New Roman"/>
          <w:color w:val="auto"/>
          <w:highlight w:val="none"/>
        </w:rPr>
        <w:t>环境管理、监测与跟踪评价</w:t>
      </w:r>
      <w:r>
        <w:rPr>
          <w:color w:val="auto"/>
        </w:rPr>
        <w:tab/>
      </w:r>
      <w:r>
        <w:rPr>
          <w:color w:val="auto"/>
        </w:rPr>
        <w:fldChar w:fldCharType="begin"/>
      </w:r>
      <w:r>
        <w:rPr>
          <w:color w:val="auto"/>
        </w:rPr>
        <w:instrText xml:space="preserve"> PAGEREF _Toc8830 \h </w:instrText>
      </w:r>
      <w:r>
        <w:rPr>
          <w:color w:val="auto"/>
        </w:rPr>
        <w:fldChar w:fldCharType="separate"/>
      </w:r>
      <w:r>
        <w:rPr>
          <w:color w:val="auto"/>
        </w:rPr>
        <w:t>349</w:t>
      </w:r>
      <w:r>
        <w:rPr>
          <w:color w:val="auto"/>
        </w:rPr>
        <w:fldChar w:fldCharType="end"/>
      </w:r>
      <w:r>
        <w:rPr>
          <w:rFonts w:hint="default" w:ascii="Times New Roman" w:hAnsi="Times New Roman" w:eastAsia="宋体" w:cs="Times New Roman"/>
          <w:color w:val="auto"/>
          <w:highlight w:val="none"/>
        </w:rPr>
        <w:fldChar w:fldCharType="end"/>
      </w:r>
    </w:p>
    <w:p w14:paraId="43374C01">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_Toc17113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8.1. </w:t>
      </w:r>
      <w:r>
        <w:rPr>
          <w:rFonts w:hint="default" w:ascii="Times New Roman" w:hAnsi="Times New Roman" w:eastAsia="宋体" w:cs="Times New Roman"/>
          <w:color w:val="auto"/>
          <w:highlight w:val="none"/>
        </w:rPr>
        <w:t>环境管理</w:t>
      </w:r>
      <w:r>
        <w:rPr>
          <w:color w:val="auto"/>
        </w:rPr>
        <w:tab/>
      </w:r>
      <w:r>
        <w:rPr>
          <w:color w:val="auto"/>
        </w:rPr>
        <w:fldChar w:fldCharType="begin"/>
      </w:r>
      <w:r>
        <w:rPr>
          <w:color w:val="auto"/>
        </w:rPr>
        <w:instrText xml:space="preserve"> PAGEREF _Toc17113 \h </w:instrText>
      </w:r>
      <w:r>
        <w:rPr>
          <w:color w:val="auto"/>
        </w:rPr>
        <w:fldChar w:fldCharType="separate"/>
      </w:r>
      <w:r>
        <w:rPr>
          <w:color w:val="auto"/>
        </w:rPr>
        <w:t>349</w:t>
      </w:r>
      <w:r>
        <w:rPr>
          <w:color w:val="auto"/>
        </w:rPr>
        <w:fldChar w:fldCharType="end"/>
      </w:r>
      <w:r>
        <w:rPr>
          <w:rFonts w:hint="default" w:ascii="Times New Roman" w:hAnsi="Times New Roman" w:eastAsia="宋体" w:cs="Times New Roman"/>
          <w:color w:val="auto"/>
          <w:highlight w:val="none"/>
        </w:rPr>
        <w:fldChar w:fldCharType="end"/>
      </w:r>
    </w:p>
    <w:p w14:paraId="0141DF7C">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_Toc32751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8.2. </w:t>
      </w:r>
      <w:r>
        <w:rPr>
          <w:rFonts w:hint="eastAsia" w:ascii="Times New Roman" w:hAnsi="Times New Roman" w:cs="Times New Roman"/>
          <w:color w:val="auto"/>
          <w:highlight w:val="none"/>
          <w:lang w:val="en-US" w:eastAsia="zh-CN"/>
        </w:rPr>
        <w:t>环</w:t>
      </w:r>
      <w:r>
        <w:rPr>
          <w:rFonts w:hint="default" w:ascii="Times New Roman" w:hAnsi="Times New Roman" w:eastAsia="宋体" w:cs="Times New Roman"/>
          <w:color w:val="auto"/>
          <w:highlight w:val="none"/>
        </w:rPr>
        <w:t>境监测与跟踪评价计划</w:t>
      </w:r>
      <w:r>
        <w:rPr>
          <w:color w:val="auto"/>
        </w:rPr>
        <w:tab/>
      </w:r>
      <w:r>
        <w:rPr>
          <w:color w:val="auto"/>
        </w:rPr>
        <w:fldChar w:fldCharType="begin"/>
      </w:r>
      <w:r>
        <w:rPr>
          <w:color w:val="auto"/>
        </w:rPr>
        <w:instrText xml:space="preserve"> PAGEREF _Toc32751 \h </w:instrText>
      </w:r>
      <w:r>
        <w:rPr>
          <w:color w:val="auto"/>
        </w:rPr>
        <w:fldChar w:fldCharType="separate"/>
      </w:r>
      <w:r>
        <w:rPr>
          <w:color w:val="auto"/>
        </w:rPr>
        <w:t>351</w:t>
      </w:r>
      <w:r>
        <w:rPr>
          <w:color w:val="auto"/>
        </w:rPr>
        <w:fldChar w:fldCharType="end"/>
      </w:r>
      <w:r>
        <w:rPr>
          <w:rFonts w:hint="default" w:ascii="Times New Roman" w:hAnsi="Times New Roman" w:eastAsia="宋体" w:cs="Times New Roman"/>
          <w:color w:val="auto"/>
          <w:highlight w:val="none"/>
        </w:rPr>
        <w:fldChar w:fldCharType="end"/>
      </w:r>
    </w:p>
    <w:p w14:paraId="17CB7638">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_Toc30376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9. </w:t>
      </w:r>
      <w:r>
        <w:rPr>
          <w:rFonts w:hint="default" w:ascii="Times New Roman" w:hAnsi="Times New Roman" w:eastAsia="宋体" w:cs="Times New Roman"/>
          <w:color w:val="auto"/>
          <w:highlight w:val="none"/>
        </w:rPr>
        <w:t>公众参与</w:t>
      </w:r>
      <w:r>
        <w:rPr>
          <w:color w:val="auto"/>
        </w:rPr>
        <w:tab/>
      </w:r>
      <w:r>
        <w:rPr>
          <w:color w:val="auto"/>
        </w:rPr>
        <w:fldChar w:fldCharType="begin"/>
      </w:r>
      <w:r>
        <w:rPr>
          <w:color w:val="auto"/>
        </w:rPr>
        <w:instrText xml:space="preserve"> PAGEREF _Toc30376 \h </w:instrText>
      </w:r>
      <w:r>
        <w:rPr>
          <w:color w:val="auto"/>
        </w:rPr>
        <w:fldChar w:fldCharType="separate"/>
      </w:r>
      <w:r>
        <w:rPr>
          <w:color w:val="auto"/>
        </w:rPr>
        <w:t>360</w:t>
      </w:r>
      <w:r>
        <w:rPr>
          <w:color w:val="auto"/>
        </w:rPr>
        <w:fldChar w:fldCharType="end"/>
      </w:r>
      <w:r>
        <w:rPr>
          <w:rFonts w:hint="default" w:ascii="Times New Roman" w:hAnsi="Times New Roman" w:eastAsia="宋体" w:cs="Times New Roman"/>
          <w:color w:val="auto"/>
          <w:highlight w:val="none"/>
        </w:rPr>
        <w:fldChar w:fldCharType="end"/>
      </w:r>
    </w:p>
    <w:p w14:paraId="6B5F065D">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_Toc12094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9.1. </w:t>
      </w:r>
      <w:r>
        <w:rPr>
          <w:rFonts w:hint="default" w:ascii="Times New Roman" w:hAnsi="Times New Roman" w:eastAsia="宋体" w:cs="Times New Roman"/>
          <w:color w:val="auto"/>
          <w:highlight w:val="none"/>
        </w:rPr>
        <w:t>公众参与的目的</w:t>
      </w:r>
      <w:r>
        <w:rPr>
          <w:color w:val="auto"/>
        </w:rPr>
        <w:tab/>
      </w:r>
      <w:r>
        <w:rPr>
          <w:color w:val="auto"/>
        </w:rPr>
        <w:fldChar w:fldCharType="begin"/>
      </w:r>
      <w:r>
        <w:rPr>
          <w:color w:val="auto"/>
        </w:rPr>
        <w:instrText xml:space="preserve"> PAGEREF _Toc12094 \h </w:instrText>
      </w:r>
      <w:r>
        <w:rPr>
          <w:color w:val="auto"/>
        </w:rPr>
        <w:fldChar w:fldCharType="separate"/>
      </w:r>
      <w:r>
        <w:rPr>
          <w:color w:val="auto"/>
        </w:rPr>
        <w:t>360</w:t>
      </w:r>
      <w:r>
        <w:rPr>
          <w:color w:val="auto"/>
        </w:rPr>
        <w:fldChar w:fldCharType="end"/>
      </w:r>
      <w:r>
        <w:rPr>
          <w:rFonts w:hint="default" w:ascii="Times New Roman" w:hAnsi="Times New Roman" w:eastAsia="宋体" w:cs="Times New Roman"/>
          <w:color w:val="auto"/>
          <w:highlight w:val="none"/>
        </w:rPr>
        <w:fldChar w:fldCharType="end"/>
      </w:r>
    </w:p>
    <w:p w14:paraId="1AB51D73">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_Toc31526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9.2. </w:t>
      </w:r>
      <w:r>
        <w:rPr>
          <w:rFonts w:hint="default" w:ascii="Times New Roman" w:hAnsi="Times New Roman" w:eastAsia="宋体" w:cs="Times New Roman"/>
          <w:color w:val="auto"/>
          <w:highlight w:val="none"/>
        </w:rPr>
        <w:t>公众参与的作用</w:t>
      </w:r>
      <w:r>
        <w:rPr>
          <w:color w:val="auto"/>
        </w:rPr>
        <w:tab/>
      </w:r>
      <w:r>
        <w:rPr>
          <w:color w:val="auto"/>
        </w:rPr>
        <w:fldChar w:fldCharType="begin"/>
      </w:r>
      <w:r>
        <w:rPr>
          <w:color w:val="auto"/>
        </w:rPr>
        <w:instrText xml:space="preserve"> PAGEREF _Toc31526 \h </w:instrText>
      </w:r>
      <w:r>
        <w:rPr>
          <w:color w:val="auto"/>
        </w:rPr>
        <w:fldChar w:fldCharType="separate"/>
      </w:r>
      <w:r>
        <w:rPr>
          <w:color w:val="auto"/>
        </w:rPr>
        <w:t>360</w:t>
      </w:r>
      <w:r>
        <w:rPr>
          <w:color w:val="auto"/>
        </w:rPr>
        <w:fldChar w:fldCharType="end"/>
      </w:r>
      <w:r>
        <w:rPr>
          <w:rFonts w:hint="default" w:ascii="Times New Roman" w:hAnsi="Times New Roman" w:eastAsia="宋体" w:cs="Times New Roman"/>
          <w:color w:val="auto"/>
          <w:highlight w:val="none"/>
        </w:rPr>
        <w:fldChar w:fldCharType="end"/>
      </w:r>
    </w:p>
    <w:p w14:paraId="11A4E6DF">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_Toc4771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9.3. </w:t>
      </w:r>
      <w:r>
        <w:rPr>
          <w:rFonts w:hint="default" w:ascii="Times New Roman" w:hAnsi="Times New Roman" w:eastAsia="宋体" w:cs="Times New Roman"/>
          <w:color w:val="auto"/>
          <w:highlight w:val="none"/>
        </w:rPr>
        <w:t>公众参与过程</w:t>
      </w:r>
      <w:r>
        <w:rPr>
          <w:color w:val="auto"/>
        </w:rPr>
        <w:tab/>
      </w:r>
      <w:r>
        <w:rPr>
          <w:color w:val="auto"/>
        </w:rPr>
        <w:fldChar w:fldCharType="begin"/>
      </w:r>
      <w:r>
        <w:rPr>
          <w:color w:val="auto"/>
        </w:rPr>
        <w:instrText xml:space="preserve"> PAGEREF _Toc4771 \h </w:instrText>
      </w:r>
      <w:r>
        <w:rPr>
          <w:color w:val="auto"/>
        </w:rPr>
        <w:fldChar w:fldCharType="separate"/>
      </w:r>
      <w:r>
        <w:rPr>
          <w:color w:val="auto"/>
        </w:rPr>
        <w:t>361</w:t>
      </w:r>
      <w:r>
        <w:rPr>
          <w:color w:val="auto"/>
        </w:rPr>
        <w:fldChar w:fldCharType="end"/>
      </w:r>
      <w:r>
        <w:rPr>
          <w:rFonts w:hint="default" w:ascii="Times New Roman" w:hAnsi="Times New Roman" w:eastAsia="宋体" w:cs="Times New Roman"/>
          <w:color w:val="auto"/>
          <w:highlight w:val="none"/>
        </w:rPr>
        <w:fldChar w:fldCharType="end"/>
      </w:r>
    </w:p>
    <w:p w14:paraId="520C4A79">
      <w:pPr>
        <w:pStyle w:val="17"/>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_Toc1535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10. </w:t>
      </w:r>
      <w:r>
        <w:rPr>
          <w:rFonts w:hint="default" w:ascii="Times New Roman" w:hAnsi="Times New Roman" w:eastAsia="宋体" w:cs="Times New Roman"/>
          <w:color w:val="auto"/>
          <w:highlight w:val="none"/>
        </w:rPr>
        <w:t>评价结论与建议</w:t>
      </w:r>
      <w:r>
        <w:rPr>
          <w:color w:val="auto"/>
        </w:rPr>
        <w:tab/>
      </w:r>
      <w:r>
        <w:rPr>
          <w:color w:val="auto"/>
        </w:rPr>
        <w:fldChar w:fldCharType="begin"/>
      </w:r>
      <w:r>
        <w:rPr>
          <w:color w:val="auto"/>
        </w:rPr>
        <w:instrText xml:space="preserve"> PAGEREF _Toc1535 \h </w:instrText>
      </w:r>
      <w:r>
        <w:rPr>
          <w:color w:val="auto"/>
        </w:rPr>
        <w:fldChar w:fldCharType="separate"/>
      </w:r>
      <w:r>
        <w:rPr>
          <w:color w:val="auto"/>
        </w:rPr>
        <w:t>364</w:t>
      </w:r>
      <w:r>
        <w:rPr>
          <w:color w:val="auto"/>
        </w:rPr>
        <w:fldChar w:fldCharType="end"/>
      </w:r>
      <w:r>
        <w:rPr>
          <w:rFonts w:hint="default" w:ascii="Times New Roman" w:hAnsi="Times New Roman" w:eastAsia="宋体" w:cs="Times New Roman"/>
          <w:color w:val="auto"/>
          <w:highlight w:val="none"/>
        </w:rPr>
        <w:fldChar w:fldCharType="end"/>
      </w:r>
    </w:p>
    <w:p w14:paraId="1683BDBB">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_Toc15392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10.1. </w:t>
      </w:r>
      <w:r>
        <w:rPr>
          <w:rFonts w:hint="default" w:ascii="Times New Roman" w:hAnsi="Times New Roman" w:eastAsia="宋体" w:cs="Times New Roman"/>
          <w:color w:val="auto"/>
          <w:highlight w:val="none"/>
        </w:rPr>
        <w:t>综合评价结论</w:t>
      </w:r>
      <w:r>
        <w:rPr>
          <w:color w:val="auto"/>
        </w:rPr>
        <w:tab/>
      </w:r>
      <w:r>
        <w:rPr>
          <w:color w:val="auto"/>
        </w:rPr>
        <w:fldChar w:fldCharType="begin"/>
      </w:r>
      <w:r>
        <w:rPr>
          <w:color w:val="auto"/>
        </w:rPr>
        <w:instrText xml:space="preserve"> PAGEREF _Toc15392 \h </w:instrText>
      </w:r>
      <w:r>
        <w:rPr>
          <w:color w:val="auto"/>
        </w:rPr>
        <w:fldChar w:fldCharType="separate"/>
      </w:r>
      <w:r>
        <w:rPr>
          <w:color w:val="auto"/>
        </w:rPr>
        <w:t>364</w:t>
      </w:r>
      <w:r>
        <w:rPr>
          <w:color w:val="auto"/>
        </w:rPr>
        <w:fldChar w:fldCharType="end"/>
      </w:r>
      <w:r>
        <w:rPr>
          <w:rFonts w:hint="default" w:ascii="Times New Roman" w:hAnsi="Times New Roman" w:eastAsia="宋体" w:cs="Times New Roman"/>
          <w:color w:val="auto"/>
          <w:highlight w:val="none"/>
        </w:rPr>
        <w:fldChar w:fldCharType="end"/>
      </w:r>
    </w:p>
    <w:p w14:paraId="7ECED38F">
      <w:pPr>
        <w:pStyle w:val="19"/>
        <w:keepNext w:val="0"/>
        <w:keepLines w:val="0"/>
        <w:pageBreakBefore w:val="0"/>
        <w:widowControl w:val="0"/>
        <w:tabs>
          <w:tab w:val="right" w:leader="dot" w:pos="8306"/>
        </w:tabs>
        <w:kinsoku/>
        <w:wordWrap/>
        <w:overflowPunct/>
        <w:topLinePunct w:val="0"/>
        <w:autoSpaceDE/>
        <w:autoSpaceDN/>
        <w:bidi w:val="0"/>
        <w:adjustRightInd w:val="0"/>
        <w:snapToGrid w:val="0"/>
        <w:spacing w:line="300" w:lineRule="auto"/>
        <w:textAlignment w:val="auto"/>
        <w:rPr>
          <w:color w:val="auto"/>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_Toc28688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rPr>
        <w:t xml:space="preserve">10.2. </w:t>
      </w:r>
      <w:r>
        <w:rPr>
          <w:rFonts w:hint="default" w:ascii="Times New Roman" w:hAnsi="Times New Roman" w:eastAsia="宋体" w:cs="Times New Roman"/>
          <w:color w:val="auto"/>
          <w:highlight w:val="none"/>
        </w:rPr>
        <w:t>建议</w:t>
      </w:r>
      <w:r>
        <w:rPr>
          <w:rFonts w:hint="default" w:ascii="Times New Roman" w:hAnsi="Times New Roman" w:eastAsia="宋体" w:cs="Times New Roman"/>
          <w:color w:val="auto"/>
          <w:highlight w:val="none"/>
          <w:lang w:val="en-US" w:eastAsia="zh-CN"/>
        </w:rPr>
        <w:t>与要求</w:t>
      </w:r>
      <w:r>
        <w:rPr>
          <w:color w:val="auto"/>
        </w:rPr>
        <w:tab/>
      </w:r>
      <w:r>
        <w:rPr>
          <w:color w:val="auto"/>
        </w:rPr>
        <w:fldChar w:fldCharType="begin"/>
      </w:r>
      <w:r>
        <w:rPr>
          <w:color w:val="auto"/>
        </w:rPr>
        <w:instrText xml:space="preserve"> PAGEREF _Toc28688 \h </w:instrText>
      </w:r>
      <w:r>
        <w:rPr>
          <w:color w:val="auto"/>
        </w:rPr>
        <w:fldChar w:fldCharType="separate"/>
      </w:r>
      <w:r>
        <w:rPr>
          <w:color w:val="auto"/>
        </w:rPr>
        <w:t>365</w:t>
      </w:r>
      <w:r>
        <w:rPr>
          <w:color w:val="auto"/>
        </w:rPr>
        <w:fldChar w:fldCharType="end"/>
      </w:r>
      <w:r>
        <w:rPr>
          <w:rFonts w:hint="default" w:ascii="Times New Roman" w:hAnsi="Times New Roman" w:eastAsia="宋体" w:cs="Times New Roman"/>
          <w:color w:val="auto"/>
          <w:highlight w:val="none"/>
        </w:rPr>
        <w:fldChar w:fldCharType="end"/>
      </w:r>
    </w:p>
    <w:p w14:paraId="7E204BF4">
      <w:pPr>
        <w:keepNext w:val="0"/>
        <w:keepLines w:val="0"/>
        <w:pageBreakBefore w:val="0"/>
        <w:widowControl w:val="0"/>
        <w:kinsoku/>
        <w:wordWrap/>
        <w:overflowPunct/>
        <w:topLinePunct w:val="0"/>
        <w:autoSpaceDE/>
        <w:autoSpaceDN/>
        <w:bidi w:val="0"/>
        <w:adjustRightInd w:val="0"/>
        <w:snapToGrid w:val="0"/>
        <w:spacing w:line="30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end"/>
      </w:r>
    </w:p>
    <w:p w14:paraId="15530219">
      <w:pPr>
        <w:pStyle w:val="2"/>
        <w:numPr>
          <w:ilvl w:val="0"/>
          <w:numId w:val="3"/>
        </w:numPr>
        <w:spacing w:after="249"/>
        <w:rPr>
          <w:rFonts w:hint="default" w:ascii="Times New Roman" w:hAnsi="Times New Roman" w:eastAsia="宋体" w:cs="Times New Roman"/>
          <w:color w:val="auto"/>
          <w:highlight w:val="none"/>
        </w:rPr>
      </w:pPr>
      <w:bookmarkStart w:id="0" w:name="_Toc297401795"/>
      <w:bookmarkStart w:id="1" w:name="_Toc171574241"/>
      <w:bookmarkStart w:id="2" w:name="_Toc157503709"/>
      <w:bookmarkStart w:id="3" w:name="_Toc201331628"/>
      <w:bookmarkStart w:id="4" w:name="_Toc11558"/>
      <w:bookmarkStart w:id="5" w:name="_Toc428770333"/>
      <w:r>
        <w:rPr>
          <w:rFonts w:hint="default" w:ascii="Times New Roman" w:hAnsi="Times New Roman" w:eastAsia="宋体" w:cs="Times New Roman"/>
          <w:color w:val="auto"/>
          <w:highlight w:val="none"/>
        </w:rPr>
        <w:t>总则</w:t>
      </w:r>
      <w:bookmarkEnd w:id="0"/>
      <w:bookmarkEnd w:id="1"/>
      <w:bookmarkEnd w:id="2"/>
      <w:bookmarkEnd w:id="3"/>
      <w:bookmarkEnd w:id="4"/>
      <w:bookmarkEnd w:id="5"/>
    </w:p>
    <w:p w14:paraId="5CC77BF4">
      <w:pPr>
        <w:pStyle w:val="3"/>
        <w:numPr>
          <w:ilvl w:val="1"/>
          <w:numId w:val="4"/>
        </w:numPr>
        <w:spacing w:before="374" w:after="249"/>
        <w:rPr>
          <w:rFonts w:hint="default" w:ascii="Times New Roman" w:hAnsi="Times New Roman" w:eastAsia="宋体" w:cs="Times New Roman"/>
          <w:color w:val="auto"/>
          <w:highlight w:val="none"/>
        </w:rPr>
      </w:pPr>
      <w:bookmarkStart w:id="6" w:name="_Toc428770334"/>
      <w:bookmarkStart w:id="7" w:name="_Toc6947"/>
      <w:bookmarkStart w:id="8" w:name="_Toc201331629"/>
      <w:bookmarkStart w:id="9" w:name="_Toc297401796"/>
      <w:r>
        <w:rPr>
          <w:rFonts w:hint="default" w:ascii="Times New Roman" w:hAnsi="Times New Roman" w:eastAsia="宋体" w:cs="Times New Roman"/>
          <w:color w:val="auto"/>
          <w:highlight w:val="none"/>
        </w:rPr>
        <w:t>任务由来</w:t>
      </w:r>
      <w:bookmarkEnd w:id="6"/>
      <w:bookmarkEnd w:id="7"/>
      <w:bookmarkEnd w:id="8"/>
      <w:bookmarkEnd w:id="9"/>
    </w:p>
    <w:p w14:paraId="00A92C6D">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为从整体上研究</w:t>
      </w:r>
      <w:r>
        <w:rPr>
          <w:rFonts w:hint="default" w:ascii="Times New Roman" w:hAnsi="Times New Roman" w:eastAsia="宋体" w:cs="Times New Roman"/>
          <w:color w:val="auto"/>
          <w:highlight w:val="none"/>
          <w:lang w:val="en-US" w:eastAsia="zh-CN"/>
        </w:rPr>
        <w:t>南盘江（曲靖市境内）</w:t>
      </w:r>
      <w:r>
        <w:rPr>
          <w:rFonts w:hint="default" w:ascii="Times New Roman" w:hAnsi="Times New Roman" w:eastAsia="宋体" w:cs="Times New Roman"/>
          <w:color w:val="auto"/>
          <w:highlight w:val="none"/>
        </w:rPr>
        <w:t>流域综合规划方案带来的环境影响，协调好规划方案开发与环境保护的关系，确保在生态保护的前提下进行流域开发，</w:t>
      </w:r>
      <w:r>
        <w:rPr>
          <w:rFonts w:hint="default" w:ascii="Times New Roman" w:hAnsi="Times New Roman" w:cs="Times New Roman"/>
          <w:color w:val="auto"/>
          <w:highlight w:val="none"/>
          <w:lang w:eastAsia="zh-CN"/>
        </w:rPr>
        <w:t>以达到</w:t>
      </w:r>
      <w:r>
        <w:rPr>
          <w:rFonts w:hint="default" w:ascii="Times New Roman" w:hAnsi="Times New Roman" w:eastAsia="宋体" w:cs="Times New Roman"/>
          <w:color w:val="auto"/>
          <w:highlight w:val="none"/>
        </w:rPr>
        <w:t>流域、区域可持续发展的目标。</w:t>
      </w:r>
    </w:p>
    <w:p w14:paraId="42F7A6CD">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根据《中华人民共和国生态环境法典</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规划环境影响评价条例》等相关法律法规要求，202</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年</w:t>
      </w:r>
      <w:r>
        <w:rPr>
          <w:rFonts w:hint="default" w:ascii="Times New Roman" w:hAnsi="Times New Roman" w:cs="Times New Roman"/>
          <w:color w:val="auto"/>
          <w:highlight w:val="none"/>
          <w:lang w:val="en-US" w:eastAsia="zh-CN"/>
        </w:rPr>
        <w:t>8</w:t>
      </w:r>
      <w:r>
        <w:rPr>
          <w:rFonts w:hint="default" w:ascii="Times New Roman" w:hAnsi="Times New Roman" w:eastAsia="宋体" w:cs="Times New Roman"/>
          <w:color w:val="auto"/>
          <w:highlight w:val="none"/>
        </w:rPr>
        <w:t>月，</w:t>
      </w:r>
      <w:r>
        <w:rPr>
          <w:rFonts w:hint="default" w:ascii="Times New Roman" w:hAnsi="Times New Roman" w:eastAsia="宋体" w:cs="Times New Roman"/>
          <w:color w:val="auto"/>
          <w:highlight w:val="none"/>
          <w:lang w:val="en-US" w:eastAsia="zh-CN"/>
        </w:rPr>
        <w:t>曲靖市重点水利项目建设管理中心</w:t>
      </w:r>
      <w:r>
        <w:rPr>
          <w:rFonts w:hint="default" w:ascii="Times New Roman" w:hAnsi="Times New Roman" w:eastAsia="宋体" w:cs="Times New Roman"/>
          <w:color w:val="auto"/>
          <w:highlight w:val="none"/>
        </w:rPr>
        <w:t>委托我公司开展</w:t>
      </w:r>
      <w:r>
        <w:rPr>
          <w:rFonts w:hint="default" w:ascii="Times New Roman" w:hAnsi="Times New Roman" w:eastAsia="宋体" w:cs="Times New Roman"/>
          <w:color w:val="auto"/>
          <w:highlight w:val="none"/>
          <w:lang w:val="en-US" w:eastAsia="zh-CN"/>
        </w:rPr>
        <w:t>南盘江（曲靖市境内）</w:t>
      </w:r>
      <w:r>
        <w:rPr>
          <w:rFonts w:hint="default" w:ascii="Times New Roman" w:hAnsi="Times New Roman" w:eastAsia="宋体" w:cs="Times New Roman"/>
          <w:color w:val="auto"/>
          <w:highlight w:val="none"/>
        </w:rPr>
        <w:t>流域综合规划环境影响评价工作，编制《</w:t>
      </w:r>
      <w:r>
        <w:rPr>
          <w:rFonts w:hint="default" w:ascii="Times New Roman" w:hAnsi="Times New Roman" w:eastAsia="宋体" w:cs="Times New Roman"/>
          <w:color w:val="auto"/>
          <w:highlight w:val="none"/>
          <w:lang w:val="en-US" w:eastAsia="zh-CN"/>
        </w:rPr>
        <w:t>南盘江（曲靖市境内）</w:t>
      </w:r>
      <w:r>
        <w:rPr>
          <w:rFonts w:hint="default" w:ascii="Times New Roman" w:hAnsi="Times New Roman" w:eastAsia="宋体" w:cs="Times New Roman"/>
          <w:color w:val="auto"/>
          <w:highlight w:val="none"/>
        </w:rPr>
        <w:t>流域综合规划</w:t>
      </w:r>
      <w:r>
        <w:rPr>
          <w:rFonts w:hint="eastAsia" w:cs="Times New Roman"/>
          <w:color w:val="auto"/>
          <w:highlight w:val="none"/>
          <w:lang w:val="en-US" w:eastAsia="zh-CN"/>
        </w:rPr>
        <w:t>生态</w:t>
      </w:r>
      <w:r>
        <w:rPr>
          <w:rFonts w:hint="default" w:ascii="Times New Roman" w:hAnsi="Times New Roman" w:eastAsia="宋体" w:cs="Times New Roman"/>
          <w:color w:val="auto"/>
          <w:highlight w:val="none"/>
        </w:rPr>
        <w:t>环境影响</w:t>
      </w:r>
      <w:r>
        <w:rPr>
          <w:rFonts w:hint="eastAsia" w:cs="Times New Roman"/>
          <w:color w:val="auto"/>
          <w:highlight w:val="none"/>
          <w:lang w:val="en-US" w:eastAsia="zh-CN"/>
        </w:rPr>
        <w:t>评价</w:t>
      </w:r>
      <w:r>
        <w:rPr>
          <w:rFonts w:hint="default" w:ascii="Times New Roman" w:hAnsi="Times New Roman" w:eastAsia="宋体" w:cs="Times New Roman"/>
          <w:color w:val="auto"/>
          <w:highlight w:val="none"/>
        </w:rPr>
        <w:t>报告书》。</w:t>
      </w:r>
    </w:p>
    <w:p w14:paraId="50FF76AE">
      <w:pPr>
        <w:pStyle w:val="3"/>
        <w:numPr>
          <w:ilvl w:val="1"/>
          <w:numId w:val="4"/>
        </w:numPr>
        <w:spacing w:before="374" w:after="249"/>
        <w:rPr>
          <w:rFonts w:hint="default" w:ascii="Times New Roman" w:hAnsi="Times New Roman" w:eastAsia="宋体" w:cs="Times New Roman"/>
          <w:color w:val="auto"/>
          <w:highlight w:val="none"/>
        </w:rPr>
      </w:pPr>
      <w:bookmarkStart w:id="10" w:name="_Toc19713"/>
      <w:bookmarkStart w:id="11" w:name="_Toc428770340"/>
      <w:bookmarkStart w:id="12" w:name="_Toc297401802"/>
      <w:bookmarkStart w:id="13" w:name="_Toc201331630"/>
      <w:r>
        <w:rPr>
          <w:rFonts w:hint="default" w:ascii="Times New Roman" w:hAnsi="Times New Roman" w:eastAsia="宋体" w:cs="Times New Roman"/>
          <w:color w:val="auto"/>
          <w:highlight w:val="none"/>
        </w:rPr>
        <w:t>评价目的与原则</w:t>
      </w:r>
      <w:bookmarkEnd w:id="10"/>
      <w:bookmarkEnd w:id="11"/>
      <w:bookmarkEnd w:id="12"/>
      <w:bookmarkEnd w:id="13"/>
    </w:p>
    <w:p w14:paraId="3BCA3496">
      <w:pPr>
        <w:pStyle w:val="5"/>
        <w:numPr>
          <w:ilvl w:val="2"/>
          <w:numId w:val="4"/>
        </w:numPr>
        <w:spacing w:before="374" w:after="249"/>
        <w:rPr>
          <w:rFonts w:hint="default" w:ascii="Times New Roman" w:hAnsi="Times New Roman" w:eastAsia="宋体" w:cs="Times New Roman"/>
          <w:color w:val="auto"/>
          <w:highlight w:val="none"/>
        </w:rPr>
      </w:pPr>
      <w:bookmarkStart w:id="14" w:name="_Toc428770341"/>
      <w:bookmarkStart w:id="15" w:name="_Toc297401803"/>
      <w:r>
        <w:rPr>
          <w:rFonts w:hint="default" w:ascii="Times New Roman" w:hAnsi="Times New Roman" w:eastAsia="宋体" w:cs="Times New Roman"/>
          <w:color w:val="auto"/>
          <w:highlight w:val="none"/>
        </w:rPr>
        <w:t>评价目的</w:t>
      </w:r>
      <w:bookmarkEnd w:id="14"/>
      <w:bookmarkEnd w:id="15"/>
    </w:p>
    <w:p w14:paraId="4CCD928D">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流域综合规划环境影响评价的目的是通过环境影响评价，识别制约规划方案实施的主要环境因素，分析预测规划对流域水资源、生态、社会经济的整体性累积性影响，评价规划方案的环境合理性，提出规划方案优化调整的建议，使环境因素与社会、经济因素在规划编制的早期阶段得到重视，使规划更加符合环境</w:t>
      </w:r>
      <w:r>
        <w:rPr>
          <w:rFonts w:hint="default" w:ascii="Times New Roman" w:hAnsi="Times New Roman" w:cs="Times New Roman"/>
          <w:color w:val="auto"/>
          <w:highlight w:val="none"/>
          <w:lang w:val="en-US" w:eastAsia="zh-CN"/>
        </w:rPr>
        <w:t>保护</w:t>
      </w:r>
      <w:r>
        <w:rPr>
          <w:rFonts w:hint="default" w:ascii="Times New Roman" w:hAnsi="Times New Roman" w:eastAsia="宋体" w:cs="Times New Roman"/>
          <w:color w:val="auto"/>
          <w:highlight w:val="none"/>
        </w:rPr>
        <w:t>与可持续发展的要求；通过评价，预防规划方案实施可能对生态环境造成的不良影响，将环境保护纳入宏观的战略决策，促进流域水资源、水能及土地的合理利用。同时通过规划环境影响评价</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使规划内容与环境保护协调一致，为规划编制和环境管理，规划工程建设与环境保护提供决策依据。</w:t>
      </w:r>
      <w:r>
        <w:rPr>
          <w:rFonts w:hint="default" w:ascii="Times New Roman" w:hAnsi="Times New Roman" w:eastAsia="宋体" w:cs="Times New Roman"/>
          <w:color w:val="auto"/>
          <w:highlight w:val="none"/>
          <w:lang w:val="en-US" w:eastAsia="zh-CN"/>
        </w:rPr>
        <w:t>具体包括以下几个方面。</w:t>
      </w:r>
    </w:p>
    <w:p w14:paraId="53B295EE">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（1）通过系统的资料收集、现场调查工作，全面掌握</w:t>
      </w:r>
      <w:r>
        <w:rPr>
          <w:rFonts w:hint="default" w:ascii="Times New Roman" w:hAnsi="Times New Roman" w:eastAsia="宋体" w:cs="Times New Roman"/>
          <w:color w:val="auto"/>
          <w:highlight w:val="none"/>
          <w:lang w:val="en-US" w:eastAsia="zh-CN"/>
        </w:rPr>
        <w:t>流域</w:t>
      </w:r>
      <w:r>
        <w:rPr>
          <w:rFonts w:hint="default" w:ascii="Times New Roman" w:hAnsi="Times New Roman" w:eastAsia="宋体" w:cs="Times New Roman"/>
          <w:color w:val="auto"/>
          <w:highlight w:val="none"/>
        </w:rPr>
        <w:t>环境本底情况，提出规划开发的环境保护目标和</w:t>
      </w:r>
      <w:r>
        <w:rPr>
          <w:rFonts w:hint="default" w:ascii="Times New Roman" w:hAnsi="Times New Roman" w:eastAsia="宋体" w:cs="Times New Roman"/>
          <w:color w:val="auto"/>
          <w:highlight w:val="none"/>
          <w:lang w:val="en-US" w:eastAsia="zh-CN"/>
        </w:rPr>
        <w:t>环境保护</w:t>
      </w:r>
      <w:r>
        <w:rPr>
          <w:rFonts w:hint="default" w:ascii="Times New Roman" w:hAnsi="Times New Roman" w:eastAsia="宋体" w:cs="Times New Roman"/>
          <w:color w:val="auto"/>
          <w:highlight w:val="none"/>
        </w:rPr>
        <w:t>总体要求。</w:t>
      </w:r>
    </w:p>
    <w:p w14:paraId="7E6506A9">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（2）对</w:t>
      </w:r>
      <w:r>
        <w:rPr>
          <w:rFonts w:hint="default" w:ascii="Times New Roman" w:hAnsi="Times New Roman" w:eastAsia="宋体" w:cs="Times New Roman"/>
          <w:color w:val="auto"/>
          <w:highlight w:val="none"/>
          <w:lang w:val="en-US" w:eastAsia="zh-CN"/>
        </w:rPr>
        <w:t>流域</w:t>
      </w:r>
      <w:r>
        <w:rPr>
          <w:rFonts w:hint="default" w:ascii="Times New Roman" w:hAnsi="Times New Roman" w:eastAsia="宋体" w:cs="Times New Roman"/>
          <w:color w:val="auto"/>
          <w:highlight w:val="none"/>
        </w:rPr>
        <w:t>进行回顾性分析，通过对典型性工程开发所产生的实际影响和存在问题的系统梳理和识别，为整个流域综合利用开发环境影响及对策研究提供技术支撑。</w:t>
      </w:r>
    </w:p>
    <w:p w14:paraId="1754B4F0">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（3）对</w:t>
      </w:r>
      <w:r>
        <w:rPr>
          <w:rFonts w:hint="default" w:ascii="Times New Roman" w:hAnsi="Times New Roman" w:eastAsia="宋体" w:cs="Times New Roman"/>
          <w:color w:val="auto"/>
          <w:highlight w:val="none"/>
          <w:lang w:val="en-US" w:eastAsia="zh-CN"/>
        </w:rPr>
        <w:t>本</w:t>
      </w:r>
      <w:r>
        <w:rPr>
          <w:rFonts w:hint="default" w:ascii="Times New Roman" w:hAnsi="Times New Roman" w:eastAsia="宋体" w:cs="Times New Roman"/>
          <w:color w:val="auto"/>
          <w:highlight w:val="none"/>
        </w:rPr>
        <w:t>流域综合规划开发产生的主要环境影响进行预测评价，以把握流域环境总体变化趋势，为</w:t>
      </w:r>
      <w:r>
        <w:rPr>
          <w:rFonts w:hint="default" w:ascii="Times New Roman" w:hAnsi="Times New Roman" w:cs="Times New Roman"/>
          <w:color w:val="auto"/>
          <w:highlight w:val="none"/>
          <w:lang w:eastAsia="zh-CN"/>
        </w:rPr>
        <w:t>各项</w:t>
      </w:r>
      <w:r>
        <w:rPr>
          <w:rFonts w:hint="default" w:ascii="Times New Roman" w:hAnsi="Times New Roman" w:eastAsia="宋体" w:cs="Times New Roman"/>
          <w:color w:val="auto"/>
          <w:highlight w:val="none"/>
        </w:rPr>
        <w:t>规划工程开发过程中的生态环境保护提供技术支撑。</w:t>
      </w:r>
    </w:p>
    <w:p w14:paraId="40212B97">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（4）通过规划符合性分析及环境影响研究，从环境保护角度出发对规划方案布局、规模和开发时序提出调整建议。</w:t>
      </w:r>
    </w:p>
    <w:p w14:paraId="2B99EB38">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（5）从流域宏观层面提出统筹的环境保护对策措施体系。</w:t>
      </w:r>
    </w:p>
    <w:p w14:paraId="7F9AE7AC">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（6）针对现有环境管理体系，从流域统筹角度提出环境管理要求。</w:t>
      </w:r>
    </w:p>
    <w:p w14:paraId="51BA9D88">
      <w:pPr>
        <w:pStyle w:val="5"/>
        <w:numPr>
          <w:ilvl w:val="2"/>
          <w:numId w:val="4"/>
        </w:numPr>
        <w:spacing w:before="374" w:after="249"/>
        <w:rPr>
          <w:rFonts w:hint="default" w:ascii="Times New Roman" w:hAnsi="Times New Roman" w:eastAsia="宋体" w:cs="Times New Roman"/>
          <w:color w:val="auto"/>
          <w:highlight w:val="none"/>
        </w:rPr>
      </w:pPr>
      <w:bookmarkStart w:id="16" w:name="_Toc428770342"/>
      <w:bookmarkStart w:id="17" w:name="_Toc297401804"/>
      <w:r>
        <w:rPr>
          <w:rFonts w:hint="default" w:ascii="Times New Roman" w:hAnsi="Times New Roman" w:eastAsia="宋体" w:cs="Times New Roman"/>
          <w:color w:val="auto"/>
          <w:highlight w:val="none"/>
        </w:rPr>
        <w:t>评价原则</w:t>
      </w:r>
      <w:bookmarkEnd w:id="16"/>
      <w:bookmarkEnd w:id="17"/>
    </w:p>
    <w:p w14:paraId="052DADEE">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（1）全程参与、充分互动</w:t>
      </w:r>
    </w:p>
    <w:p w14:paraId="5B14EC2A">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在编制和决策过程中充分考虑规划可能涉及的环境问题，满足环境目标保护要求，在规划编制过程中环评早期介入，并贯穿于规划编制的始终。根据环境影响预测与评价，优化规划工程选址选线，预防可能造成的不利环境影响，以达到预防的目的。针对已经开展前期工作的项目，依据规划对工程任务、规模、保护措施管理要求进行复核，并按现行环保要求提出规划项目实施过程中的意见和建议。</w:t>
      </w:r>
    </w:p>
    <w:p w14:paraId="6D74CB07">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（2）严守红线、</w:t>
      </w:r>
      <w:r>
        <w:rPr>
          <w:rFonts w:hint="default" w:ascii="Times New Roman" w:hAnsi="Times New Roman" w:eastAsia="宋体" w:cs="Times New Roman"/>
          <w:color w:val="auto"/>
          <w:highlight w:val="none"/>
          <w:lang w:val="en-US" w:eastAsia="zh-CN"/>
        </w:rPr>
        <w:t>从严</w:t>
      </w:r>
      <w:r>
        <w:rPr>
          <w:rFonts w:hint="default" w:ascii="Times New Roman" w:hAnsi="Times New Roman" w:eastAsia="宋体" w:cs="Times New Roman"/>
          <w:color w:val="auto"/>
          <w:highlight w:val="none"/>
        </w:rPr>
        <w:t>管控</w:t>
      </w:r>
    </w:p>
    <w:p w14:paraId="59FED71A">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充分衔接云南省、</w:t>
      </w:r>
      <w:r>
        <w:rPr>
          <w:rFonts w:hint="default" w:ascii="Times New Roman" w:hAnsi="Times New Roman" w:eastAsia="宋体" w:cs="Times New Roman"/>
          <w:color w:val="auto"/>
          <w:highlight w:val="none"/>
          <w:lang w:val="en-US" w:eastAsia="zh-CN"/>
        </w:rPr>
        <w:t>曲靖市</w:t>
      </w:r>
      <w:r>
        <w:rPr>
          <w:rFonts w:hint="default" w:ascii="Times New Roman" w:hAnsi="Times New Roman" w:eastAsia="宋体" w:cs="Times New Roman"/>
          <w:color w:val="auto"/>
          <w:highlight w:val="none"/>
        </w:rPr>
        <w:t>“三线一单”成果，严守生态保护红线、环境质量底线和资源利用上线要求，结合评价结果进一步提出流域环境保护要求及细化重点区域生态环境管控要求的建议，指导流域专业规划或专项规划、下位规划或建设项目环境准入，实现流域规划、建设项目环境影响评价的系统衔接和协同管理。</w:t>
      </w:r>
    </w:p>
    <w:p w14:paraId="6AADBFA5">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（3）统筹</w:t>
      </w:r>
      <w:r>
        <w:rPr>
          <w:rFonts w:hint="default" w:ascii="Times New Roman" w:hAnsi="Times New Roman" w:eastAsia="宋体" w:cs="Times New Roman"/>
          <w:color w:val="auto"/>
          <w:highlight w:val="none"/>
          <w:lang w:val="en-US" w:eastAsia="zh-CN"/>
        </w:rPr>
        <w:t>兼顾</w:t>
      </w:r>
      <w:r>
        <w:rPr>
          <w:rFonts w:hint="default" w:ascii="Times New Roman" w:hAnsi="Times New Roman" w:eastAsia="宋体" w:cs="Times New Roman"/>
          <w:color w:val="auto"/>
          <w:highlight w:val="none"/>
        </w:rPr>
        <w:t>、突出重点</w:t>
      </w:r>
    </w:p>
    <w:p w14:paraId="4D3CF509">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科学统筹水陆、江湖以及流域上下游、左右岸、干支流生态环境保护和绿色发展，系统考虑流域开发、治理、利用、保护和管理任务与流域内各生态环境要素的关系，重点关注规划实施对流域生态系统整体性、累积性影响。</w:t>
      </w:r>
    </w:p>
    <w:p w14:paraId="494634ED">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（4）协调一致、科学系统</w:t>
      </w:r>
    </w:p>
    <w:p w14:paraId="18BAC8CB">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评价内容、工作深度与流域规划层级、规划编制深度保持协调统一，</w:t>
      </w:r>
      <w:r>
        <w:rPr>
          <w:rFonts w:hint="default" w:ascii="Times New Roman" w:hAnsi="Times New Roman" w:eastAsia="宋体" w:cs="Times New Roman"/>
          <w:color w:val="auto"/>
          <w:highlight w:val="none"/>
        </w:rPr>
        <w:t>与规划涉及流域和区域的环境管理要求相适应，并依据不同层级规划的决策需求，提出相应的宏观决策建议以及具体的生态环境管理要求，加强流域整体性保护。</w:t>
      </w:r>
    </w:p>
    <w:p w14:paraId="01B58521">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（5）</w:t>
      </w:r>
      <w:r>
        <w:rPr>
          <w:rFonts w:hint="default" w:ascii="Times New Roman" w:hAnsi="Times New Roman" w:eastAsia="宋体" w:cs="Times New Roman"/>
          <w:color w:val="auto"/>
          <w:highlight w:val="none"/>
          <w:lang w:val="en-US" w:eastAsia="zh-CN"/>
        </w:rPr>
        <w:t>客观公正，科学研判</w:t>
      </w:r>
    </w:p>
    <w:p w14:paraId="4161519B">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秉持科学严谨、客观公正的评价准则，全面查清流域生态环境现状，精准研判规划实施对区域水资源、生态格局、水环境质量等方面产生的各类影响，为流域水资源合理调配、河湖综合治理与生态环境保护治理提供科学可靠的技术依据。</w:t>
      </w:r>
    </w:p>
    <w:p w14:paraId="7FD19814">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（6）</w:t>
      </w:r>
      <w:r>
        <w:rPr>
          <w:rFonts w:hint="default" w:ascii="Times New Roman" w:hAnsi="Times New Roman" w:eastAsia="宋体" w:cs="Times New Roman"/>
          <w:color w:val="auto"/>
          <w:highlight w:val="none"/>
          <w:lang w:val="en-US" w:eastAsia="zh-CN"/>
        </w:rPr>
        <w:t>生态优先、绿色发展</w:t>
      </w:r>
    </w:p>
    <w:p w14:paraId="20CC476C">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严格遵循节约优先、保护优先、自然恢复为主的生态保护方针，高效利用流域水资源，提升水资源节约利用水平。坚持预防为主、系统治理，着力化解流域突出生态环境问题，有效防范流域水环境、水生态安全风险，持续改善流域生态环境质量。统筹推进流域生态保护与修复工程，维护流域生物多样性，推动流域水资源开发利用与生态环境保护协调发展，保障流域经济社会与生态环境长期可持续发展。</w:t>
      </w:r>
    </w:p>
    <w:p w14:paraId="2CA99055">
      <w:pPr>
        <w:pStyle w:val="3"/>
        <w:numPr>
          <w:ilvl w:val="1"/>
          <w:numId w:val="4"/>
        </w:numPr>
        <w:spacing w:before="374" w:after="249"/>
        <w:rPr>
          <w:rFonts w:hint="default" w:ascii="Times New Roman" w:hAnsi="Times New Roman" w:eastAsia="宋体" w:cs="Times New Roman"/>
          <w:color w:val="auto"/>
          <w:highlight w:val="none"/>
        </w:rPr>
      </w:pPr>
      <w:bookmarkStart w:id="18" w:name="_Toc4496"/>
      <w:bookmarkStart w:id="19" w:name="_Toc201331631"/>
      <w:r>
        <w:rPr>
          <w:rFonts w:hint="default" w:ascii="Times New Roman" w:hAnsi="Times New Roman" w:eastAsia="宋体" w:cs="Times New Roman"/>
          <w:color w:val="auto"/>
          <w:highlight w:val="none"/>
          <w:lang w:val="en-US" w:eastAsia="zh-CN"/>
        </w:rPr>
        <w:t>评价</w:t>
      </w:r>
      <w:r>
        <w:rPr>
          <w:rFonts w:hint="default" w:ascii="Times New Roman" w:hAnsi="Times New Roman" w:eastAsia="宋体" w:cs="Times New Roman"/>
          <w:color w:val="auto"/>
          <w:highlight w:val="none"/>
        </w:rPr>
        <w:t>依据</w:t>
      </w:r>
      <w:bookmarkEnd w:id="18"/>
      <w:bookmarkEnd w:id="19"/>
    </w:p>
    <w:p w14:paraId="15E5CD1B">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国家法律</w:t>
      </w:r>
    </w:p>
    <w:p w14:paraId="23CF2A9E">
      <w:pPr>
        <w:keepNext w:val="0"/>
        <w:keepLines w:val="0"/>
        <w:widowControl/>
        <w:numPr>
          <w:ilvl w:val="0"/>
          <w:numId w:val="5"/>
        </w:numPr>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《中华人民共和国生态环境法典》</w:t>
      </w:r>
      <w:r>
        <w:rPr>
          <w:rFonts w:hint="default" w:ascii="Times New Roman" w:hAnsi="Times New Roman"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2026 年 8 月 15 日起施行</w:t>
      </w:r>
      <w:r>
        <w:rPr>
          <w:rFonts w:hint="default" w:ascii="Times New Roman" w:hAnsi="Times New Roman" w:cs="Times New Roman"/>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 xml:space="preserve">； </w:t>
      </w:r>
    </w:p>
    <w:p w14:paraId="33F88CDF">
      <w:pPr>
        <w:keepNext w:val="0"/>
        <w:keepLines w:val="0"/>
        <w:widowControl/>
        <w:numPr>
          <w:ilvl w:val="0"/>
          <w:numId w:val="5"/>
        </w:numPr>
        <w:suppressLineNumbers w:val="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《中华人民共和国水法》（2016 年 7 月 2 日修订）； </w:t>
      </w:r>
    </w:p>
    <w:p w14:paraId="103DDD0E">
      <w:pPr>
        <w:keepNext w:val="0"/>
        <w:keepLines w:val="0"/>
        <w:widowControl/>
        <w:numPr>
          <w:ilvl w:val="0"/>
          <w:numId w:val="5"/>
        </w:numPr>
        <w:suppressLineNumbers w:val="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《中华人民共和国防洪法》（2016 年 7 月 2 日修订）； </w:t>
      </w:r>
    </w:p>
    <w:p w14:paraId="45981E21">
      <w:pPr>
        <w:keepNext w:val="0"/>
        <w:keepLines w:val="0"/>
        <w:widowControl/>
        <w:numPr>
          <w:ilvl w:val="0"/>
          <w:numId w:val="5"/>
        </w:numPr>
        <w:suppressLineNumbers w:val="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《中华人民共和国水土保持法》（2010 年 12 月 25 日修订）；</w:t>
      </w:r>
    </w:p>
    <w:p w14:paraId="7678FDFD">
      <w:pPr>
        <w:keepNext w:val="0"/>
        <w:keepLines w:val="0"/>
        <w:widowControl/>
        <w:numPr>
          <w:ilvl w:val="0"/>
          <w:numId w:val="5"/>
        </w:numPr>
        <w:suppressLineNumbers w:val="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《中华人民共和国土地管理法》（2019 年 8 月 26 日修订）； </w:t>
      </w:r>
    </w:p>
    <w:p w14:paraId="41B6F92A">
      <w:pPr>
        <w:keepNext w:val="0"/>
        <w:keepLines w:val="0"/>
        <w:widowControl/>
        <w:numPr>
          <w:ilvl w:val="0"/>
          <w:numId w:val="5"/>
        </w:numPr>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《中华人民共和国渔业法》（2025 年 12 月 27 日修订）；</w:t>
      </w:r>
    </w:p>
    <w:p w14:paraId="38D5FF8A">
      <w:pPr>
        <w:keepNext w:val="0"/>
        <w:keepLines w:val="0"/>
        <w:widowControl/>
        <w:numPr>
          <w:ilvl w:val="0"/>
          <w:numId w:val="5"/>
        </w:numPr>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《中华人民共和国森林法》（2020 年 12 月 28 日修订）； </w:t>
      </w:r>
    </w:p>
    <w:p w14:paraId="4E4561A9">
      <w:pPr>
        <w:keepNext w:val="0"/>
        <w:keepLines w:val="0"/>
        <w:widowControl/>
        <w:numPr>
          <w:ilvl w:val="0"/>
          <w:numId w:val="5"/>
        </w:numPr>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《中华人民共和国文物保护法》（2017 年 11 月 4 日修订）；</w:t>
      </w:r>
    </w:p>
    <w:p w14:paraId="12F29542">
      <w:pPr>
        <w:keepNext w:val="0"/>
        <w:keepLines w:val="0"/>
        <w:widowControl/>
        <w:numPr>
          <w:ilvl w:val="0"/>
          <w:numId w:val="5"/>
        </w:numPr>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《中华人民共和国野生动物保护法》（2022 年 12 月修订）；</w:t>
      </w:r>
    </w:p>
    <w:p w14:paraId="103C06A8">
      <w:pPr>
        <w:keepNext w:val="0"/>
        <w:keepLines w:val="0"/>
        <w:widowControl/>
        <w:numPr>
          <w:ilvl w:val="0"/>
          <w:numId w:val="5"/>
        </w:numPr>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《中华人民共和国湿地保护法》（2022年6月1日起施行）；</w:t>
      </w:r>
    </w:p>
    <w:p w14:paraId="2400E340">
      <w:pPr>
        <w:keepNext w:val="0"/>
        <w:keepLines w:val="0"/>
        <w:widowControl/>
        <w:numPr>
          <w:ilvl w:val="0"/>
          <w:numId w:val="5"/>
        </w:numPr>
        <w:suppressLineNumbers w:val="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《中华人民共和国矿产资源法》（2024 年 11 月 28 日修订）。</w:t>
      </w:r>
    </w:p>
    <w:p w14:paraId="4CBEEA0B">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行政法规</w:t>
      </w:r>
    </w:p>
    <w:p w14:paraId="520597ED">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《中华人民共和国自然保护区条例》（2026 年 3 月 15 日施行）；</w:t>
      </w:r>
    </w:p>
    <w:p w14:paraId="6771A077">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《中华人民共和国陆生野生动物保护实施条例》（2016 年 2 月 6 日修订）； </w:t>
      </w:r>
    </w:p>
    <w:p w14:paraId="3DFE6637">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《中华人民共和国水生野生动物保护实施条例》（2013 年 12 月修订）；</w:t>
      </w:r>
    </w:p>
    <w:p w14:paraId="1DB8A671">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《中华人民共和国河道管理条例》（2018 年 3 月 19 日修订）； </w:t>
      </w:r>
    </w:p>
    <w:p w14:paraId="2A72FB80">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《基本农田保护条例》（2011 年 1 月 8 日修订）； </w:t>
      </w:r>
    </w:p>
    <w:p w14:paraId="0CB43AED">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《风景名胜区条例》（2026 年 3 月 20 日施行）； </w:t>
      </w:r>
    </w:p>
    <w:p w14:paraId="00938C80">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《规划环境影响评价条例》（2009 年 10 月 1 日起施行）； </w:t>
      </w:r>
    </w:p>
    <w:p w14:paraId="7DEF5E32">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《建设项目环境保护管理条例》（2017 年 10 月 1 日起施行）</w:t>
      </w:r>
      <w:r>
        <w:rPr>
          <w:rFonts w:hint="default" w:ascii="Times New Roman" w:hAnsi="Times New Roman" w:cs="Times New Roman"/>
          <w:color w:val="auto"/>
          <w:kern w:val="0"/>
          <w:sz w:val="24"/>
          <w:szCs w:val="24"/>
          <w:highlight w:val="none"/>
          <w:lang w:val="en-US" w:eastAsia="zh-CN" w:bidi="ar"/>
        </w:rPr>
        <w:t>；</w:t>
      </w:r>
    </w:p>
    <w:p w14:paraId="300E14E3">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《云南省生态环境保护条例》（2024 年 11 月 1 日实施）； </w:t>
      </w:r>
    </w:p>
    <w:p w14:paraId="0803A8E4">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《云南省陆生野生动物保护条例》（20</w:t>
      </w:r>
      <w:r>
        <w:rPr>
          <w:rFonts w:hint="default" w:ascii="Times New Roman" w:hAnsi="Times New Roman" w:cs="Times New Roman"/>
          <w:color w:val="auto"/>
          <w:kern w:val="0"/>
          <w:sz w:val="24"/>
          <w:szCs w:val="24"/>
          <w:highlight w:val="none"/>
          <w:lang w:val="en-US" w:eastAsia="zh-CN" w:bidi="ar"/>
        </w:rPr>
        <w:t xml:space="preserve">26 </w:t>
      </w:r>
      <w:r>
        <w:rPr>
          <w:rFonts w:hint="default" w:ascii="Times New Roman" w:hAnsi="Times New Roman" w:eastAsia="宋体" w:cs="Times New Roman"/>
          <w:color w:val="auto"/>
          <w:kern w:val="0"/>
          <w:sz w:val="24"/>
          <w:szCs w:val="24"/>
          <w:highlight w:val="none"/>
          <w:lang w:val="en-US" w:eastAsia="zh-CN" w:bidi="ar"/>
        </w:rPr>
        <w:t xml:space="preserve">年 </w:t>
      </w:r>
      <w:r>
        <w:rPr>
          <w:rFonts w:hint="default" w:ascii="Times New Roman" w:hAnsi="Times New Roman" w:cs="Times New Roman"/>
          <w:color w:val="auto"/>
          <w:kern w:val="0"/>
          <w:sz w:val="24"/>
          <w:szCs w:val="24"/>
          <w:highlight w:val="none"/>
          <w:lang w:val="en-US" w:eastAsia="zh-CN" w:bidi="ar"/>
        </w:rPr>
        <w:t>8</w:t>
      </w:r>
      <w:r>
        <w:rPr>
          <w:rFonts w:hint="default" w:ascii="Times New Roman" w:hAnsi="Times New Roman" w:eastAsia="宋体" w:cs="Times New Roman"/>
          <w:color w:val="auto"/>
          <w:kern w:val="0"/>
          <w:sz w:val="24"/>
          <w:szCs w:val="24"/>
          <w:highlight w:val="none"/>
          <w:lang w:val="en-US" w:eastAsia="zh-CN" w:bidi="ar"/>
        </w:rPr>
        <w:t xml:space="preserve"> 月 </w:t>
      </w:r>
      <w:r>
        <w:rPr>
          <w:rFonts w:hint="default" w:ascii="Times New Roman" w:hAnsi="Times New Roman" w:cs="Times New Roman"/>
          <w:color w:val="auto"/>
          <w:kern w:val="0"/>
          <w:sz w:val="24"/>
          <w:szCs w:val="24"/>
          <w:highlight w:val="none"/>
          <w:lang w:val="en-US" w:eastAsia="zh-CN" w:bidi="ar"/>
        </w:rPr>
        <w:t>15</w:t>
      </w:r>
      <w:r>
        <w:rPr>
          <w:rFonts w:hint="default" w:ascii="Times New Roman" w:hAnsi="Times New Roman" w:eastAsia="宋体" w:cs="Times New Roman"/>
          <w:color w:val="auto"/>
          <w:kern w:val="0"/>
          <w:sz w:val="24"/>
          <w:szCs w:val="24"/>
          <w:highlight w:val="none"/>
          <w:lang w:val="en-US" w:eastAsia="zh-CN" w:bidi="ar"/>
        </w:rPr>
        <w:t xml:space="preserve"> 日</w:t>
      </w:r>
      <w:r>
        <w:rPr>
          <w:rFonts w:hint="default" w:ascii="Times New Roman" w:hAnsi="Times New Roman" w:cs="Times New Roman"/>
          <w:color w:val="auto"/>
          <w:kern w:val="0"/>
          <w:sz w:val="24"/>
          <w:szCs w:val="24"/>
          <w:highlight w:val="none"/>
          <w:lang w:val="en-US" w:eastAsia="zh-CN" w:bidi="ar"/>
        </w:rPr>
        <w:t>起施行</w:t>
      </w:r>
      <w:r>
        <w:rPr>
          <w:rFonts w:hint="default" w:ascii="Times New Roman" w:hAnsi="Times New Roman" w:eastAsia="宋体" w:cs="Times New Roman"/>
          <w:color w:val="auto"/>
          <w:kern w:val="0"/>
          <w:sz w:val="24"/>
          <w:szCs w:val="24"/>
          <w:highlight w:val="none"/>
          <w:lang w:val="en-US" w:eastAsia="zh-CN" w:bidi="ar"/>
        </w:rPr>
        <w:t xml:space="preserve">）； </w:t>
      </w:r>
    </w:p>
    <w:p w14:paraId="387BEBF2">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《云南省生物多样性保护条例》（2019 年 1 月 1 日实施）； </w:t>
      </w:r>
    </w:p>
    <w:p w14:paraId="7424C1C6">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《云南省风景名胜区条例》（2012 年 1 月 1 日施行）； </w:t>
      </w:r>
    </w:p>
    <w:p w14:paraId="22100615">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《地下水管理条例》（2021 年 12 月 1 日施行）；</w:t>
      </w:r>
    </w:p>
    <w:p w14:paraId="2F0DE493">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中华人民共和国土地管理法实施条例</w:t>
      </w:r>
      <w:r>
        <w:rPr>
          <w:rFonts w:hint="default" w:ascii="Times New Roman" w:hAnsi="Times New Roman" w:eastAsia="宋体" w:cs="Times New Roman"/>
          <w:color w:val="auto"/>
          <w:kern w:val="0"/>
          <w:sz w:val="24"/>
          <w:szCs w:val="24"/>
          <w:highlight w:val="none"/>
          <w:lang w:val="en-US" w:eastAsia="zh-CN" w:bidi="ar"/>
        </w:rPr>
        <w:t>》（2021 年 7 月 2 日第三次修订）；</w:t>
      </w:r>
    </w:p>
    <w:p w14:paraId="4BA78175">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《云南省湿地保护条例》（2026 年 1 月 1 日施行）；</w:t>
      </w:r>
    </w:p>
    <w:p w14:paraId="5326BE28">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《云南省水土保持条例》（2018 年 11 月 29 日修正）；</w:t>
      </w:r>
    </w:p>
    <w:p w14:paraId="7645684A">
      <w:pPr>
        <w:keepNext w:val="0"/>
        <w:keepLines w:val="0"/>
        <w:widowControl/>
        <w:numPr>
          <w:ilvl w:val="0"/>
          <w:numId w:val="6"/>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《云南省森林条例》（2019 年 1 月 1 日施行）。</w:t>
      </w:r>
    </w:p>
    <w:p w14:paraId="0DA6BAEC">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部门规章及规范性文件</w:t>
      </w:r>
    </w:p>
    <w:p w14:paraId="385FD928">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《饮用水水源保护区污染防治管理规定》（2010 年 12 月 22 日修正）； </w:t>
      </w:r>
    </w:p>
    <w:p w14:paraId="0FA5F84C">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《环境影响评价公众参与办法》（生态环境部令第 4 号，2019 年 1 月 1 日施行）； </w:t>
      </w:r>
    </w:p>
    <w:p w14:paraId="170E0DB4">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《产业结构调整指导目录（2024 年本）》（2024 年 2 月 1 日实施）； </w:t>
      </w:r>
    </w:p>
    <w:p w14:paraId="6740FB49">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《国家重点保护野生植物名录》（2021 年 9 月）； </w:t>
      </w:r>
    </w:p>
    <w:p w14:paraId="6EE1810B">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《国家重点保护野生动物名录》（2021 年 2 月）； </w:t>
      </w:r>
    </w:p>
    <w:p w14:paraId="444E4E80">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《中国生物多样性红色名录 脊椎动物卷》（2020 年）；</w:t>
      </w:r>
    </w:p>
    <w:p w14:paraId="0601D6FE">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 《陆生野生动物重要栖息地名录》（第一批）（2023 年）； </w:t>
      </w:r>
    </w:p>
    <w:p w14:paraId="266EE268">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《云南省重点保护陆生野生动物名录》（2023 年 </w:t>
      </w:r>
      <w:r>
        <w:rPr>
          <w:rFonts w:hint="default" w:ascii="Times New Roman" w:hAnsi="Times New Roman" w:cs="Times New Roman"/>
          <w:color w:val="auto"/>
          <w:kern w:val="0"/>
          <w:sz w:val="24"/>
          <w:szCs w:val="24"/>
          <w:highlight w:val="none"/>
          <w:lang w:val="en-US" w:eastAsia="zh-CN" w:bidi="ar"/>
        </w:rPr>
        <w:t>12月</w:t>
      </w:r>
      <w:r>
        <w:rPr>
          <w:rFonts w:hint="default" w:ascii="Times New Roman" w:hAnsi="Times New Roman" w:eastAsia="宋体" w:cs="Times New Roman"/>
          <w:color w:val="auto"/>
          <w:kern w:val="0"/>
          <w:sz w:val="24"/>
          <w:szCs w:val="24"/>
          <w:highlight w:val="none"/>
          <w:lang w:val="en-US" w:eastAsia="zh-CN" w:bidi="ar"/>
        </w:rPr>
        <w:t xml:space="preserve">）； </w:t>
      </w:r>
    </w:p>
    <w:p w14:paraId="26EB991F">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《云南省重点保护野生植物名录》（2023 </w:t>
      </w:r>
      <w:r>
        <w:rPr>
          <w:rFonts w:hint="default" w:ascii="Times New Roman" w:hAnsi="Times New Roman" w:cs="Times New Roman"/>
          <w:color w:val="auto"/>
          <w:kern w:val="0"/>
          <w:sz w:val="24"/>
          <w:szCs w:val="24"/>
          <w:highlight w:val="none"/>
          <w:lang w:val="en-US" w:eastAsia="zh-CN" w:bidi="ar"/>
        </w:rPr>
        <w:t>年 12月</w:t>
      </w:r>
      <w:r>
        <w:rPr>
          <w:rFonts w:hint="default" w:ascii="Times New Roman" w:hAnsi="Times New Roman" w:eastAsia="宋体" w:cs="Times New Roman"/>
          <w:color w:val="auto"/>
          <w:kern w:val="0"/>
          <w:sz w:val="24"/>
          <w:szCs w:val="24"/>
          <w:highlight w:val="none"/>
          <w:lang w:val="en-US" w:eastAsia="zh-CN" w:bidi="ar"/>
        </w:rPr>
        <w:t>）；</w:t>
      </w:r>
    </w:p>
    <w:p w14:paraId="1C0A7A0B">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《云南</w:t>
      </w:r>
      <w:r>
        <w:rPr>
          <w:rFonts w:hint="eastAsia" w:cs="Times New Roman"/>
          <w:color w:val="auto"/>
          <w:kern w:val="0"/>
          <w:sz w:val="24"/>
          <w:szCs w:val="24"/>
          <w:highlight w:val="none"/>
          <w:lang w:val="en-US" w:eastAsia="zh-CN" w:bidi="ar"/>
        </w:rPr>
        <w:t>省</w:t>
      </w:r>
      <w:r>
        <w:rPr>
          <w:rFonts w:hint="default" w:ascii="Times New Roman" w:hAnsi="Times New Roman" w:eastAsia="宋体" w:cs="Times New Roman"/>
          <w:color w:val="auto"/>
          <w:kern w:val="0"/>
          <w:sz w:val="24"/>
          <w:szCs w:val="24"/>
          <w:highlight w:val="none"/>
          <w:lang w:val="en-US" w:eastAsia="zh-CN" w:bidi="ar"/>
        </w:rPr>
        <w:t xml:space="preserve">主体功能区规划》（2014 年 1 月）； </w:t>
      </w:r>
    </w:p>
    <w:p w14:paraId="21CFA982">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《云南省生态功能区划》（2009 年 9 月）； </w:t>
      </w:r>
    </w:p>
    <w:p w14:paraId="27FB8E86">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《云南省生物多样性保护战略与行动计划（2024-2030 年）》（2024 年 5 月）； </w:t>
      </w:r>
    </w:p>
    <w:p w14:paraId="1873411D">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《云南省水功能区划（2014</w:t>
      </w:r>
      <w:r>
        <w:rPr>
          <w:rFonts w:hint="default" w:ascii="Times New Roman" w:hAnsi="Times New Roman" w:cs="Times New Roman"/>
          <w:color w:val="auto"/>
          <w:kern w:val="0"/>
          <w:sz w:val="24"/>
          <w:szCs w:val="24"/>
          <w:highlight w:val="none"/>
          <w:lang w:val="en-US" w:eastAsia="zh-CN" w:bidi="ar"/>
        </w:rPr>
        <w:t xml:space="preserve"> 年</w:t>
      </w:r>
      <w:r>
        <w:rPr>
          <w:rFonts w:hint="default" w:ascii="Times New Roman" w:hAnsi="Times New Roman" w:eastAsia="宋体" w:cs="Times New Roman"/>
          <w:color w:val="auto"/>
          <w:kern w:val="0"/>
          <w:sz w:val="24"/>
          <w:szCs w:val="24"/>
          <w:highlight w:val="none"/>
          <w:lang w:val="en-US" w:eastAsia="zh-CN" w:bidi="ar"/>
        </w:rPr>
        <w:t xml:space="preserve">修订）》； </w:t>
      </w:r>
    </w:p>
    <w:p w14:paraId="0D250F6F">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《云南省人民政府关于进一步加强生物多样性保护的实施意见》（2022 年）； </w:t>
      </w:r>
    </w:p>
    <w:p w14:paraId="1F3024C7">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水利部水规总院《水工程规划设计生态指标体系与应用的指导意见》（水总环移〔2010〕248 号）； </w:t>
      </w:r>
    </w:p>
    <w:p w14:paraId="6540BA86">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《关于加强规划环境影响评价与建设项目环境影响评价联动工作的意见》（环发〔2015〕178 号）；</w:t>
      </w:r>
    </w:p>
    <w:p w14:paraId="76B38B69">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 《关于开展规划环境影响评价会商的指导意见》（环发〔2015〕179 号）； </w:t>
      </w:r>
    </w:p>
    <w:p w14:paraId="3CEB0E7A">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《关于规划环境影响评价加强空间管制、总量管控和环境准入的指导意见》（环办环评〔2016〕14 号）； </w:t>
      </w:r>
    </w:p>
    <w:p w14:paraId="3A5053AF">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《国务院关于实行最严格水资源管理制度的意见》（国发〔2012〕3 号）； </w:t>
      </w:r>
    </w:p>
    <w:p w14:paraId="09712DB2">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《关于进一步加强水生生物资源保护严格环境影响评价管理的通知》（环发〔2013〕86 号）；</w:t>
      </w:r>
    </w:p>
    <w:p w14:paraId="594AA047">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 《自然资源部 生态环境部 国家林业和草原局关于加强生态保护红线管理的通知（试行）》（自然资发〔2022〕142 号）；</w:t>
      </w:r>
    </w:p>
    <w:p w14:paraId="6F83D18F">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 《云南省人民政府关于发布云南省生态保护红线的通知》（云政发〔2018〕32 号）；</w:t>
      </w:r>
    </w:p>
    <w:p w14:paraId="40C8A62D">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 《云南省自然资源厅 云南省生态环境厅 云南省林业和草原局关于加强生态保护红线管理工作的通知》（云自然资〔2023〕98 号）；</w:t>
      </w:r>
    </w:p>
    <w:p w14:paraId="43C45BB9">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《中共云南省委办公厅 云南省人民政府办公厅关于加强生态环境分区管控的实施意见》（2024 年）</w:t>
      </w:r>
      <w:r>
        <w:rPr>
          <w:rFonts w:hint="default" w:ascii="Times New Roman" w:hAnsi="Times New Roman" w:eastAsia="宋体" w:cs="Times New Roman"/>
          <w:color w:val="auto"/>
          <w:sz w:val="24"/>
          <w:szCs w:val="24"/>
          <w:highlight w:val="none"/>
          <w:lang w:eastAsia="zh-CN"/>
        </w:rPr>
        <w:t>；</w:t>
      </w:r>
    </w:p>
    <w:p w14:paraId="455D56A3">
      <w:pPr>
        <w:keepNext w:val="0"/>
        <w:keepLines w:val="0"/>
        <w:widowControl/>
        <w:numPr>
          <w:ilvl w:val="0"/>
          <w:numId w:val="7"/>
        </w:numPr>
        <w:suppressLineNumbers w:val="0"/>
        <w:ind w:left="0" w:leftChars="0" w:firstLine="0" w:firstLineChars="0"/>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kern w:val="0"/>
          <w:sz w:val="24"/>
          <w:szCs w:val="24"/>
          <w:highlight w:val="none"/>
          <w:lang w:val="en-US" w:eastAsia="zh-CN" w:bidi="ar"/>
        </w:rPr>
        <w:t xml:space="preserve"> 其他国家及地方现行相关</w:t>
      </w:r>
      <w:r>
        <w:rPr>
          <w:rFonts w:hint="default" w:ascii="Times New Roman" w:hAnsi="Times New Roman" w:cs="Times New Roman"/>
          <w:color w:val="auto"/>
          <w:kern w:val="0"/>
          <w:sz w:val="24"/>
          <w:szCs w:val="24"/>
          <w:highlight w:val="none"/>
          <w:lang w:val="en-US" w:eastAsia="zh-CN" w:bidi="ar"/>
        </w:rPr>
        <w:t>法律法规</w:t>
      </w:r>
      <w:r>
        <w:rPr>
          <w:rFonts w:hint="default" w:ascii="Times New Roman" w:hAnsi="Times New Roman" w:eastAsia="宋体" w:cs="Times New Roman"/>
          <w:color w:val="auto"/>
          <w:kern w:val="0"/>
          <w:sz w:val="24"/>
          <w:szCs w:val="24"/>
          <w:highlight w:val="none"/>
          <w:lang w:val="en-US" w:eastAsia="zh-CN" w:bidi="ar"/>
        </w:rPr>
        <w:t>、规章及技术文件。</w:t>
      </w:r>
    </w:p>
    <w:p w14:paraId="74431710">
      <w:pPr>
        <w:pStyle w:val="5"/>
        <w:numPr>
          <w:ilvl w:val="2"/>
          <w:numId w:val="4"/>
        </w:numPr>
        <w:spacing w:before="374" w:after="249"/>
        <w:rPr>
          <w:rFonts w:hint="default" w:ascii="Times New Roman" w:hAnsi="Times New Roman" w:eastAsia="宋体" w:cs="Times New Roman"/>
          <w:color w:val="auto"/>
          <w:highlight w:val="none"/>
        </w:rPr>
      </w:pPr>
      <w:bookmarkStart w:id="20" w:name="_Toc171574246"/>
      <w:bookmarkStart w:id="21" w:name="_Toc157503716"/>
      <w:bookmarkStart w:id="22" w:name="_Toc297401800"/>
      <w:bookmarkStart w:id="23" w:name="_Toc155279870"/>
      <w:bookmarkStart w:id="24" w:name="_Toc428770338"/>
      <w:r>
        <w:rPr>
          <w:rFonts w:hint="default" w:ascii="Times New Roman" w:hAnsi="Times New Roman" w:eastAsia="宋体" w:cs="Times New Roman"/>
          <w:color w:val="auto"/>
          <w:highlight w:val="none"/>
        </w:rPr>
        <w:t>技术标准</w:t>
      </w:r>
      <w:bookmarkEnd w:id="20"/>
      <w:bookmarkEnd w:id="21"/>
      <w:bookmarkEnd w:id="22"/>
      <w:bookmarkEnd w:id="23"/>
      <w:bookmarkEnd w:id="24"/>
    </w:p>
    <w:p w14:paraId="5DB3BB60">
      <w:pPr>
        <w:numPr>
          <w:ilvl w:val="0"/>
          <w:numId w:val="8"/>
        </w:numPr>
        <w:ind w:left="0" w:firstLine="0"/>
        <w:rPr>
          <w:rFonts w:hint="default" w:ascii="Times New Roman" w:hAnsi="Times New Roman" w:eastAsia="宋体" w:cs="Times New Roman"/>
          <w:color w:val="auto"/>
          <w:highlight w:val="none"/>
        </w:rPr>
      </w:pPr>
      <w:bookmarkStart w:id="25" w:name="OLE_LINK10"/>
      <w:r>
        <w:rPr>
          <w:rFonts w:hint="default" w:ascii="Times New Roman" w:hAnsi="Times New Roman" w:eastAsia="宋体" w:cs="Times New Roman"/>
          <w:color w:val="auto"/>
          <w:highlight w:val="none"/>
        </w:rPr>
        <w:t>《规划环境影响评价技术导则 总纲》（HJ 130-2019）；</w:t>
      </w:r>
    </w:p>
    <w:p w14:paraId="0D1857C5">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《规划环境影响评价技术导则 流域综合规划》（HJ 1218-2021）；</w:t>
      </w:r>
    </w:p>
    <w:p w14:paraId="1A494777">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bookmarkStart w:id="26" w:name="OLE_LINK24"/>
      <w:bookmarkStart w:id="27" w:name="OLE_LINK23"/>
      <w:r>
        <w:rPr>
          <w:rFonts w:hint="default" w:ascii="Times New Roman" w:hAnsi="Times New Roman" w:eastAsia="宋体" w:cs="Times New Roman"/>
          <w:color w:val="auto"/>
          <w:highlight w:val="none"/>
        </w:rPr>
        <w:t>环境影响评价技术导则 地表水环境</w:t>
      </w:r>
      <w:bookmarkEnd w:id="26"/>
      <w:bookmarkEnd w:id="27"/>
      <w:r>
        <w:rPr>
          <w:rFonts w:hint="default" w:ascii="Times New Roman" w:hAnsi="Times New Roman" w:eastAsia="宋体" w:cs="Times New Roman"/>
          <w:color w:val="auto"/>
          <w:highlight w:val="none"/>
        </w:rPr>
        <w:t>》（HJ2.3-2018）；</w:t>
      </w:r>
    </w:p>
    <w:p w14:paraId="1F7A0791">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《环境影响评价技术导则 地下水环境》（HJ610-2016）；</w:t>
      </w:r>
    </w:p>
    <w:p w14:paraId="290AE298">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《环境影响评价技术导则 大气环境》（HJ 2.2-2018）；</w:t>
      </w:r>
    </w:p>
    <w:p w14:paraId="7126ECCD">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《环境影响评价技术导则 声环境》（HJ2.4-2009）；</w:t>
      </w:r>
    </w:p>
    <w:p w14:paraId="7E1A4910">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《环境影响评价技术导则 生态影响》（HJ19-2022）；</w:t>
      </w:r>
    </w:p>
    <w:p w14:paraId="5DE4CB2D">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《环境影响评价技术导则 土壤环境（试行）》（HJ 964-2018）；</w:t>
      </w:r>
    </w:p>
    <w:p w14:paraId="152771AB">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《土壤环境质量农用地土壤污染风险管控标准（试行）》（GB</w:t>
      </w:r>
      <w:r>
        <w:rPr>
          <w:rFonts w:hint="default" w:ascii="Times New Roman" w:hAnsi="Times New Roman" w:eastAsia="宋体" w:cs="Times New Roman"/>
          <w:color w:val="auto"/>
          <w:highlight w:val="none"/>
          <w:lang w:val="en-US" w:eastAsia="zh-CN"/>
        </w:rPr>
        <w:t>15618</w:t>
      </w:r>
      <w:r>
        <w:rPr>
          <w:rFonts w:hint="default" w:ascii="Times New Roman" w:hAnsi="Times New Roman" w:eastAsia="宋体" w:cs="Times New Roman"/>
          <w:color w:val="auto"/>
          <w:highlight w:val="none"/>
        </w:rPr>
        <w:t>-2018）；</w:t>
      </w:r>
    </w:p>
    <w:p w14:paraId="1B3EF55A">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《江河流域规划环境影响评价规范》（SL45-2006）；</w:t>
      </w:r>
    </w:p>
    <w:p w14:paraId="097AF4D4">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《环境影响评价技术导则 水利水电工程》（HJ/T88-2018）；</w:t>
      </w:r>
    </w:p>
    <w:p w14:paraId="2EB3EA42">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《地表水和污水监测技术规范》（HJ/T91-2002）；</w:t>
      </w:r>
    </w:p>
    <w:p w14:paraId="328E43F4">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《生活饮用水卫生标准》（GB5749-2006）；</w:t>
      </w:r>
    </w:p>
    <w:p w14:paraId="391E0FD7">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《地表水环境质量标准》（GB3838-2002）；</w:t>
      </w:r>
    </w:p>
    <w:p w14:paraId="710D3EF3">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《地下水质量标准》（GB/T 14848-2017）</w:t>
      </w:r>
      <w:r>
        <w:rPr>
          <w:rFonts w:hint="default" w:ascii="Times New Roman" w:hAnsi="Times New Roman" w:cs="Times New Roman"/>
          <w:color w:val="auto"/>
          <w:highlight w:val="none"/>
          <w:lang w:eastAsia="zh-CN"/>
        </w:rPr>
        <w:t>；</w:t>
      </w:r>
    </w:p>
    <w:p w14:paraId="0018F894">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《声环境质量标准》（GB 3096-2008）</w:t>
      </w:r>
      <w:r>
        <w:rPr>
          <w:rFonts w:hint="default" w:ascii="Times New Roman" w:hAnsi="Times New Roman" w:cs="Times New Roman"/>
          <w:color w:val="auto"/>
          <w:highlight w:val="none"/>
          <w:lang w:eastAsia="zh-CN"/>
        </w:rPr>
        <w:t>；</w:t>
      </w:r>
    </w:p>
    <w:p w14:paraId="75EC5089">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《环境空气质量标准》（GB 3095-</w:t>
      </w:r>
      <w:r>
        <w:rPr>
          <w:rFonts w:hint="default" w:ascii="Times New Roman" w:hAnsi="Times New Roman" w:cs="Times New Roman"/>
          <w:color w:val="auto"/>
          <w:highlight w:val="none"/>
          <w:lang w:val="en-US" w:eastAsia="zh-CN"/>
        </w:rPr>
        <w:t>2026</w:t>
      </w: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lang w:eastAsia="zh-CN"/>
        </w:rPr>
        <w:t>；</w:t>
      </w:r>
    </w:p>
    <w:p w14:paraId="781D61FD">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《渔业水质标准》（GB11607－1989）；</w:t>
      </w:r>
    </w:p>
    <w:p w14:paraId="435E35CD">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《水库渔业资源调查规范》</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SL 167-1996</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w:t>
      </w:r>
    </w:p>
    <w:p w14:paraId="568CD9D8">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《污水综合排放标准》（GB8978-1996）；</w:t>
      </w:r>
    </w:p>
    <w:p w14:paraId="1AE6658E">
      <w:pPr>
        <w:numPr>
          <w:ilvl w:val="0"/>
          <w:numId w:val="8"/>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《一般工业固体废物贮存和填埋污染控制标准》（GB18599-2020）</w:t>
      </w:r>
      <w:r>
        <w:rPr>
          <w:rFonts w:hint="default" w:ascii="Times New Roman" w:hAnsi="Times New Roman" w:cs="Times New Roman"/>
          <w:color w:val="auto"/>
          <w:highlight w:val="none"/>
          <w:lang w:eastAsia="zh-CN"/>
        </w:rPr>
        <w:t>。</w:t>
      </w:r>
    </w:p>
    <w:bookmarkEnd w:id="25"/>
    <w:p w14:paraId="354AB860">
      <w:pPr>
        <w:pStyle w:val="5"/>
        <w:numPr>
          <w:ilvl w:val="2"/>
          <w:numId w:val="4"/>
        </w:numPr>
        <w:spacing w:before="374" w:after="249"/>
        <w:rPr>
          <w:rFonts w:hint="default" w:ascii="Times New Roman" w:hAnsi="Times New Roman" w:eastAsia="宋体" w:cs="Times New Roman"/>
          <w:color w:val="auto"/>
          <w:highlight w:val="none"/>
        </w:rPr>
      </w:pPr>
      <w:bookmarkStart w:id="28" w:name="_Toc171574247"/>
      <w:bookmarkStart w:id="29" w:name="_Toc155279871"/>
      <w:bookmarkStart w:id="30" w:name="_Toc157503717"/>
      <w:bookmarkStart w:id="31" w:name="_Toc428770339"/>
      <w:bookmarkStart w:id="32" w:name="_Toc297401801"/>
      <w:r>
        <w:rPr>
          <w:rFonts w:hint="default" w:ascii="Times New Roman" w:hAnsi="Times New Roman" w:eastAsia="宋体" w:cs="Times New Roman"/>
          <w:color w:val="auto"/>
          <w:highlight w:val="none"/>
        </w:rPr>
        <w:t>相关技术文件</w:t>
      </w:r>
      <w:bookmarkEnd w:id="28"/>
      <w:bookmarkEnd w:id="29"/>
      <w:bookmarkEnd w:id="30"/>
      <w:bookmarkEnd w:id="31"/>
      <w:bookmarkEnd w:id="32"/>
    </w:p>
    <w:p w14:paraId="29CBC22C">
      <w:pPr>
        <w:numPr>
          <w:ilvl w:val="0"/>
          <w:numId w:val="9"/>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《云南省“十四五”节水型社会建设规划》（云水资源﹝2022﹞18号）；</w:t>
      </w:r>
    </w:p>
    <w:p w14:paraId="41EE5945">
      <w:pPr>
        <w:numPr>
          <w:ilvl w:val="0"/>
          <w:numId w:val="9"/>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《云南省“十</w:t>
      </w:r>
      <w:r>
        <w:rPr>
          <w:rFonts w:hint="eastAsia" w:cs="Times New Roman"/>
          <w:color w:val="auto"/>
          <w:highlight w:val="none"/>
          <w:lang w:val="en-US" w:eastAsia="zh-CN"/>
        </w:rPr>
        <w:t>五</w:t>
      </w:r>
      <w:r>
        <w:rPr>
          <w:rFonts w:hint="default" w:ascii="Times New Roman" w:hAnsi="Times New Roman" w:eastAsia="宋体" w:cs="Times New Roman"/>
          <w:color w:val="auto"/>
          <w:highlight w:val="none"/>
        </w:rPr>
        <w:t>五”</w:t>
      </w:r>
      <w:r>
        <w:rPr>
          <w:rFonts w:hint="eastAsia" w:cs="Times New Roman"/>
          <w:color w:val="auto"/>
          <w:highlight w:val="none"/>
          <w:lang w:val="en-US" w:eastAsia="zh-CN"/>
        </w:rPr>
        <w:t>水安全保障</w:t>
      </w:r>
      <w:r>
        <w:rPr>
          <w:rFonts w:hint="default" w:ascii="Times New Roman" w:hAnsi="Times New Roman" w:eastAsia="宋体" w:cs="Times New Roman"/>
          <w:color w:val="auto"/>
          <w:highlight w:val="none"/>
        </w:rPr>
        <w:t>规划》；</w:t>
      </w:r>
    </w:p>
    <w:p w14:paraId="571C3E29">
      <w:pPr>
        <w:numPr>
          <w:ilvl w:val="0"/>
          <w:numId w:val="9"/>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《云南省水网建设规划》</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云政复〔2023〕12号</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w:t>
      </w:r>
    </w:p>
    <w:p w14:paraId="6EDB0326">
      <w:pPr>
        <w:numPr>
          <w:ilvl w:val="0"/>
          <w:numId w:val="9"/>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《云南省节水行动实施方案》（云发改资环〔2019〕945号）；</w:t>
      </w:r>
    </w:p>
    <w:p w14:paraId="3113BFE3">
      <w:pPr>
        <w:numPr>
          <w:ilvl w:val="0"/>
          <w:numId w:val="9"/>
        </w:numPr>
        <w:ind w:left="0" w:firstLine="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《云南省工业园区产业布局规划（2016—2025 年）》（云政发〔2016〕96号）</w:t>
      </w:r>
      <w:r>
        <w:rPr>
          <w:rFonts w:hint="default" w:ascii="Times New Roman" w:hAnsi="Times New Roman" w:cs="Times New Roman"/>
          <w:color w:val="auto"/>
          <w:highlight w:val="none"/>
          <w:lang w:eastAsia="zh-CN"/>
        </w:rPr>
        <w:t>；</w:t>
      </w:r>
    </w:p>
    <w:p w14:paraId="0BAD71D0">
      <w:pPr>
        <w:numPr>
          <w:ilvl w:val="0"/>
          <w:numId w:val="9"/>
        </w:numPr>
        <w:ind w:left="0" w:firstLine="0"/>
        <w:rPr>
          <w:rFonts w:hint="default" w:ascii="Times New Roman" w:hAnsi="Times New Roman" w:eastAsia="宋体" w:cs="Times New Roman"/>
          <w:color w:val="auto"/>
          <w:highlight w:val="none"/>
        </w:rPr>
      </w:pPr>
      <w:r>
        <w:rPr>
          <w:rFonts w:hint="default" w:ascii="Times New Roman" w:hAnsi="Times New Roman" w:cs="Times New Roman" w:eastAsiaTheme="majorEastAsia"/>
          <w:color w:val="auto"/>
          <w:highlight w:val="none"/>
        </w:rPr>
        <w:t>南盘江（曲靖市境内）流域综合规划</w:t>
      </w:r>
      <w:r>
        <w:rPr>
          <w:rFonts w:hint="default" w:ascii="Times New Roman" w:hAnsi="Times New Roman" w:cs="Times New Roman" w:eastAsiaTheme="majorEastAsia"/>
          <w:color w:val="auto"/>
          <w:highlight w:val="none"/>
          <w:lang w:eastAsia="zh-CN"/>
        </w:rPr>
        <w:t>（</w:t>
      </w:r>
      <w:r>
        <w:rPr>
          <w:rFonts w:hint="default" w:ascii="Times New Roman" w:hAnsi="Times New Roman" w:cs="Times New Roman" w:eastAsiaTheme="majorEastAsia"/>
          <w:color w:val="auto"/>
          <w:highlight w:val="none"/>
          <w:lang w:val="en-US" w:eastAsia="zh-CN"/>
        </w:rPr>
        <w:t>2026年8月</w:t>
      </w:r>
      <w:r>
        <w:rPr>
          <w:rFonts w:hint="default" w:ascii="Times New Roman" w:hAnsi="Times New Roman" w:cs="Times New Roman" w:eastAsiaTheme="majorEastAsia"/>
          <w:color w:val="auto"/>
          <w:highlight w:val="none"/>
          <w:lang w:eastAsia="zh-CN"/>
        </w:rPr>
        <w:t>）</w:t>
      </w:r>
      <w:r>
        <w:rPr>
          <w:rFonts w:hint="default" w:ascii="Times New Roman" w:hAnsi="Times New Roman" w:eastAsia="宋体" w:cs="Times New Roman"/>
          <w:color w:val="auto"/>
          <w:highlight w:val="none"/>
          <w:lang w:eastAsia="zh-CN"/>
        </w:rPr>
        <w:t>。</w:t>
      </w:r>
    </w:p>
    <w:p w14:paraId="5F678504">
      <w:pPr>
        <w:pStyle w:val="3"/>
        <w:numPr>
          <w:ilvl w:val="1"/>
          <w:numId w:val="4"/>
        </w:numPr>
        <w:spacing w:before="374" w:after="249"/>
        <w:rPr>
          <w:rFonts w:hint="default" w:ascii="Times New Roman" w:hAnsi="Times New Roman" w:eastAsia="宋体" w:cs="Times New Roman"/>
          <w:color w:val="auto"/>
          <w:highlight w:val="none"/>
        </w:rPr>
      </w:pPr>
      <w:bookmarkStart w:id="33" w:name="_Toc428770343"/>
      <w:bookmarkStart w:id="34" w:name="_Toc297401805"/>
      <w:bookmarkStart w:id="35" w:name="_Toc201331632"/>
      <w:bookmarkStart w:id="36" w:name="_Toc3161"/>
      <w:r>
        <w:rPr>
          <w:rFonts w:hint="default" w:ascii="Times New Roman" w:hAnsi="Times New Roman" w:eastAsia="宋体" w:cs="Times New Roman"/>
          <w:color w:val="auto"/>
          <w:highlight w:val="none"/>
        </w:rPr>
        <w:t>评价范围</w:t>
      </w:r>
      <w:bookmarkEnd w:id="33"/>
      <w:bookmarkEnd w:id="34"/>
      <w:r>
        <w:rPr>
          <w:rFonts w:hint="default" w:ascii="Times New Roman" w:hAnsi="Times New Roman" w:eastAsia="宋体" w:cs="Times New Roman"/>
          <w:color w:val="auto"/>
          <w:highlight w:val="none"/>
        </w:rPr>
        <w:t>及评价</w:t>
      </w:r>
      <w:bookmarkEnd w:id="35"/>
      <w:r>
        <w:rPr>
          <w:rFonts w:hint="default" w:ascii="Times New Roman" w:hAnsi="Times New Roman" w:cs="Times New Roman"/>
          <w:color w:val="auto"/>
          <w:highlight w:val="none"/>
          <w:lang w:val="en-US" w:eastAsia="zh-CN"/>
        </w:rPr>
        <w:t>时段</w:t>
      </w:r>
      <w:bookmarkEnd w:id="36"/>
    </w:p>
    <w:p w14:paraId="4E4F6C7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评价范围</w:t>
      </w:r>
    </w:p>
    <w:p w14:paraId="7255B793">
      <w:pPr>
        <w:snapToGrid w:val="0"/>
        <w:spacing w:line="360" w:lineRule="auto"/>
        <w:ind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本次规划环境影响评价的具体范围按照不同的环境要素因子划分，具体包括水资源、地表水环境、地下水环境、生态环境、土地资源、社会环境及环境敏感区。各环境要素因子评价范围见表1.4.1-1所示。</w:t>
      </w:r>
    </w:p>
    <w:p w14:paraId="5C38D1D0">
      <w:pPr>
        <w:pStyle w:val="29"/>
        <w:bidi w:val="0"/>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表1.4.1-1</w:t>
      </w:r>
      <w:r>
        <w:rPr>
          <w:rFonts w:hint="default" w:ascii="Times New Roman" w:hAnsi="Times New Roman" w:eastAsia="宋体" w:cs="Times New Roman"/>
          <w:color w:val="auto"/>
          <w:highlight w:val="none"/>
          <w:lang w:val="en-US" w:eastAsia="zh-CN"/>
        </w:rPr>
        <w:t xml:space="preserve">  </w:t>
      </w:r>
      <w:r>
        <w:rPr>
          <w:rFonts w:hint="default" w:ascii="Times New Roman" w:hAnsi="Times New Roman" w:eastAsia="宋体" w:cs="Times New Roman"/>
          <w:color w:val="auto"/>
          <w:highlight w:val="none"/>
        </w:rPr>
        <w:t>南盘江（曲靖市境内）流域综合规划环境影响评价范围一览表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6"/>
        <w:gridCol w:w="1408"/>
        <w:gridCol w:w="5958"/>
      </w:tblGrid>
      <w:tr w14:paraId="5606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blHeader/>
        </w:trPr>
        <w:tc>
          <w:tcPr>
            <w:tcW w:w="678" w:type="pct"/>
            <w:shd w:val="clear" w:color="auto" w:fill="auto"/>
            <w:vAlign w:val="center"/>
          </w:tcPr>
          <w:p w14:paraId="3C305572">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环境要素</w:t>
            </w:r>
          </w:p>
        </w:tc>
        <w:tc>
          <w:tcPr>
            <w:tcW w:w="826" w:type="pct"/>
            <w:shd w:val="clear" w:color="auto" w:fill="auto"/>
            <w:vAlign w:val="center"/>
          </w:tcPr>
          <w:p w14:paraId="254AB9B4">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环境因子</w:t>
            </w:r>
          </w:p>
        </w:tc>
        <w:tc>
          <w:tcPr>
            <w:tcW w:w="3495" w:type="pct"/>
            <w:shd w:val="clear" w:color="auto" w:fill="auto"/>
            <w:vAlign w:val="center"/>
          </w:tcPr>
          <w:p w14:paraId="3EC2E636">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评价范围</w:t>
            </w:r>
          </w:p>
        </w:tc>
      </w:tr>
      <w:tr w14:paraId="5FB5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678" w:type="pct"/>
            <w:vMerge w:val="restart"/>
            <w:shd w:val="clear" w:color="auto" w:fill="auto"/>
            <w:vAlign w:val="center"/>
          </w:tcPr>
          <w:p w14:paraId="542EC7D6">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水资源</w:t>
            </w:r>
          </w:p>
        </w:tc>
        <w:tc>
          <w:tcPr>
            <w:tcW w:w="826" w:type="pct"/>
            <w:shd w:val="clear" w:color="auto" w:fill="auto"/>
            <w:vAlign w:val="center"/>
          </w:tcPr>
          <w:p w14:paraId="21B540B3">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水文情势</w:t>
            </w:r>
          </w:p>
        </w:tc>
        <w:tc>
          <w:tcPr>
            <w:tcW w:w="3495" w:type="pct"/>
            <w:shd w:val="clear" w:color="auto" w:fill="auto"/>
            <w:vAlign w:val="center"/>
          </w:tcPr>
          <w:p w14:paraId="417FD258">
            <w:pPr>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规划范围为南盘江</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曲靖市境内</w:t>
            </w:r>
            <w:r>
              <w:rPr>
                <w:rFonts w:hint="default" w:ascii="Times New Roman" w:hAnsi="Times New Roman"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全流域，重点调查南盘江干流、</w:t>
            </w:r>
            <w:r>
              <w:rPr>
                <w:rFonts w:hint="default" w:ascii="Times New Roman" w:hAnsi="Times New Roman" w:cs="Times New Roman"/>
                <w:color w:val="auto"/>
                <w:kern w:val="0"/>
                <w:sz w:val="21"/>
                <w:szCs w:val="21"/>
                <w:highlight w:val="none"/>
                <w:lang w:val="en-US" w:eastAsia="zh-CN"/>
              </w:rPr>
              <w:t>甸溪河、九龙河、多依河、</w:t>
            </w:r>
            <w:r>
              <w:rPr>
                <w:rFonts w:hint="default" w:ascii="Times New Roman" w:hAnsi="Times New Roman" w:eastAsia="宋体" w:cs="Times New Roman"/>
                <w:color w:val="auto"/>
                <w:kern w:val="0"/>
                <w:sz w:val="21"/>
                <w:szCs w:val="21"/>
                <w:highlight w:val="none"/>
              </w:rPr>
              <w:t>黄泥河</w:t>
            </w:r>
            <w:r>
              <w:rPr>
                <w:rFonts w:hint="default" w:ascii="Times New Roman" w:hAnsi="Times New Roman" w:cs="Times New Roman"/>
                <w:color w:val="auto"/>
                <w:kern w:val="0"/>
                <w:sz w:val="21"/>
                <w:szCs w:val="21"/>
                <w:highlight w:val="none"/>
                <w:lang w:val="en-US" w:eastAsia="zh-CN"/>
              </w:rPr>
              <w:t>等</w:t>
            </w:r>
            <w:r>
              <w:rPr>
                <w:rFonts w:hint="default" w:ascii="Times New Roman" w:hAnsi="Times New Roman" w:eastAsia="宋体" w:cs="Times New Roman"/>
                <w:color w:val="auto"/>
                <w:kern w:val="0"/>
                <w:sz w:val="21"/>
                <w:szCs w:val="21"/>
                <w:highlight w:val="none"/>
              </w:rPr>
              <w:t>。</w:t>
            </w:r>
          </w:p>
        </w:tc>
      </w:tr>
      <w:tr w14:paraId="3238C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678" w:type="pct"/>
            <w:vMerge w:val="continue"/>
            <w:shd w:val="clear" w:color="auto" w:fill="auto"/>
            <w:vAlign w:val="center"/>
          </w:tcPr>
          <w:p w14:paraId="4768FFE2">
            <w:pPr>
              <w:widowControl/>
              <w:snapToGrid w:val="0"/>
              <w:spacing w:line="300" w:lineRule="exact"/>
              <w:jc w:val="left"/>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222D6429">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水资源</w:t>
            </w:r>
          </w:p>
        </w:tc>
        <w:tc>
          <w:tcPr>
            <w:tcW w:w="3495" w:type="pct"/>
            <w:shd w:val="clear" w:color="auto" w:fill="auto"/>
            <w:vAlign w:val="center"/>
          </w:tcPr>
          <w:p w14:paraId="42683151">
            <w:pPr>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规划范围为南盘江</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lang w:val="en-US" w:eastAsia="zh-CN"/>
              </w:rPr>
              <w:t>曲靖市境内</w:t>
            </w:r>
            <w:r>
              <w:rPr>
                <w:rFonts w:hint="default" w:ascii="Times New Roman" w:hAnsi="Times New Roman"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全流域，重点调查南盘江干流、</w:t>
            </w:r>
            <w:r>
              <w:rPr>
                <w:rFonts w:hint="default" w:ascii="Times New Roman" w:hAnsi="Times New Roman" w:cs="Times New Roman"/>
                <w:color w:val="auto"/>
                <w:kern w:val="0"/>
                <w:sz w:val="21"/>
                <w:szCs w:val="21"/>
                <w:highlight w:val="none"/>
                <w:lang w:val="en-US" w:eastAsia="zh-CN"/>
              </w:rPr>
              <w:t>甸溪河、九龙河、多依河、</w:t>
            </w:r>
            <w:r>
              <w:rPr>
                <w:rFonts w:hint="default" w:ascii="Times New Roman" w:hAnsi="Times New Roman" w:eastAsia="宋体" w:cs="Times New Roman"/>
                <w:color w:val="auto"/>
                <w:kern w:val="0"/>
                <w:sz w:val="21"/>
                <w:szCs w:val="21"/>
                <w:highlight w:val="none"/>
              </w:rPr>
              <w:t>黄泥河</w:t>
            </w:r>
            <w:r>
              <w:rPr>
                <w:rFonts w:hint="default" w:ascii="Times New Roman" w:hAnsi="Times New Roman" w:cs="Times New Roman"/>
                <w:color w:val="auto"/>
                <w:kern w:val="0"/>
                <w:sz w:val="21"/>
                <w:szCs w:val="21"/>
                <w:highlight w:val="none"/>
                <w:lang w:val="en-US" w:eastAsia="zh-CN"/>
              </w:rPr>
              <w:t>等</w:t>
            </w:r>
            <w:r>
              <w:rPr>
                <w:rFonts w:hint="default" w:ascii="Times New Roman" w:hAnsi="Times New Roman" w:eastAsia="宋体" w:cs="Times New Roman"/>
                <w:color w:val="auto"/>
                <w:kern w:val="0"/>
                <w:sz w:val="21"/>
                <w:szCs w:val="21"/>
                <w:highlight w:val="none"/>
              </w:rPr>
              <w:t>。</w:t>
            </w:r>
          </w:p>
        </w:tc>
      </w:tr>
      <w:tr w14:paraId="4A520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678" w:type="pct"/>
            <w:vMerge w:val="restart"/>
            <w:shd w:val="clear" w:color="auto" w:fill="auto"/>
            <w:vAlign w:val="center"/>
          </w:tcPr>
          <w:p w14:paraId="27E427AA">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地表</w:t>
            </w:r>
          </w:p>
          <w:p w14:paraId="4669D33F">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水环境</w:t>
            </w:r>
          </w:p>
        </w:tc>
        <w:tc>
          <w:tcPr>
            <w:tcW w:w="826" w:type="pct"/>
            <w:shd w:val="clear" w:color="auto" w:fill="auto"/>
            <w:vAlign w:val="center"/>
          </w:tcPr>
          <w:p w14:paraId="64D9FED6">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水温</w:t>
            </w:r>
          </w:p>
        </w:tc>
        <w:tc>
          <w:tcPr>
            <w:tcW w:w="3495" w:type="pct"/>
            <w:shd w:val="clear" w:color="auto" w:fill="auto"/>
            <w:vAlign w:val="center"/>
          </w:tcPr>
          <w:p w14:paraId="1A12479D">
            <w:pPr>
              <w:snapToGrid w:val="0"/>
              <w:spacing w:line="300" w:lineRule="exact"/>
              <w:jc w:val="left"/>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流域内规划扩建、新建的</w:t>
            </w:r>
            <w:r>
              <w:rPr>
                <w:rFonts w:hint="eastAsia" w:cs="Times New Roman"/>
                <w:color w:val="auto"/>
                <w:kern w:val="0"/>
                <w:sz w:val="21"/>
                <w:szCs w:val="21"/>
                <w:highlight w:val="none"/>
                <w:lang w:val="en-US" w:eastAsia="zh-CN"/>
              </w:rPr>
              <w:t>重点</w:t>
            </w:r>
            <w:r>
              <w:rPr>
                <w:rFonts w:hint="default" w:ascii="Times New Roman" w:hAnsi="Times New Roman" w:eastAsia="宋体" w:cs="Times New Roman"/>
                <w:color w:val="auto"/>
                <w:kern w:val="0"/>
                <w:sz w:val="21"/>
                <w:szCs w:val="21"/>
                <w:highlight w:val="none"/>
              </w:rPr>
              <w:t>水库工程</w:t>
            </w:r>
            <w:r>
              <w:rPr>
                <w:rFonts w:hint="default" w:ascii="Times New Roman" w:hAnsi="Times New Roman" w:cs="Times New Roman"/>
                <w:color w:val="auto"/>
                <w:kern w:val="0"/>
                <w:sz w:val="21"/>
                <w:szCs w:val="21"/>
                <w:highlight w:val="none"/>
                <w:lang w:eastAsia="zh-CN"/>
              </w:rPr>
              <w:t>。</w:t>
            </w:r>
          </w:p>
        </w:tc>
      </w:tr>
      <w:tr w14:paraId="0A54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8" w:type="pct"/>
            <w:vMerge w:val="continue"/>
            <w:vAlign w:val="center"/>
          </w:tcPr>
          <w:p w14:paraId="48C117B8">
            <w:pPr>
              <w:widowControl/>
              <w:snapToGrid w:val="0"/>
              <w:spacing w:line="300" w:lineRule="exact"/>
              <w:jc w:val="left"/>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32B7B720">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水质</w:t>
            </w:r>
          </w:p>
        </w:tc>
        <w:tc>
          <w:tcPr>
            <w:tcW w:w="3495" w:type="pct"/>
            <w:shd w:val="clear" w:color="auto" w:fill="auto"/>
            <w:vAlign w:val="center"/>
          </w:tcPr>
          <w:p w14:paraId="4CF912D4">
            <w:pPr>
              <w:widowControl/>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规划范围内</w:t>
            </w:r>
            <w:r>
              <w:rPr>
                <w:rFonts w:hint="default" w:ascii="Times New Roman" w:hAnsi="Times New Roman" w:cs="Times New Roman"/>
                <w:color w:val="auto"/>
                <w:kern w:val="0"/>
                <w:sz w:val="21"/>
                <w:szCs w:val="21"/>
                <w:highlight w:val="none"/>
                <w:lang w:val="en-US" w:eastAsia="zh-CN"/>
              </w:rPr>
              <w:t>河流、湖库水质</w:t>
            </w:r>
            <w:r>
              <w:rPr>
                <w:rFonts w:hint="default" w:ascii="Times New Roman" w:hAnsi="Times New Roman" w:eastAsia="宋体" w:cs="Times New Roman"/>
                <w:color w:val="auto"/>
                <w:kern w:val="0"/>
                <w:sz w:val="21"/>
                <w:szCs w:val="21"/>
                <w:highlight w:val="none"/>
              </w:rPr>
              <w:t>。重点为规划拟建</w:t>
            </w:r>
            <w:r>
              <w:rPr>
                <w:rFonts w:hint="default" w:ascii="Times New Roman" w:hAnsi="Times New Roman" w:cs="Times New Roman"/>
                <w:color w:val="auto"/>
                <w:kern w:val="0"/>
                <w:sz w:val="21"/>
                <w:szCs w:val="21"/>
                <w:highlight w:val="none"/>
                <w:lang w:val="en-US" w:eastAsia="zh-CN"/>
              </w:rPr>
              <w:t>水源工程</w:t>
            </w:r>
            <w:r>
              <w:rPr>
                <w:rFonts w:hint="default" w:ascii="Times New Roman" w:hAnsi="Times New Roman" w:eastAsia="宋体" w:cs="Times New Roman"/>
                <w:color w:val="auto"/>
                <w:kern w:val="0"/>
                <w:sz w:val="21"/>
                <w:szCs w:val="21"/>
                <w:highlight w:val="none"/>
              </w:rPr>
              <w:t>及坝下减水河段和灌区。</w:t>
            </w:r>
          </w:p>
        </w:tc>
      </w:tr>
      <w:tr w14:paraId="6304D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trPr>
        <w:tc>
          <w:tcPr>
            <w:tcW w:w="678" w:type="pct"/>
            <w:vAlign w:val="center"/>
          </w:tcPr>
          <w:p w14:paraId="014D27EB">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地下</w:t>
            </w:r>
          </w:p>
          <w:p w14:paraId="58209D35">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水环境</w:t>
            </w:r>
          </w:p>
        </w:tc>
        <w:tc>
          <w:tcPr>
            <w:tcW w:w="826" w:type="pct"/>
            <w:shd w:val="clear" w:color="auto" w:fill="auto"/>
            <w:vAlign w:val="center"/>
          </w:tcPr>
          <w:p w14:paraId="763BD105">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水位、水质</w:t>
            </w:r>
          </w:p>
        </w:tc>
        <w:tc>
          <w:tcPr>
            <w:tcW w:w="3495" w:type="pct"/>
            <w:shd w:val="clear" w:color="auto" w:fill="auto"/>
            <w:vAlign w:val="center"/>
          </w:tcPr>
          <w:p w14:paraId="6FCE93B1">
            <w:pPr>
              <w:widowControl/>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规划区所在的地下水文地质单元，规划建设工程及输水线路区及边界外延200m以内区域。重点关注集中式饮用水源地。</w:t>
            </w:r>
          </w:p>
        </w:tc>
      </w:tr>
      <w:tr w14:paraId="4639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78" w:type="pct"/>
            <w:vMerge w:val="restart"/>
            <w:shd w:val="clear" w:color="auto" w:fill="auto"/>
            <w:vAlign w:val="center"/>
          </w:tcPr>
          <w:p w14:paraId="30D063CE">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生态</w:t>
            </w:r>
          </w:p>
        </w:tc>
        <w:tc>
          <w:tcPr>
            <w:tcW w:w="826" w:type="pct"/>
            <w:shd w:val="clear" w:color="auto" w:fill="auto"/>
            <w:vAlign w:val="center"/>
          </w:tcPr>
          <w:p w14:paraId="45919CF1">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陆生生态</w:t>
            </w:r>
          </w:p>
        </w:tc>
        <w:tc>
          <w:tcPr>
            <w:tcW w:w="3495" w:type="pct"/>
            <w:shd w:val="clear" w:color="auto" w:fill="auto"/>
            <w:vAlign w:val="center"/>
          </w:tcPr>
          <w:p w14:paraId="7E3EB1D9">
            <w:pPr>
              <w:widowControl/>
              <w:snapToGrid w:val="0"/>
              <w:spacing w:line="300" w:lineRule="exact"/>
              <w:jc w:val="left"/>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规划范围</w:t>
            </w:r>
            <w:r>
              <w:rPr>
                <w:rFonts w:hint="default" w:ascii="Times New Roman" w:hAnsi="Times New Roman"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rPr>
              <w:t>重点为规划工程占地区</w:t>
            </w:r>
            <w:r>
              <w:rPr>
                <w:rFonts w:hint="default" w:ascii="Times New Roman" w:hAnsi="Times New Roman" w:eastAsia="宋体" w:cs="Times New Roman"/>
                <w:color w:val="auto"/>
                <w:kern w:val="0"/>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rPr>
              <w:t>淹没区、减水区、</w:t>
            </w:r>
            <w:r>
              <w:rPr>
                <w:rFonts w:hint="default" w:ascii="Times New Roman" w:hAnsi="Times New Roman" w:eastAsia="宋体" w:cs="Times New Roman"/>
                <w:color w:val="auto"/>
                <w:kern w:val="0"/>
                <w:sz w:val="21"/>
                <w:szCs w:val="21"/>
                <w:highlight w:val="none"/>
              </w:rPr>
              <w:t>受水区</w:t>
            </w:r>
            <w:r>
              <w:rPr>
                <w:rFonts w:hint="default" w:ascii="Times New Roman" w:hAnsi="Times New Roman" w:eastAsia="宋体" w:cs="Times New Roman"/>
                <w:color w:val="auto"/>
                <w:kern w:val="0"/>
                <w:sz w:val="21"/>
                <w:szCs w:val="21"/>
                <w:highlight w:val="none"/>
                <w:lang w:val="en-US" w:eastAsia="zh-CN"/>
              </w:rPr>
              <w:t>和</w:t>
            </w:r>
            <w:r>
              <w:rPr>
                <w:rFonts w:hint="default" w:ascii="Times New Roman" w:hAnsi="Times New Roman" w:eastAsia="宋体" w:cs="Times New Roman"/>
                <w:color w:val="auto"/>
                <w:kern w:val="0"/>
                <w:sz w:val="21"/>
                <w:szCs w:val="21"/>
                <w:highlight w:val="none"/>
              </w:rPr>
              <w:t>灌区范围</w:t>
            </w:r>
            <w:r>
              <w:rPr>
                <w:rFonts w:hint="default" w:ascii="Times New Roman" w:hAnsi="Times New Roman" w:eastAsia="宋体" w:cs="Times New Roman"/>
                <w:color w:val="auto"/>
                <w:kern w:val="0"/>
                <w:sz w:val="21"/>
                <w:szCs w:val="21"/>
                <w:highlight w:val="none"/>
                <w:lang w:eastAsia="zh-CN"/>
              </w:rPr>
              <w:t>。</w:t>
            </w:r>
          </w:p>
        </w:tc>
      </w:tr>
      <w:tr w14:paraId="47B36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78" w:type="pct"/>
            <w:vMerge w:val="continue"/>
            <w:shd w:val="clear" w:color="auto" w:fill="auto"/>
            <w:vAlign w:val="center"/>
          </w:tcPr>
          <w:p w14:paraId="32557F5D">
            <w:pPr>
              <w:widowControl/>
              <w:snapToGrid w:val="0"/>
              <w:spacing w:line="300" w:lineRule="exact"/>
              <w:jc w:val="left"/>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1503E390">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水生生态</w:t>
            </w:r>
          </w:p>
        </w:tc>
        <w:tc>
          <w:tcPr>
            <w:tcW w:w="3495" w:type="pct"/>
            <w:shd w:val="clear" w:color="auto" w:fill="auto"/>
            <w:vAlign w:val="center"/>
          </w:tcPr>
          <w:p w14:paraId="513DB772">
            <w:pPr>
              <w:widowControl/>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规划范围</w:t>
            </w:r>
            <w:r>
              <w:rPr>
                <w:rFonts w:hint="default" w:ascii="Times New Roman" w:hAnsi="Times New Roman" w:eastAsia="宋体" w:cs="Times New Roman"/>
                <w:color w:val="auto"/>
                <w:kern w:val="0"/>
                <w:sz w:val="21"/>
                <w:szCs w:val="21"/>
                <w:highlight w:val="none"/>
                <w:lang w:val="en-US" w:eastAsia="zh-CN"/>
              </w:rPr>
              <w:t>内河流、湖库，</w:t>
            </w:r>
            <w:r>
              <w:rPr>
                <w:rFonts w:hint="default" w:ascii="Times New Roman" w:hAnsi="Times New Roman" w:eastAsia="宋体" w:cs="Times New Roman"/>
                <w:color w:val="auto"/>
                <w:kern w:val="0"/>
                <w:sz w:val="21"/>
                <w:szCs w:val="21"/>
                <w:highlight w:val="none"/>
              </w:rPr>
              <w:t>重点</w:t>
            </w:r>
            <w:r>
              <w:rPr>
                <w:rFonts w:hint="default" w:ascii="Times New Roman" w:hAnsi="Times New Roman" w:eastAsia="宋体" w:cs="Times New Roman"/>
                <w:color w:val="auto"/>
                <w:kern w:val="0"/>
                <w:sz w:val="21"/>
                <w:szCs w:val="21"/>
                <w:highlight w:val="none"/>
                <w:lang w:val="en-US" w:eastAsia="zh-CN"/>
              </w:rPr>
              <w:t>评价工程所在河段，包括</w:t>
            </w:r>
            <w:r>
              <w:rPr>
                <w:rFonts w:hint="default" w:ascii="Times New Roman" w:hAnsi="Times New Roman" w:eastAsia="宋体" w:cs="Times New Roman"/>
                <w:color w:val="auto"/>
                <w:kern w:val="0"/>
                <w:sz w:val="21"/>
                <w:szCs w:val="21"/>
                <w:highlight w:val="none"/>
              </w:rPr>
              <w:t>南盘江干流、</w:t>
            </w:r>
            <w:r>
              <w:rPr>
                <w:rFonts w:hint="default" w:ascii="Times New Roman" w:hAnsi="Times New Roman" w:cs="Times New Roman"/>
                <w:color w:val="auto"/>
                <w:kern w:val="0"/>
                <w:sz w:val="21"/>
                <w:szCs w:val="21"/>
                <w:highlight w:val="none"/>
                <w:lang w:val="en-US" w:eastAsia="zh-CN"/>
              </w:rPr>
              <w:t>甸溪河、九龙河、多依河、</w:t>
            </w:r>
            <w:r>
              <w:rPr>
                <w:rFonts w:hint="default" w:ascii="Times New Roman" w:hAnsi="Times New Roman" w:eastAsia="宋体" w:cs="Times New Roman"/>
                <w:color w:val="auto"/>
                <w:kern w:val="0"/>
                <w:sz w:val="21"/>
                <w:szCs w:val="21"/>
                <w:highlight w:val="none"/>
              </w:rPr>
              <w:t>黄泥河</w:t>
            </w:r>
            <w:r>
              <w:rPr>
                <w:rFonts w:hint="default" w:ascii="Times New Roman" w:hAnsi="Times New Roman" w:cs="Times New Roman"/>
                <w:color w:val="auto"/>
                <w:kern w:val="0"/>
                <w:sz w:val="21"/>
                <w:szCs w:val="21"/>
                <w:highlight w:val="none"/>
                <w:lang w:val="en-US" w:eastAsia="zh-CN"/>
              </w:rPr>
              <w:t>等</w:t>
            </w:r>
            <w:r>
              <w:rPr>
                <w:rFonts w:hint="default" w:ascii="Times New Roman" w:hAnsi="Times New Roman" w:eastAsia="宋体" w:cs="Times New Roman"/>
                <w:color w:val="auto"/>
                <w:kern w:val="0"/>
                <w:sz w:val="21"/>
                <w:szCs w:val="21"/>
                <w:highlight w:val="none"/>
              </w:rPr>
              <w:t>。</w:t>
            </w:r>
          </w:p>
        </w:tc>
      </w:tr>
      <w:tr w14:paraId="2BC85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78" w:type="pct"/>
            <w:vMerge w:val="continue"/>
            <w:shd w:val="clear" w:color="auto" w:fill="auto"/>
            <w:vAlign w:val="center"/>
          </w:tcPr>
          <w:p w14:paraId="48EBF231">
            <w:pPr>
              <w:widowControl/>
              <w:snapToGrid w:val="0"/>
              <w:spacing w:line="300" w:lineRule="exact"/>
              <w:jc w:val="left"/>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1EB711AD">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水土流失</w:t>
            </w:r>
          </w:p>
        </w:tc>
        <w:tc>
          <w:tcPr>
            <w:tcW w:w="3495" w:type="pct"/>
            <w:shd w:val="clear" w:color="auto" w:fill="auto"/>
            <w:vAlign w:val="center"/>
          </w:tcPr>
          <w:p w14:paraId="702DE573">
            <w:pPr>
              <w:widowControl/>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重点对规划区水土流失重点防治区</w:t>
            </w:r>
            <w:r>
              <w:rPr>
                <w:rFonts w:hint="default" w:ascii="Times New Roman" w:hAnsi="Times New Roman" w:cs="Times New Roman"/>
                <w:color w:val="auto"/>
                <w:kern w:val="0"/>
                <w:sz w:val="21"/>
                <w:szCs w:val="21"/>
                <w:highlight w:val="none"/>
                <w:lang w:eastAsia="zh-CN"/>
              </w:rPr>
              <w:t>进行</w:t>
            </w:r>
            <w:r>
              <w:rPr>
                <w:rFonts w:hint="eastAsia" w:cs="Times New Roman"/>
                <w:color w:val="auto"/>
                <w:kern w:val="0"/>
                <w:sz w:val="21"/>
                <w:szCs w:val="21"/>
                <w:highlight w:val="none"/>
                <w:lang w:val="en-US" w:eastAsia="zh-CN"/>
              </w:rPr>
              <w:t>评价</w:t>
            </w:r>
            <w:r>
              <w:rPr>
                <w:rFonts w:hint="default" w:ascii="Times New Roman" w:hAnsi="Times New Roman" w:eastAsia="宋体" w:cs="Times New Roman"/>
                <w:color w:val="auto"/>
                <w:kern w:val="0"/>
                <w:sz w:val="21"/>
                <w:szCs w:val="21"/>
                <w:highlight w:val="none"/>
              </w:rPr>
              <w:t>。</w:t>
            </w:r>
          </w:p>
        </w:tc>
      </w:tr>
      <w:tr w14:paraId="0C962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78" w:type="pct"/>
            <w:vMerge w:val="restart"/>
            <w:vAlign w:val="center"/>
          </w:tcPr>
          <w:p w14:paraId="5A701473">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土地</w:t>
            </w:r>
          </w:p>
          <w:p w14:paraId="3EDF3AD6">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资源</w:t>
            </w:r>
          </w:p>
        </w:tc>
        <w:tc>
          <w:tcPr>
            <w:tcW w:w="826" w:type="pct"/>
            <w:shd w:val="clear" w:color="auto" w:fill="auto"/>
            <w:vAlign w:val="center"/>
          </w:tcPr>
          <w:p w14:paraId="14E0F784">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土地利用</w:t>
            </w:r>
          </w:p>
        </w:tc>
        <w:tc>
          <w:tcPr>
            <w:tcW w:w="3495" w:type="pct"/>
            <w:shd w:val="clear" w:color="auto" w:fill="auto"/>
            <w:vAlign w:val="center"/>
          </w:tcPr>
          <w:p w14:paraId="15843947">
            <w:pPr>
              <w:widowControl/>
              <w:snapToGrid w:val="0"/>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规划</w:t>
            </w:r>
            <w:r>
              <w:rPr>
                <w:rFonts w:hint="default" w:ascii="Times New Roman" w:hAnsi="Times New Roman" w:eastAsia="宋体" w:cs="Times New Roman"/>
                <w:color w:val="auto"/>
                <w:kern w:val="0"/>
                <w:sz w:val="21"/>
                <w:szCs w:val="21"/>
                <w:highlight w:val="none"/>
                <w:lang w:val="en-US" w:eastAsia="zh-CN"/>
              </w:rPr>
              <w:t>范围，重点为</w:t>
            </w:r>
            <w:r>
              <w:rPr>
                <w:rFonts w:hint="default" w:ascii="Times New Roman" w:hAnsi="Times New Roman" w:eastAsia="宋体" w:cs="Times New Roman"/>
                <w:color w:val="auto"/>
                <w:kern w:val="0"/>
                <w:sz w:val="21"/>
                <w:szCs w:val="21"/>
                <w:highlight w:val="none"/>
              </w:rPr>
              <w:t>各规划工程的建设</w:t>
            </w:r>
            <w:r>
              <w:rPr>
                <w:rFonts w:hint="default" w:ascii="Times New Roman" w:hAnsi="Times New Roman" w:cs="Times New Roman"/>
                <w:color w:val="auto"/>
                <w:kern w:val="0"/>
                <w:sz w:val="21"/>
                <w:szCs w:val="21"/>
                <w:highlight w:val="none"/>
                <w:lang w:eastAsia="zh-CN"/>
              </w:rPr>
              <w:t>区域</w:t>
            </w:r>
            <w:r>
              <w:rPr>
                <w:rFonts w:hint="default" w:ascii="Times New Roman" w:hAnsi="Times New Roman" w:eastAsia="宋体" w:cs="Times New Roman"/>
                <w:color w:val="auto"/>
                <w:kern w:val="0"/>
                <w:sz w:val="21"/>
                <w:szCs w:val="21"/>
                <w:highlight w:val="none"/>
              </w:rPr>
              <w:t>。</w:t>
            </w:r>
          </w:p>
        </w:tc>
      </w:tr>
      <w:tr w14:paraId="10BD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78" w:type="pct"/>
            <w:vMerge w:val="continue"/>
            <w:vAlign w:val="center"/>
          </w:tcPr>
          <w:p w14:paraId="7A44AE78">
            <w:pPr>
              <w:widowControl/>
              <w:snapToGrid w:val="0"/>
              <w:spacing w:line="300" w:lineRule="exact"/>
              <w:jc w:val="left"/>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37E62968">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土壤环境</w:t>
            </w:r>
          </w:p>
        </w:tc>
        <w:tc>
          <w:tcPr>
            <w:tcW w:w="3495" w:type="pct"/>
            <w:shd w:val="clear" w:color="auto" w:fill="auto"/>
            <w:vAlign w:val="center"/>
          </w:tcPr>
          <w:p w14:paraId="13CF3F58">
            <w:pPr>
              <w:widowControl/>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cs="Times New Roman"/>
                <w:color w:val="auto"/>
                <w:kern w:val="0"/>
                <w:sz w:val="21"/>
                <w:szCs w:val="21"/>
                <w:highlight w:val="none"/>
                <w:lang w:val="en-US" w:eastAsia="zh-CN"/>
              </w:rPr>
              <w:t>规划</w:t>
            </w:r>
            <w:r>
              <w:rPr>
                <w:rFonts w:hint="default" w:ascii="Times New Roman" w:hAnsi="Times New Roman" w:eastAsia="宋体" w:cs="Times New Roman"/>
                <w:color w:val="auto"/>
                <w:kern w:val="0"/>
                <w:sz w:val="21"/>
                <w:szCs w:val="21"/>
                <w:highlight w:val="none"/>
                <w:lang w:val="en-US" w:eastAsia="zh-CN"/>
              </w:rPr>
              <w:t>范围，重点为水源工程占地范围及占地范围影响区。</w:t>
            </w:r>
          </w:p>
        </w:tc>
      </w:tr>
      <w:tr w14:paraId="0CB2C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678" w:type="pct"/>
            <w:vMerge w:val="restart"/>
            <w:shd w:val="clear" w:color="auto" w:fill="auto"/>
            <w:vAlign w:val="center"/>
          </w:tcPr>
          <w:p w14:paraId="19B74B47">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社会</w:t>
            </w:r>
          </w:p>
          <w:p w14:paraId="77583715">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环境</w:t>
            </w:r>
          </w:p>
        </w:tc>
        <w:tc>
          <w:tcPr>
            <w:tcW w:w="826" w:type="pct"/>
            <w:shd w:val="clear" w:color="auto" w:fill="auto"/>
            <w:vAlign w:val="center"/>
          </w:tcPr>
          <w:p w14:paraId="0E462375">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社会经济</w:t>
            </w:r>
          </w:p>
        </w:tc>
        <w:tc>
          <w:tcPr>
            <w:tcW w:w="3495" w:type="pct"/>
            <w:shd w:val="clear" w:color="auto" w:fill="auto"/>
            <w:vAlign w:val="center"/>
          </w:tcPr>
          <w:p w14:paraId="33CAF8AD">
            <w:pPr>
              <w:widowControl/>
              <w:snapToGrid w:val="0"/>
              <w:spacing w:line="300" w:lineRule="exact"/>
              <w:jc w:val="left"/>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麒麟区、沾益区、马龙区、罗平县、富源县、陆良县、师宗县。</w:t>
            </w:r>
          </w:p>
        </w:tc>
      </w:tr>
      <w:tr w14:paraId="77C9A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678" w:type="pct"/>
            <w:vMerge w:val="continue"/>
            <w:shd w:val="clear" w:color="auto" w:fill="auto"/>
            <w:vAlign w:val="center"/>
          </w:tcPr>
          <w:p w14:paraId="26759D36">
            <w:pPr>
              <w:widowControl/>
              <w:snapToGrid w:val="0"/>
              <w:spacing w:line="300" w:lineRule="exact"/>
              <w:jc w:val="center"/>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091CDD50">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民族文化</w:t>
            </w:r>
          </w:p>
        </w:tc>
        <w:tc>
          <w:tcPr>
            <w:tcW w:w="3495" w:type="pct"/>
            <w:shd w:val="clear" w:color="auto" w:fill="auto"/>
          </w:tcPr>
          <w:p w14:paraId="3362FE7C">
            <w:pPr>
              <w:widowControl/>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爨文化、珠江源文化、铜商文化、古驿道文化、少数民族文化等丰富多元的历史文化特色。</w:t>
            </w:r>
          </w:p>
        </w:tc>
      </w:tr>
      <w:tr w14:paraId="3AA51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78" w:type="pct"/>
            <w:vMerge w:val="continue"/>
            <w:vAlign w:val="center"/>
          </w:tcPr>
          <w:p w14:paraId="42BD12A3">
            <w:pPr>
              <w:widowControl/>
              <w:snapToGrid w:val="0"/>
              <w:spacing w:line="300" w:lineRule="exact"/>
              <w:jc w:val="left"/>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6A80E1E9">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人群健康</w:t>
            </w:r>
          </w:p>
        </w:tc>
        <w:tc>
          <w:tcPr>
            <w:tcW w:w="3495" w:type="pct"/>
            <w:shd w:val="clear" w:color="auto" w:fill="auto"/>
            <w:vAlign w:val="center"/>
          </w:tcPr>
          <w:p w14:paraId="6D679AA8">
            <w:pPr>
              <w:widowControl/>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重点为移民安置、规划建设项目施工区。</w:t>
            </w:r>
          </w:p>
        </w:tc>
      </w:tr>
      <w:tr w14:paraId="131C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78" w:type="pct"/>
            <w:vMerge w:val="continue"/>
            <w:vAlign w:val="center"/>
          </w:tcPr>
          <w:p w14:paraId="56C34834">
            <w:pPr>
              <w:widowControl/>
              <w:snapToGrid w:val="0"/>
              <w:spacing w:line="300" w:lineRule="exact"/>
              <w:jc w:val="left"/>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1CB5C59D">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文物保护单位</w:t>
            </w:r>
          </w:p>
        </w:tc>
        <w:tc>
          <w:tcPr>
            <w:tcW w:w="3495" w:type="pct"/>
            <w:shd w:val="clear" w:color="auto" w:fill="auto"/>
            <w:vAlign w:val="center"/>
          </w:tcPr>
          <w:p w14:paraId="046ADFE5">
            <w:pPr>
              <w:widowControl/>
              <w:snapToGrid w:val="0"/>
              <w:spacing w:line="300" w:lineRule="exact"/>
              <w:jc w:val="left"/>
              <w:rPr>
                <w:rFonts w:hint="default" w:ascii="Times New Roman" w:hAnsi="Times New Roman" w:eastAsia="宋体" w:cs="Times New Roman"/>
                <w:color w:val="auto"/>
                <w:kern w:val="0"/>
                <w:sz w:val="21"/>
                <w:szCs w:val="21"/>
                <w:highlight w:val="none"/>
                <w:lang w:eastAsia="zh-CN"/>
              </w:rPr>
            </w:pPr>
            <w:r>
              <w:rPr>
                <w:rFonts w:hint="default" w:ascii="Times New Roman" w:hAnsi="Times New Roman" w:eastAsia="宋体" w:cs="Times New Roman"/>
                <w:color w:val="auto"/>
                <w:kern w:val="0"/>
                <w:sz w:val="21"/>
                <w:szCs w:val="21"/>
                <w:highlight w:val="none"/>
              </w:rPr>
              <w:t>规划范围内的文物保护单位</w:t>
            </w:r>
            <w:r>
              <w:rPr>
                <w:rFonts w:hint="default" w:ascii="Times New Roman" w:hAnsi="Times New Roman" w:cs="Times New Roman"/>
                <w:color w:val="auto"/>
                <w:kern w:val="0"/>
                <w:sz w:val="21"/>
                <w:szCs w:val="21"/>
                <w:highlight w:val="none"/>
                <w:lang w:eastAsia="zh-CN"/>
              </w:rPr>
              <w:t>。</w:t>
            </w:r>
          </w:p>
        </w:tc>
      </w:tr>
      <w:tr w14:paraId="5B2AF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678" w:type="pct"/>
            <w:vMerge w:val="restart"/>
            <w:vAlign w:val="center"/>
          </w:tcPr>
          <w:p w14:paraId="15546360">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环境</w:t>
            </w:r>
          </w:p>
          <w:p w14:paraId="24EF939C">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敏感区</w:t>
            </w:r>
          </w:p>
        </w:tc>
        <w:tc>
          <w:tcPr>
            <w:tcW w:w="826" w:type="pct"/>
            <w:shd w:val="clear" w:color="auto" w:fill="auto"/>
            <w:vAlign w:val="center"/>
          </w:tcPr>
          <w:p w14:paraId="56EDCCC4">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自然保护地</w:t>
            </w:r>
          </w:p>
        </w:tc>
        <w:tc>
          <w:tcPr>
            <w:tcW w:w="3495" w:type="pct"/>
            <w:shd w:val="clear" w:color="auto" w:fill="auto"/>
            <w:vAlign w:val="center"/>
          </w:tcPr>
          <w:p w14:paraId="4F3243FA">
            <w:pPr>
              <w:widowControl/>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富源十八连山省级自然保护区等15处自然保护区，珠江源省级风景名胜区等5处风景名胜区，云南鲁布革国家森林公园等4处森林公园，云南罗平生物群国家地质公园、云南沾益西河国家湿地公园、云南陆良彩色沙林国家沙漠公园。</w:t>
            </w:r>
          </w:p>
        </w:tc>
      </w:tr>
      <w:tr w14:paraId="7DC1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678" w:type="pct"/>
            <w:vMerge w:val="continue"/>
            <w:vAlign w:val="center"/>
          </w:tcPr>
          <w:p w14:paraId="3D2FE00C">
            <w:pPr>
              <w:widowControl/>
              <w:snapToGrid w:val="0"/>
              <w:spacing w:line="300" w:lineRule="exact"/>
              <w:jc w:val="center"/>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51DBFCBC">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生态保护红线</w:t>
            </w:r>
          </w:p>
        </w:tc>
        <w:tc>
          <w:tcPr>
            <w:tcW w:w="3495" w:type="pct"/>
            <w:shd w:val="clear" w:color="auto" w:fill="auto"/>
            <w:vAlign w:val="center"/>
          </w:tcPr>
          <w:p w14:paraId="24D73D74">
            <w:pPr>
              <w:widowControl/>
              <w:snapToGrid w:val="0"/>
              <w:spacing w:line="300" w:lineRule="exact"/>
              <w:jc w:val="left"/>
              <w:rPr>
                <w:rFonts w:hint="default" w:ascii="Times New Roman" w:hAnsi="Times New Roman" w:eastAsia="宋体" w:cs="Times New Roman"/>
                <w:color w:val="auto"/>
                <w:kern w:val="0"/>
                <w:sz w:val="21"/>
                <w:szCs w:val="21"/>
                <w:highlight w:val="none"/>
                <w:lang w:val="en-US"/>
              </w:rPr>
            </w:pPr>
            <w:r>
              <w:rPr>
                <w:rFonts w:hint="default" w:ascii="Times New Roman" w:hAnsi="Times New Roman" w:eastAsia="宋体" w:cs="Times New Roman"/>
                <w:color w:val="auto"/>
                <w:kern w:val="0"/>
                <w:sz w:val="21"/>
                <w:szCs w:val="21"/>
                <w:highlight w:val="none"/>
                <w:lang w:val="en-US" w:eastAsia="zh-CN"/>
              </w:rPr>
              <w:t>水土保持类型生态保护红线。</w:t>
            </w:r>
          </w:p>
        </w:tc>
      </w:tr>
      <w:tr w14:paraId="298EF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678" w:type="pct"/>
            <w:vMerge w:val="continue"/>
            <w:vAlign w:val="center"/>
          </w:tcPr>
          <w:p w14:paraId="0EE3B5A3">
            <w:pPr>
              <w:widowControl/>
              <w:snapToGrid w:val="0"/>
              <w:spacing w:line="300" w:lineRule="exact"/>
              <w:jc w:val="center"/>
              <w:rPr>
                <w:rFonts w:hint="default" w:ascii="Times New Roman" w:hAnsi="Times New Roman" w:eastAsia="宋体" w:cs="Times New Roman"/>
                <w:color w:val="auto"/>
                <w:kern w:val="0"/>
                <w:sz w:val="21"/>
                <w:szCs w:val="21"/>
                <w:highlight w:val="none"/>
              </w:rPr>
            </w:pPr>
          </w:p>
        </w:tc>
        <w:tc>
          <w:tcPr>
            <w:tcW w:w="826" w:type="pct"/>
            <w:shd w:val="clear" w:color="auto" w:fill="auto"/>
            <w:vAlign w:val="center"/>
          </w:tcPr>
          <w:p w14:paraId="750EEA88">
            <w:pPr>
              <w:widowControl/>
              <w:snapToGrid w:val="0"/>
              <w:spacing w:line="300" w:lineRule="exact"/>
              <w:jc w:val="center"/>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饮用水源保护区</w:t>
            </w:r>
          </w:p>
        </w:tc>
        <w:tc>
          <w:tcPr>
            <w:tcW w:w="3495" w:type="pct"/>
            <w:shd w:val="clear" w:color="auto" w:fill="auto"/>
            <w:vAlign w:val="center"/>
          </w:tcPr>
          <w:p w14:paraId="3EABE94D">
            <w:pPr>
              <w:widowControl/>
              <w:snapToGrid w:val="0"/>
              <w:spacing w:line="300" w:lineRule="exact"/>
              <w:jc w:val="left"/>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lang w:val="en-US" w:eastAsia="zh-CN"/>
              </w:rPr>
              <w:t>独木水库、西河水库、水城水库3处地级城市集中式饮用水水源地，白浪水库、清水河水库、黄草坪水库、永清河水库等1</w:t>
            </w:r>
            <w:r>
              <w:rPr>
                <w:rFonts w:hint="eastAsia" w:ascii="Times New Roman" w:hAnsi="Times New Roman" w:cs="Times New Roman"/>
                <w:color w:val="auto"/>
                <w:kern w:val="0"/>
                <w:sz w:val="21"/>
                <w:szCs w:val="21"/>
                <w:highlight w:val="none"/>
                <w:lang w:val="en-US" w:eastAsia="zh-CN"/>
              </w:rPr>
              <w:t>1</w:t>
            </w:r>
            <w:r>
              <w:rPr>
                <w:rFonts w:hint="default" w:ascii="Times New Roman" w:hAnsi="Times New Roman" w:eastAsia="宋体" w:cs="Times New Roman"/>
                <w:color w:val="auto"/>
                <w:kern w:val="0"/>
                <w:sz w:val="21"/>
                <w:szCs w:val="21"/>
                <w:highlight w:val="none"/>
                <w:lang w:val="en-US" w:eastAsia="zh-CN"/>
              </w:rPr>
              <w:t>处县级集中式饮用水水源地，以及若干千吨万人及乡镇级集中式饮用水水源地。</w:t>
            </w:r>
          </w:p>
        </w:tc>
      </w:tr>
    </w:tbl>
    <w:p w14:paraId="2F013FE4">
      <w:pPr>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drawing>
          <wp:inline distT="0" distB="0" distL="114300" distR="114300">
            <wp:extent cx="5278120" cy="7286625"/>
            <wp:effectExtent l="0" t="0" r="17780" b="952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6"/>
                    <a:stretch>
                      <a:fillRect/>
                    </a:stretch>
                  </pic:blipFill>
                  <pic:spPr>
                    <a:xfrm>
                      <a:off x="0" y="0"/>
                      <a:ext cx="5278120" cy="7286625"/>
                    </a:xfrm>
                    <a:prstGeom prst="rect">
                      <a:avLst/>
                    </a:prstGeom>
                    <a:noFill/>
                    <a:ln>
                      <a:noFill/>
                    </a:ln>
                  </pic:spPr>
                </pic:pic>
              </a:graphicData>
            </a:graphic>
          </wp:inline>
        </w:drawing>
      </w:r>
    </w:p>
    <w:p w14:paraId="0F2C7139">
      <w:pPr>
        <w:pStyle w:val="29"/>
        <w:ind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图1.4.1-1  南盘江（曲靖市境内）流域综合规划范围示意图</w:t>
      </w:r>
    </w:p>
    <w:p w14:paraId="191EA8FC">
      <w:pPr>
        <w:pStyle w:val="29"/>
        <w:ind w:firstLine="0" w:firstLineChars="0"/>
        <w:jc w:val="center"/>
        <w:rPr>
          <w:rFonts w:hint="default" w:ascii="Times New Roman" w:hAnsi="Times New Roman" w:eastAsia="宋体" w:cs="Times New Roman"/>
          <w:color w:val="auto"/>
          <w:highlight w:val="none"/>
        </w:rPr>
      </w:pPr>
    </w:p>
    <w:p w14:paraId="56374B2B">
      <w:pPr>
        <w:pStyle w:val="29"/>
        <w:ind w:firstLine="0" w:firstLineChars="0"/>
        <w:jc w:val="center"/>
        <w:rPr>
          <w:rFonts w:hint="default" w:ascii="Times New Roman" w:hAnsi="Times New Roman" w:eastAsia="宋体" w:cs="Times New Roman"/>
          <w:color w:val="auto"/>
          <w:highlight w:val="none"/>
        </w:rPr>
      </w:pPr>
    </w:p>
    <w:p w14:paraId="0249AB6E">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评价水平年</w:t>
      </w:r>
    </w:p>
    <w:p w14:paraId="76365C15">
      <w:pPr>
        <w:snapToGrid w:val="0"/>
        <w:spacing w:line="360" w:lineRule="auto"/>
        <w:ind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szCs w:val="24"/>
          <w:highlight w:val="none"/>
        </w:rPr>
        <w:t>评价时段与规划时段一致，现状水平年为20</w:t>
      </w:r>
      <w:r>
        <w:rPr>
          <w:rFonts w:hint="default" w:ascii="Times New Roman" w:hAnsi="Times New Roman" w:cs="Times New Roman"/>
          <w:color w:val="auto"/>
          <w:szCs w:val="24"/>
          <w:highlight w:val="none"/>
          <w:lang w:val="en-US" w:eastAsia="zh-CN"/>
        </w:rPr>
        <w:t>24</w:t>
      </w:r>
      <w:r>
        <w:rPr>
          <w:rFonts w:hint="default" w:ascii="Times New Roman" w:hAnsi="Times New Roman" w:eastAsia="宋体" w:cs="Times New Roman"/>
          <w:color w:val="auto"/>
          <w:szCs w:val="24"/>
          <w:highlight w:val="none"/>
        </w:rPr>
        <w:t>年，规划水平年为20</w:t>
      </w:r>
      <w:r>
        <w:rPr>
          <w:rFonts w:hint="default" w:ascii="Times New Roman" w:hAnsi="Times New Roman" w:cs="Times New Roman"/>
          <w:color w:val="auto"/>
          <w:szCs w:val="24"/>
          <w:highlight w:val="none"/>
          <w:lang w:val="en-US" w:eastAsia="zh-CN"/>
        </w:rPr>
        <w:t>35</w:t>
      </w:r>
      <w:r>
        <w:rPr>
          <w:rFonts w:hint="default" w:ascii="Times New Roman" w:hAnsi="Times New Roman" w:eastAsia="宋体" w:cs="Times New Roman"/>
          <w:color w:val="auto"/>
          <w:szCs w:val="24"/>
          <w:highlight w:val="none"/>
        </w:rPr>
        <w:t>年。</w:t>
      </w:r>
    </w:p>
    <w:p w14:paraId="45EEDC25">
      <w:pPr>
        <w:pStyle w:val="3"/>
        <w:numPr>
          <w:ilvl w:val="1"/>
          <w:numId w:val="4"/>
        </w:numPr>
        <w:spacing w:before="374" w:after="249"/>
        <w:rPr>
          <w:rFonts w:hint="default" w:ascii="Times New Roman" w:hAnsi="Times New Roman" w:eastAsia="宋体" w:cs="Times New Roman"/>
          <w:color w:val="auto"/>
          <w:highlight w:val="none"/>
        </w:rPr>
      </w:pPr>
      <w:bookmarkStart w:id="37" w:name="_Toc32207"/>
      <w:bookmarkStart w:id="38" w:name="_Toc400134879"/>
      <w:bookmarkStart w:id="39" w:name="_Toc201331633"/>
      <w:r>
        <w:rPr>
          <w:rFonts w:hint="default" w:ascii="Times New Roman" w:hAnsi="Times New Roman" w:eastAsia="宋体" w:cs="Times New Roman"/>
          <w:color w:val="auto"/>
          <w:highlight w:val="none"/>
        </w:rPr>
        <w:t>相关功能区划状况</w:t>
      </w:r>
      <w:bookmarkEnd w:id="37"/>
    </w:p>
    <w:p w14:paraId="74DA12AD">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主体功能区划</w:t>
      </w:r>
    </w:p>
    <w:p w14:paraId="34F8474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（1）全国主体功能区划</w:t>
      </w:r>
    </w:p>
    <w:p w14:paraId="0300898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按照《国务院关于印发全国主体功能区划规划的通知》（国发</w:t>
      </w:r>
      <w:r>
        <w:rPr>
          <w:rFonts w:hint="default" w:ascii="Times New Roman" w:hAnsi="Times New Roman" w:cs="Times New Roman"/>
          <w:color w:val="auto"/>
          <w:highlight w:val="none"/>
          <w:lang w:eastAsia="zh-CN"/>
        </w:rPr>
        <w:t>〔2010〕46号</w:t>
      </w:r>
      <w:r>
        <w:rPr>
          <w:rFonts w:hint="default" w:ascii="Times New Roman" w:hAnsi="Times New Roman" w:cs="Times New Roman"/>
          <w:color w:val="auto"/>
          <w:highlight w:val="none"/>
        </w:rPr>
        <w:t>）的相关精神及要求，全国分为优化开发区域、重点开发区域、限制开发区域和禁止开发区域4类，其中涉及南盘江流域的有：</w:t>
      </w:r>
    </w:p>
    <w:p w14:paraId="78753CC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①重点开发区域</w:t>
      </w:r>
    </w:p>
    <w:p w14:paraId="079E48A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重点开发区域是有一定经济基础、资源环境承载能力较强、发展潜力较大、集聚人口和经济条件较好，从而应该重点进行工业化城镇化开发的城市化地区。南盘江流域属重点开发区的</w:t>
      </w:r>
      <w:r>
        <w:rPr>
          <w:rFonts w:hint="eastAsia" w:cs="Times New Roman"/>
          <w:color w:val="auto"/>
          <w:highlight w:val="none"/>
          <w:lang w:val="en-US" w:eastAsia="zh-CN"/>
        </w:rPr>
        <w:t>是</w:t>
      </w:r>
      <w:r>
        <w:rPr>
          <w:rFonts w:hint="default" w:ascii="Times New Roman" w:hAnsi="Times New Roman" w:cs="Times New Roman"/>
          <w:color w:val="auto"/>
          <w:highlight w:val="none"/>
        </w:rPr>
        <w:t>滇中地区。滇中地区位于全国“两横三纵”城市化战略格局中包昆通道纵轴的南端，包括云南省中部以昆明为中心的部分地区。</w:t>
      </w:r>
    </w:p>
    <w:p w14:paraId="6E9CE1A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该区域的功能定位是：我国连接东南亚、南亚国家的陆路交通枢纽，面向东南亚、南亚对外开放的重要门户，全国重要的烟草、旅游、文化、能源和商贸物流基地，以化工、冶金、生物为重点的区域性资源精深加工基地。</w:t>
      </w:r>
    </w:p>
    <w:p w14:paraId="55EC9D6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——构建以昆明为中心，以曲靖、玉溪和楚雄等节点城市为支撑，以主要交通轴线为纽带，一体化的滇中城市经济圈空间开发格局。</w:t>
      </w:r>
    </w:p>
    <w:p w14:paraId="6D19CB8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——强化昆明的科技创新、商贸流通、信息、旅游、文化和综合服务功能，建设区域性国际交通枢纽、商贸物流中心、历史文化名城、山水园林城市。</w:t>
      </w:r>
    </w:p>
    <w:p w14:paraId="377DB21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——曲靖、玉溪和楚雄等节点城市应依托资源特点和比较优势，加强产业分工协作和对接，实现优势互补、错位发展，形成民族特色和产业特色鲜明的城市。</w:t>
      </w:r>
    </w:p>
    <w:p w14:paraId="6115BD8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——完善国际运输大通道，强化面向东南亚、南亚陆路枢纽功能。加强区域内城际快速轨道交通、通信等基础设施建设，提升区域一体化水平。</w:t>
      </w:r>
    </w:p>
    <w:p w14:paraId="6E1978D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——建设优质特色农产品生产基地，发展农产品加工业，稳步提高农产品质量和效益，推进与周边国家的农业合作。</w:t>
      </w:r>
    </w:p>
    <w:p w14:paraId="68934FF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——加强以滇池为重点的高原湖泊治理和高原水土流失防治，构建以高原湖泊为主体，林地、水面相连，带状环绕、块状相间的高原生态格局。</w:t>
      </w:r>
    </w:p>
    <w:p w14:paraId="7C8E750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②限制开发区域</w:t>
      </w:r>
    </w:p>
    <w:p w14:paraId="293005F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限制开发区域分为两类：一类是农产品主产区，即耕地较多、农业发展条件较好，尽管也适宜工业化城镇化开发，但从保障国家农产品安全以及中华民族永续发展的需要出发，必须把增强农业综合生产能力作为发展的首要任务，从而应该限制进行大规模高强度工业化城镇化开发的地区；一类是重点生态功能区，即生态系统脆弱或生态功能重要，资源环境承载能力较低，不具备大规模高强度工业化城镇化开发的条件，必须把增强生态产品生产能力作为首要任务，从而应该限制进行大规模高强度工业化城镇化开发的地区。</w:t>
      </w:r>
    </w:p>
    <w:p w14:paraId="142FDF2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农产品主产区类限制开发区从确保国家粮食安全和食物安全的大局出发，充分发挥各地区比较优势，重点建设以“七区二十三带”为主体的农产品主产区。涉及南盘江流域的为华南主产区。该区建设以优质高档籼稻为主的优质水稻产业带，以对虾、罗非鱼、鳗鲡为主的水产品产业带。</w:t>
      </w:r>
    </w:p>
    <w:p w14:paraId="69191FA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重点生态功能区限制开发区包括25个</w:t>
      </w:r>
      <w:r>
        <w:rPr>
          <w:rFonts w:hint="default" w:ascii="Times New Roman" w:hAnsi="Times New Roman" w:cs="Times New Roman"/>
          <w:color w:val="auto"/>
          <w:highlight w:val="none"/>
          <w:lang w:eastAsia="zh-CN"/>
        </w:rPr>
        <w:t>国家重点生态功能区</w:t>
      </w:r>
      <w:r>
        <w:rPr>
          <w:rFonts w:hint="default" w:ascii="Times New Roman" w:hAnsi="Times New Roman" w:cs="Times New Roman"/>
          <w:color w:val="auto"/>
          <w:highlight w:val="none"/>
        </w:rPr>
        <w:t>。涉及南盘江流域的为桂黔滇喀斯特石漠化防治生态功能区。该区属于以岩溶环境为主的特殊生态系统，生态脆弱性极高，土壤一旦流失，生态恢复难度极大。目前生态系统退化问题突出，植被覆盖率低，石漠化面积加大。发展方向为封山育林育草，种草养畜，实施生态移民，改变耕作方式。</w:t>
      </w:r>
    </w:p>
    <w:p w14:paraId="7861887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③禁止开发区</w:t>
      </w:r>
    </w:p>
    <w:p w14:paraId="44ED003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禁止开发区域是依法设立的各级各类自然文化资源保护区域，以及其他禁止进行工业化城镇化开发、需要特殊保护的重点生态功能区。国家层面禁止开发区域，包括国家级自然保护区、世界</w:t>
      </w:r>
      <w:r>
        <w:rPr>
          <w:rFonts w:hint="default" w:ascii="Times New Roman" w:hAnsi="Times New Roman" w:cs="Times New Roman"/>
          <w:color w:val="auto"/>
          <w:highlight w:val="none"/>
          <w:lang w:eastAsia="zh-CN"/>
        </w:rPr>
        <w:t>文化和自然遗产</w:t>
      </w:r>
      <w:r>
        <w:rPr>
          <w:rFonts w:hint="default" w:ascii="Times New Roman" w:hAnsi="Times New Roman" w:cs="Times New Roman"/>
          <w:color w:val="auto"/>
          <w:highlight w:val="none"/>
        </w:rPr>
        <w:t>、国家级风景名胜区、国家森林公园和国家地质公园。省级层面的禁止开发区域，包括省级及以下各级各类自然文化资源保护区域、重要水源地以及其他省级人民政府根据需要确定的禁止开发区域。</w:t>
      </w:r>
    </w:p>
    <w:p w14:paraId="0013009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（2）云南省主体功能区划</w:t>
      </w:r>
    </w:p>
    <w:p w14:paraId="42EBC72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主体功能区规划》，云南省主体功能区划划分为重点开发区域、限制开发区域和禁止开发区域。南盘江（曲靖市境内）流域综合规划区涉及国家级集中连片重点开发区域、农产品主产区和禁止开发区域中的自然保护区、风景名胜区、森林公园、饮用水源保护地等。各功能区的功能定位及位置关系见表1.</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-1。</w:t>
      </w:r>
    </w:p>
    <w:p w14:paraId="0BBF79DE">
      <w:pPr>
        <w:pStyle w:val="29"/>
        <w:bidi w:val="0"/>
        <w:ind w:left="0" w:leftChars="0" w:firstLine="0" w:firstLineChars="0"/>
        <w:jc w:val="center"/>
        <w:rPr>
          <w:rFonts w:hint="eastAsia"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表1.</w:t>
      </w:r>
      <w:r>
        <w:rPr>
          <w:rFonts w:hint="default" w:ascii="Times New Roman" w:hAnsi="Times New Roman" w:eastAsia="宋体" w:cs="Times New Roman"/>
          <w:color w:val="auto"/>
          <w:highlight w:val="none"/>
          <w:lang w:val="en-US" w:eastAsia="zh-CN"/>
        </w:rPr>
        <w:t>5</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-1  南盘江（曲靖市境内）流域涉及的云南省主体功能区划</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521"/>
        <w:gridCol w:w="4580"/>
        <w:gridCol w:w="1469"/>
      </w:tblGrid>
      <w:tr w14:paraId="645B6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shd w:val="clear" w:color="auto" w:fill="auto"/>
            <w:tcMar>
              <w:left w:w="11" w:type="dxa"/>
              <w:right w:w="11" w:type="dxa"/>
            </w:tcMar>
            <w:vAlign w:val="center"/>
          </w:tcPr>
          <w:p w14:paraId="298D6BC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主体功能类型</w:t>
            </w:r>
          </w:p>
        </w:tc>
        <w:tc>
          <w:tcPr>
            <w:tcW w:w="913" w:type="pct"/>
            <w:shd w:val="clear" w:color="auto" w:fill="auto"/>
            <w:tcMar>
              <w:left w:w="11" w:type="dxa"/>
              <w:right w:w="11" w:type="dxa"/>
            </w:tcMar>
            <w:vAlign w:val="center"/>
          </w:tcPr>
          <w:p w14:paraId="0226EDC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涉及区域</w:t>
            </w:r>
          </w:p>
        </w:tc>
        <w:tc>
          <w:tcPr>
            <w:tcW w:w="2749" w:type="pct"/>
            <w:shd w:val="clear" w:color="auto" w:fill="auto"/>
            <w:tcMar>
              <w:left w:w="11" w:type="dxa"/>
              <w:right w:w="11" w:type="dxa"/>
            </w:tcMar>
            <w:vAlign w:val="center"/>
          </w:tcPr>
          <w:p w14:paraId="4E691AF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功能定位</w:t>
            </w:r>
          </w:p>
        </w:tc>
        <w:tc>
          <w:tcPr>
            <w:tcW w:w="882" w:type="pct"/>
            <w:tcMar>
              <w:left w:w="11" w:type="dxa"/>
              <w:right w:w="11" w:type="dxa"/>
            </w:tcMar>
            <w:vAlign w:val="center"/>
          </w:tcPr>
          <w:p w14:paraId="27897FE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位置关系</w:t>
            </w:r>
          </w:p>
        </w:tc>
      </w:tr>
      <w:tr w14:paraId="7EF07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7" w:hRule="atLeast"/>
        </w:trPr>
        <w:tc>
          <w:tcPr>
            <w:tcW w:w="455" w:type="pct"/>
            <w:shd w:val="clear" w:color="auto" w:fill="auto"/>
            <w:tcMar>
              <w:left w:w="11" w:type="dxa"/>
              <w:right w:w="11" w:type="dxa"/>
            </w:tcMar>
            <w:vAlign w:val="center"/>
          </w:tcPr>
          <w:p w14:paraId="02687DA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重点开发区域</w:t>
            </w:r>
          </w:p>
        </w:tc>
        <w:tc>
          <w:tcPr>
            <w:tcW w:w="913" w:type="pct"/>
            <w:shd w:val="clear" w:color="auto" w:fill="auto"/>
            <w:tcMar>
              <w:left w:w="11" w:type="dxa"/>
              <w:right w:w="11" w:type="dxa"/>
            </w:tcMar>
            <w:vAlign w:val="center"/>
          </w:tcPr>
          <w:p w14:paraId="41DB743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国家级集中连片重点开发区域</w:t>
            </w:r>
          </w:p>
        </w:tc>
        <w:tc>
          <w:tcPr>
            <w:tcW w:w="2749" w:type="pct"/>
            <w:shd w:val="clear" w:color="auto" w:fill="auto"/>
            <w:tcMar>
              <w:left w:w="11" w:type="dxa"/>
              <w:right w:w="11" w:type="dxa"/>
            </w:tcMar>
            <w:vAlign w:val="center"/>
          </w:tcPr>
          <w:p w14:paraId="63D379F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我国面向西南开放重要桥头堡建设的核心区，连接东南亚、南亚国家的陆路交通枢纽，面向东南亚、南亚对外开放的重要门户﹔全国重要的烟草、旅游、文化、能源和商贸物流基地，以化工、有色冶炼加工、生物为重点的区域性资源深加工基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承接产业转移基地和外向型特色优势产业基地；我国城市化发展格局中特色鲜明的高原生态宜居城市群；全省跨越发展的引擎</w:t>
            </w:r>
            <w:r>
              <w:rPr>
                <w:rFonts w:hint="default" w:ascii="Times New Roman" w:hAnsi="Times New Roman" w:cs="Times New Roman"/>
                <w:color w:val="auto"/>
                <w:highlight w:val="none"/>
                <w:lang w:eastAsia="zh-CN"/>
              </w:rPr>
              <w:t>，是</w:t>
            </w:r>
            <w:r>
              <w:rPr>
                <w:rFonts w:hint="default" w:ascii="Times New Roman" w:hAnsi="Times New Roman" w:cs="Times New Roman"/>
                <w:color w:val="auto"/>
                <w:highlight w:val="none"/>
              </w:rPr>
              <w:t>我国西南地区重要的经济</w:t>
            </w:r>
            <w:r>
              <w:rPr>
                <w:rFonts w:hint="default" w:ascii="Times New Roman" w:hAnsi="Times New Roman" w:cs="Times New Roman"/>
                <w:color w:val="auto"/>
                <w:highlight w:val="none"/>
                <w:lang w:eastAsia="zh-CN"/>
              </w:rPr>
              <w:t>增长极</w:t>
            </w:r>
            <w:r>
              <w:rPr>
                <w:rFonts w:hint="default" w:ascii="Times New Roman" w:hAnsi="Times New Roman" w:cs="Times New Roman"/>
                <w:color w:val="auto"/>
                <w:highlight w:val="none"/>
              </w:rPr>
              <w:t>。</w:t>
            </w:r>
          </w:p>
        </w:tc>
        <w:tc>
          <w:tcPr>
            <w:tcW w:w="882" w:type="pct"/>
            <w:tcMar>
              <w:left w:w="11" w:type="dxa"/>
              <w:right w:w="11" w:type="dxa"/>
            </w:tcMar>
            <w:vAlign w:val="center"/>
          </w:tcPr>
          <w:p w14:paraId="0A09817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规划区涉及曲靖市麒麟区、马龙县、富源县、沾益县、罗平县（罗雄镇、阿岗镇、九龙镇）、师宗县（丹凤镇、竹基镇）</w:t>
            </w:r>
          </w:p>
        </w:tc>
      </w:tr>
      <w:tr w14:paraId="43796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6" w:hRule="atLeast"/>
        </w:trPr>
        <w:tc>
          <w:tcPr>
            <w:tcW w:w="455" w:type="pct"/>
            <w:shd w:val="clear" w:color="auto" w:fill="auto"/>
            <w:tcMar>
              <w:left w:w="11" w:type="dxa"/>
              <w:right w:w="11" w:type="dxa"/>
            </w:tcMar>
            <w:vAlign w:val="center"/>
          </w:tcPr>
          <w:p w14:paraId="2058BF1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限制开发区域</w:t>
            </w:r>
          </w:p>
        </w:tc>
        <w:tc>
          <w:tcPr>
            <w:tcW w:w="913" w:type="pct"/>
            <w:shd w:val="clear" w:color="auto" w:fill="auto"/>
            <w:tcMar>
              <w:left w:w="11" w:type="dxa"/>
              <w:right w:w="11" w:type="dxa"/>
            </w:tcMar>
            <w:vAlign w:val="center"/>
          </w:tcPr>
          <w:p w14:paraId="48C35C8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农产品主产区</w:t>
            </w:r>
          </w:p>
        </w:tc>
        <w:tc>
          <w:tcPr>
            <w:tcW w:w="2749" w:type="pct"/>
            <w:shd w:val="clear" w:color="auto" w:fill="auto"/>
            <w:tcMar>
              <w:left w:w="11" w:type="dxa"/>
              <w:right w:w="11" w:type="dxa"/>
            </w:tcMar>
            <w:vAlign w:val="center"/>
          </w:tcPr>
          <w:p w14:paraId="2174018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保障粮食产品和主要农产品供给安全的基地，全省农业产业化的重要地区，现代农业的示范基地，农村居民安居乐业的美好家园，社会主义新农村建设的示范区。农产品主产区要以大力发展高原特色农业为重点，切实保护耕地，稳定粮食生产，发展现代农业，增强农业综合生产能力，增加农民收入，加快建设社会主义新农村，有效增强农产品供给保障能力，确保国家粮食安全和食品安全。</w:t>
            </w:r>
          </w:p>
        </w:tc>
        <w:tc>
          <w:tcPr>
            <w:tcW w:w="882" w:type="pct"/>
            <w:tcMar>
              <w:left w:w="11" w:type="dxa"/>
              <w:right w:w="11" w:type="dxa"/>
            </w:tcMar>
            <w:vAlign w:val="center"/>
          </w:tcPr>
          <w:p w14:paraId="2E52F39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师宗县（不包括丹凤镇、竹基镇）、罗平县（不包括罗雄镇、阿岗镇、九龙镇）</w:t>
            </w:r>
          </w:p>
        </w:tc>
      </w:tr>
      <w:tr w14:paraId="7902E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5" w:type="pct"/>
            <w:shd w:val="clear" w:color="auto" w:fill="auto"/>
            <w:tcMar>
              <w:left w:w="11" w:type="dxa"/>
              <w:right w:w="11" w:type="dxa"/>
            </w:tcMar>
            <w:vAlign w:val="center"/>
          </w:tcPr>
          <w:p w14:paraId="7F84E78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禁止开发区</w:t>
            </w:r>
          </w:p>
        </w:tc>
        <w:tc>
          <w:tcPr>
            <w:tcW w:w="913" w:type="pct"/>
            <w:shd w:val="clear" w:color="auto" w:fill="auto"/>
            <w:tcMar>
              <w:left w:w="11" w:type="dxa"/>
              <w:right w:w="11" w:type="dxa"/>
            </w:tcMar>
            <w:vAlign w:val="center"/>
          </w:tcPr>
          <w:p w14:paraId="21D75B7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省级自然保护区、县级自然保护区、省级风景名胜区、国家地质公园、省森林公园、饮用水水源保护区</w:t>
            </w:r>
          </w:p>
        </w:tc>
        <w:tc>
          <w:tcPr>
            <w:tcW w:w="2749" w:type="pct"/>
            <w:shd w:val="clear" w:color="auto" w:fill="auto"/>
            <w:tcMar>
              <w:left w:w="11" w:type="dxa"/>
              <w:right w:w="11" w:type="dxa"/>
            </w:tcMar>
            <w:vAlign w:val="center"/>
          </w:tcPr>
          <w:p w14:paraId="73318AA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禁止开发区域指有代表性的自然生态系统，珍稀濒危野生动植物物种的天然集中分布地、有特殊价值的自然遗迹所在地和文化遗址等点状分布的区域。</w:t>
            </w:r>
          </w:p>
        </w:tc>
        <w:tc>
          <w:tcPr>
            <w:tcW w:w="882" w:type="pct"/>
            <w:tcMar>
              <w:left w:w="11" w:type="dxa"/>
              <w:right w:w="11" w:type="dxa"/>
            </w:tcMar>
            <w:vAlign w:val="center"/>
          </w:tcPr>
          <w:p w14:paraId="4F6BCC4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规划</w:t>
            </w:r>
            <w:r>
              <w:rPr>
                <w:rFonts w:hint="default" w:ascii="Times New Roman" w:hAnsi="Times New Roman" w:cs="Times New Roman"/>
                <w:color w:val="auto"/>
                <w:highlight w:val="none"/>
                <w:lang w:val="en-US" w:eastAsia="zh-CN"/>
              </w:rPr>
              <w:t>项目</w:t>
            </w:r>
            <w:r>
              <w:rPr>
                <w:rFonts w:hint="default" w:ascii="Times New Roman" w:hAnsi="Times New Roman" w:cs="Times New Roman"/>
                <w:color w:val="auto"/>
                <w:highlight w:val="none"/>
              </w:rPr>
              <w:t>涉及1个省级自然保护区、2个风景名胜区、1个森林公园、饮用水源地</w:t>
            </w:r>
          </w:p>
        </w:tc>
      </w:tr>
    </w:tbl>
    <w:p w14:paraId="65C47B41">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水功能区划</w:t>
      </w:r>
    </w:p>
    <w:p w14:paraId="48E55566">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根据《曲靖市水功能区划（2014年修订）》，规划范围涉及一级水功能区58个，二级水功能区26个，均在珠江流域。</w:t>
      </w:r>
    </w:p>
    <w:p w14:paraId="2109F450">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水功能区划河长1556.45km。其中，保护区21个，占36.2%；保留区18个，占31.0%；缓冲区3个，占5.2%；开发利用区16个，占27.6%。16个开发利用区内共划分26个二级水功能区。按第一主导功能统计，饮用水源区4个，占15.4%；工业用水区4个，占15.4%；农业用水7个，占26.9%；景观娱乐用水区7个，占26.9%；过渡区2个，占7.7%；排污控制区2个，占7.7%。</w:t>
      </w:r>
    </w:p>
    <w:p w14:paraId="15EE54C4">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规划范围涉及的水功能区共68个控制断面，至2030年，32个断面水质目标为Ⅱ类，36个断面水质目标为Ⅲ类。规划范围涉及水功能区划统计详见下表。</w:t>
      </w:r>
    </w:p>
    <w:p w14:paraId="35EEFAFF">
      <w:pPr>
        <w:pStyle w:val="14"/>
        <w:ind w:firstLine="480"/>
        <w:rPr>
          <w:rFonts w:hint="default" w:ascii="Times New Roman" w:hAnsi="Times New Roman" w:cs="Times New Roman"/>
          <w:color w:val="auto"/>
          <w:highlight w:val="none"/>
        </w:rPr>
        <w:sectPr>
          <w:footerReference r:id="rId10" w:type="default"/>
          <w:pgSz w:w="11906" w:h="16838"/>
          <w:pgMar w:top="1440" w:right="1800" w:bottom="1440" w:left="1800" w:header="851" w:footer="992" w:gutter="0"/>
          <w:pgNumType w:fmt="decimal" w:start="1"/>
          <w:cols w:space="425" w:num="1"/>
          <w:docGrid w:type="lines" w:linePitch="326" w:charSpace="0"/>
        </w:sectPr>
      </w:pPr>
    </w:p>
    <w:p w14:paraId="7336A36A">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1.5.2-1</w:t>
      </w:r>
      <w:r>
        <w:rPr>
          <w:rFonts w:hint="default" w:ascii="Times New Roman" w:hAnsi="Times New Roman" w:cs="Times New Roman"/>
          <w:color w:val="auto"/>
          <w:highlight w:val="none"/>
        </w:rPr>
        <w:t xml:space="preserve">  评价范围内水功能区划分情况</w:t>
      </w:r>
    </w:p>
    <w:tbl>
      <w:tblPr>
        <w:tblStyle w:val="22"/>
        <w:tblW w:w="0" w:type="auto"/>
        <w:tblInd w:w="0" w:type="dxa"/>
        <w:tblLayout w:type="autofit"/>
        <w:tblCellMar>
          <w:top w:w="0" w:type="dxa"/>
          <w:left w:w="108" w:type="dxa"/>
          <w:bottom w:w="0" w:type="dxa"/>
          <w:right w:w="108" w:type="dxa"/>
        </w:tblCellMar>
      </w:tblPr>
      <w:tblGrid>
        <w:gridCol w:w="557"/>
        <w:gridCol w:w="1720"/>
        <w:gridCol w:w="2605"/>
        <w:gridCol w:w="691"/>
        <w:gridCol w:w="897"/>
        <w:gridCol w:w="1491"/>
        <w:gridCol w:w="1459"/>
        <w:gridCol w:w="689"/>
        <w:gridCol w:w="691"/>
        <w:gridCol w:w="1281"/>
        <w:gridCol w:w="820"/>
        <w:gridCol w:w="636"/>
        <w:gridCol w:w="637"/>
      </w:tblGrid>
      <w:tr w14:paraId="14D9C4D8">
        <w:tblPrEx>
          <w:tblCellMar>
            <w:top w:w="0" w:type="dxa"/>
            <w:left w:w="108" w:type="dxa"/>
            <w:bottom w:w="0" w:type="dxa"/>
            <w:right w:w="108" w:type="dxa"/>
          </w:tblCellMar>
        </w:tblPrEx>
        <w:trPr>
          <w:trHeight w:val="276" w:hRule="atLeast"/>
          <w:tblHeader/>
        </w:trPr>
        <w:tc>
          <w:tcPr>
            <w:tcW w:w="0" w:type="auto"/>
            <w:vMerge w:val="restart"/>
            <w:tcBorders>
              <w:top w:val="single" w:color="auto" w:sz="4" w:space="0"/>
              <w:left w:val="single" w:color="auto" w:sz="4" w:space="0"/>
              <w:bottom w:val="single" w:color="auto" w:sz="4" w:space="0"/>
              <w:right w:val="single" w:color="auto" w:sz="4" w:space="0"/>
            </w:tcBorders>
            <w:vAlign w:val="center"/>
          </w:tcPr>
          <w:p w14:paraId="12280CE7">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序号</w:t>
            </w:r>
          </w:p>
        </w:tc>
        <w:tc>
          <w:tcPr>
            <w:tcW w:w="1720" w:type="dxa"/>
            <w:vMerge w:val="restart"/>
            <w:tcBorders>
              <w:top w:val="single" w:color="auto" w:sz="4" w:space="0"/>
              <w:left w:val="single" w:color="auto" w:sz="4" w:space="0"/>
              <w:bottom w:val="single" w:color="auto" w:sz="4" w:space="0"/>
              <w:right w:val="single" w:color="auto" w:sz="4" w:space="0"/>
            </w:tcBorders>
            <w:vAlign w:val="center"/>
          </w:tcPr>
          <w:p w14:paraId="2583A2E8">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一级水功能区</w:t>
            </w:r>
          </w:p>
          <w:p w14:paraId="460D5F78">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名称</w:t>
            </w:r>
          </w:p>
        </w:tc>
        <w:tc>
          <w:tcPr>
            <w:tcW w:w="2605" w:type="dxa"/>
            <w:vMerge w:val="restart"/>
            <w:tcBorders>
              <w:top w:val="single" w:color="auto" w:sz="4" w:space="0"/>
              <w:left w:val="single" w:color="auto" w:sz="4" w:space="0"/>
              <w:bottom w:val="single" w:color="auto" w:sz="4" w:space="0"/>
              <w:right w:val="single" w:color="auto" w:sz="4" w:space="0"/>
            </w:tcBorders>
            <w:vAlign w:val="center"/>
          </w:tcPr>
          <w:p w14:paraId="0A14597C">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二级水功能区名称</w:t>
            </w:r>
          </w:p>
        </w:tc>
        <w:tc>
          <w:tcPr>
            <w:tcW w:w="691" w:type="dxa"/>
            <w:vMerge w:val="restart"/>
            <w:tcBorders>
              <w:top w:val="single" w:color="auto" w:sz="4" w:space="0"/>
              <w:left w:val="single" w:color="auto" w:sz="4" w:space="0"/>
              <w:bottom w:val="single" w:color="auto" w:sz="4" w:space="0"/>
              <w:right w:val="single" w:color="auto" w:sz="4" w:space="0"/>
            </w:tcBorders>
            <w:vAlign w:val="center"/>
          </w:tcPr>
          <w:p w14:paraId="49B9AA2F">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河流</w:t>
            </w:r>
          </w:p>
        </w:tc>
        <w:tc>
          <w:tcPr>
            <w:tcW w:w="897" w:type="dxa"/>
            <w:vMerge w:val="restart"/>
            <w:tcBorders>
              <w:top w:val="single" w:color="auto" w:sz="4" w:space="0"/>
              <w:left w:val="single" w:color="auto" w:sz="4" w:space="0"/>
              <w:bottom w:val="single" w:color="auto" w:sz="4" w:space="0"/>
              <w:right w:val="single" w:color="auto" w:sz="4" w:space="0"/>
            </w:tcBorders>
            <w:vAlign w:val="center"/>
          </w:tcPr>
          <w:p w14:paraId="72C2B97E">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河段</w:t>
            </w:r>
          </w:p>
        </w:tc>
        <w:tc>
          <w:tcPr>
            <w:tcW w:w="0" w:type="auto"/>
            <w:gridSpan w:val="4"/>
            <w:tcBorders>
              <w:top w:val="single" w:color="auto" w:sz="4" w:space="0"/>
              <w:left w:val="nil"/>
              <w:bottom w:val="single" w:color="auto" w:sz="4" w:space="0"/>
              <w:right w:val="single" w:color="auto" w:sz="4" w:space="0"/>
            </w:tcBorders>
            <w:vAlign w:val="center"/>
          </w:tcPr>
          <w:p w14:paraId="3353109C">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范围</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14B0F1A3">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代表断面</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6332C032">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水质现状</w:t>
            </w:r>
          </w:p>
        </w:tc>
        <w:tc>
          <w:tcPr>
            <w:tcW w:w="0" w:type="auto"/>
            <w:gridSpan w:val="2"/>
            <w:tcBorders>
              <w:top w:val="single" w:color="auto" w:sz="4" w:space="0"/>
              <w:left w:val="nil"/>
              <w:bottom w:val="single" w:color="auto" w:sz="4" w:space="0"/>
              <w:right w:val="single" w:color="000000" w:sz="4" w:space="0"/>
            </w:tcBorders>
            <w:vAlign w:val="center"/>
          </w:tcPr>
          <w:p w14:paraId="2D043108">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水质目标</w:t>
            </w:r>
          </w:p>
        </w:tc>
      </w:tr>
      <w:tr w14:paraId="0CE60CD5">
        <w:tblPrEx>
          <w:tblCellMar>
            <w:top w:w="0" w:type="dxa"/>
            <w:left w:w="108" w:type="dxa"/>
            <w:bottom w:w="0" w:type="dxa"/>
            <w:right w:w="108" w:type="dxa"/>
          </w:tblCellMar>
        </w:tblPrEx>
        <w:trPr>
          <w:trHeight w:val="276" w:hRule="atLeast"/>
          <w:tblHead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1614A25">
            <w:pPr>
              <w:widowControl/>
              <w:spacing w:line="240" w:lineRule="auto"/>
              <w:jc w:val="center"/>
              <w:rPr>
                <w:rFonts w:hint="default" w:ascii="Times New Roman" w:hAnsi="Times New Roman" w:cs="Times New Roman"/>
                <w:b/>
                <w:bCs/>
                <w:color w:val="auto"/>
                <w:kern w:val="0"/>
                <w:sz w:val="21"/>
                <w:szCs w:val="21"/>
                <w:highlight w:val="none"/>
              </w:rPr>
            </w:pPr>
          </w:p>
        </w:tc>
        <w:tc>
          <w:tcPr>
            <w:tcW w:w="1720" w:type="dxa"/>
            <w:vMerge w:val="continue"/>
            <w:tcBorders>
              <w:top w:val="single" w:color="auto" w:sz="4" w:space="0"/>
              <w:left w:val="single" w:color="auto" w:sz="4" w:space="0"/>
              <w:bottom w:val="single" w:color="auto" w:sz="4" w:space="0"/>
              <w:right w:val="single" w:color="auto" w:sz="4" w:space="0"/>
            </w:tcBorders>
            <w:vAlign w:val="center"/>
          </w:tcPr>
          <w:p w14:paraId="0C661F59">
            <w:pPr>
              <w:widowControl/>
              <w:spacing w:line="240" w:lineRule="auto"/>
              <w:jc w:val="center"/>
              <w:rPr>
                <w:rFonts w:hint="default" w:ascii="Times New Roman" w:hAnsi="Times New Roman" w:cs="Times New Roman"/>
                <w:b/>
                <w:bCs/>
                <w:color w:val="auto"/>
                <w:kern w:val="0"/>
                <w:sz w:val="21"/>
                <w:szCs w:val="21"/>
                <w:highlight w:val="none"/>
              </w:rPr>
            </w:pPr>
          </w:p>
        </w:tc>
        <w:tc>
          <w:tcPr>
            <w:tcW w:w="2605" w:type="dxa"/>
            <w:vMerge w:val="continue"/>
            <w:tcBorders>
              <w:top w:val="single" w:color="auto" w:sz="4" w:space="0"/>
              <w:left w:val="single" w:color="auto" w:sz="4" w:space="0"/>
              <w:bottom w:val="single" w:color="auto" w:sz="4" w:space="0"/>
              <w:right w:val="single" w:color="auto" w:sz="4" w:space="0"/>
            </w:tcBorders>
            <w:vAlign w:val="center"/>
          </w:tcPr>
          <w:p w14:paraId="44CD4BC3">
            <w:pPr>
              <w:widowControl/>
              <w:spacing w:line="240" w:lineRule="auto"/>
              <w:jc w:val="center"/>
              <w:rPr>
                <w:rFonts w:hint="default" w:ascii="Times New Roman" w:hAnsi="Times New Roman" w:cs="Times New Roman"/>
                <w:b/>
                <w:bCs/>
                <w:color w:val="auto"/>
                <w:kern w:val="0"/>
                <w:sz w:val="21"/>
                <w:szCs w:val="21"/>
                <w:highlight w:val="none"/>
              </w:rPr>
            </w:pPr>
          </w:p>
        </w:tc>
        <w:tc>
          <w:tcPr>
            <w:tcW w:w="691" w:type="dxa"/>
            <w:vMerge w:val="continue"/>
            <w:tcBorders>
              <w:top w:val="single" w:color="auto" w:sz="4" w:space="0"/>
              <w:left w:val="single" w:color="auto" w:sz="4" w:space="0"/>
              <w:bottom w:val="single" w:color="auto" w:sz="4" w:space="0"/>
              <w:right w:val="single" w:color="auto" w:sz="4" w:space="0"/>
            </w:tcBorders>
            <w:vAlign w:val="center"/>
          </w:tcPr>
          <w:p w14:paraId="12E04030">
            <w:pPr>
              <w:widowControl/>
              <w:spacing w:line="240" w:lineRule="auto"/>
              <w:jc w:val="center"/>
              <w:rPr>
                <w:rFonts w:hint="default" w:ascii="Times New Roman" w:hAnsi="Times New Roman" w:cs="Times New Roman"/>
                <w:b/>
                <w:bCs/>
                <w:color w:val="auto"/>
                <w:kern w:val="0"/>
                <w:sz w:val="21"/>
                <w:szCs w:val="21"/>
                <w:highlight w:val="none"/>
              </w:rPr>
            </w:pPr>
          </w:p>
        </w:tc>
        <w:tc>
          <w:tcPr>
            <w:tcW w:w="897" w:type="dxa"/>
            <w:vMerge w:val="continue"/>
            <w:tcBorders>
              <w:top w:val="single" w:color="auto" w:sz="4" w:space="0"/>
              <w:left w:val="single" w:color="auto" w:sz="4" w:space="0"/>
              <w:bottom w:val="single" w:color="auto" w:sz="4" w:space="0"/>
              <w:right w:val="single" w:color="auto" w:sz="4" w:space="0"/>
            </w:tcBorders>
            <w:vAlign w:val="center"/>
          </w:tcPr>
          <w:p w14:paraId="400B200B">
            <w:pPr>
              <w:widowControl/>
              <w:spacing w:line="240" w:lineRule="auto"/>
              <w:jc w:val="center"/>
              <w:rPr>
                <w:rFonts w:hint="default" w:ascii="Times New Roman" w:hAnsi="Times New Roman" w:cs="Times New Roman"/>
                <w:b/>
                <w:bCs/>
                <w:color w:val="auto"/>
                <w:kern w:val="0"/>
                <w:sz w:val="21"/>
                <w:szCs w:val="21"/>
                <w:highlight w:val="none"/>
              </w:rPr>
            </w:pPr>
          </w:p>
        </w:tc>
        <w:tc>
          <w:tcPr>
            <w:tcW w:w="0" w:type="auto"/>
            <w:vMerge w:val="restart"/>
            <w:tcBorders>
              <w:top w:val="nil"/>
              <w:left w:val="single" w:color="auto" w:sz="4" w:space="0"/>
              <w:bottom w:val="single" w:color="auto" w:sz="4" w:space="0"/>
              <w:right w:val="single" w:color="auto" w:sz="4" w:space="0"/>
            </w:tcBorders>
            <w:vAlign w:val="center"/>
          </w:tcPr>
          <w:p w14:paraId="05D91F17">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起</w:t>
            </w:r>
          </w:p>
        </w:tc>
        <w:tc>
          <w:tcPr>
            <w:tcW w:w="0" w:type="auto"/>
            <w:vMerge w:val="restart"/>
            <w:tcBorders>
              <w:top w:val="nil"/>
              <w:left w:val="single" w:color="auto" w:sz="4" w:space="0"/>
              <w:bottom w:val="single" w:color="auto" w:sz="4" w:space="0"/>
              <w:right w:val="single" w:color="auto" w:sz="4" w:space="0"/>
            </w:tcBorders>
            <w:vAlign w:val="center"/>
          </w:tcPr>
          <w:p w14:paraId="758A67B4">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止</w:t>
            </w:r>
          </w:p>
        </w:tc>
        <w:tc>
          <w:tcPr>
            <w:tcW w:w="0" w:type="auto"/>
            <w:tcBorders>
              <w:top w:val="nil"/>
              <w:left w:val="nil"/>
              <w:bottom w:val="single" w:color="auto" w:sz="4" w:space="0"/>
              <w:right w:val="single" w:color="auto" w:sz="4" w:space="0"/>
            </w:tcBorders>
            <w:vAlign w:val="center"/>
          </w:tcPr>
          <w:p w14:paraId="59B966FD">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长度</w:t>
            </w:r>
          </w:p>
        </w:tc>
        <w:tc>
          <w:tcPr>
            <w:tcW w:w="0" w:type="auto"/>
            <w:tcBorders>
              <w:top w:val="nil"/>
              <w:left w:val="nil"/>
              <w:bottom w:val="single" w:color="auto" w:sz="4" w:space="0"/>
              <w:right w:val="single" w:color="auto" w:sz="4" w:space="0"/>
            </w:tcBorders>
            <w:vAlign w:val="center"/>
          </w:tcPr>
          <w:p w14:paraId="38B0E8D4">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面积</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5E0DC96">
            <w:pPr>
              <w:widowControl/>
              <w:spacing w:line="240" w:lineRule="auto"/>
              <w:jc w:val="center"/>
              <w:rPr>
                <w:rFonts w:hint="default" w:ascii="Times New Roman" w:hAnsi="Times New Roman" w:cs="Times New Roman"/>
                <w:b/>
                <w:bCs/>
                <w:color w:val="auto"/>
                <w:kern w:val="0"/>
                <w:sz w:val="21"/>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E7B62F3">
            <w:pPr>
              <w:widowControl/>
              <w:spacing w:line="240" w:lineRule="auto"/>
              <w:jc w:val="center"/>
              <w:rPr>
                <w:rFonts w:hint="default" w:ascii="Times New Roman" w:hAnsi="Times New Roman" w:cs="Times New Roman"/>
                <w:b/>
                <w:bCs/>
                <w:color w:val="auto"/>
                <w:kern w:val="0"/>
                <w:sz w:val="21"/>
                <w:szCs w:val="21"/>
                <w:highlight w:val="none"/>
              </w:rPr>
            </w:pPr>
          </w:p>
        </w:tc>
        <w:tc>
          <w:tcPr>
            <w:tcW w:w="0" w:type="auto"/>
            <w:vMerge w:val="restart"/>
            <w:tcBorders>
              <w:top w:val="nil"/>
              <w:left w:val="single" w:color="auto" w:sz="4" w:space="0"/>
              <w:bottom w:val="single" w:color="auto" w:sz="4" w:space="0"/>
              <w:right w:val="single" w:color="auto" w:sz="4" w:space="0"/>
            </w:tcBorders>
            <w:vAlign w:val="center"/>
          </w:tcPr>
          <w:p w14:paraId="6E8FD2E0">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2020</w:t>
            </w:r>
          </w:p>
        </w:tc>
        <w:tc>
          <w:tcPr>
            <w:tcW w:w="0" w:type="auto"/>
            <w:vMerge w:val="restart"/>
            <w:tcBorders>
              <w:top w:val="nil"/>
              <w:left w:val="single" w:color="auto" w:sz="4" w:space="0"/>
              <w:bottom w:val="single" w:color="auto" w:sz="4" w:space="0"/>
              <w:right w:val="single" w:color="auto" w:sz="4" w:space="0"/>
            </w:tcBorders>
            <w:vAlign w:val="center"/>
          </w:tcPr>
          <w:p w14:paraId="1E99C9F9">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rPr>
              <w:t>2030</w:t>
            </w:r>
          </w:p>
        </w:tc>
      </w:tr>
      <w:tr w14:paraId="07DAC1FD">
        <w:tblPrEx>
          <w:tblCellMar>
            <w:top w:w="0" w:type="dxa"/>
            <w:left w:w="108" w:type="dxa"/>
            <w:bottom w:w="0" w:type="dxa"/>
            <w:right w:w="108" w:type="dxa"/>
          </w:tblCellMar>
        </w:tblPrEx>
        <w:trPr>
          <w:trHeight w:val="276" w:hRule="atLeast"/>
          <w:tblHead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08703C5">
            <w:pPr>
              <w:widowControl/>
              <w:spacing w:line="240" w:lineRule="auto"/>
              <w:jc w:val="center"/>
              <w:rPr>
                <w:rFonts w:hint="default" w:ascii="Times New Roman" w:hAnsi="Times New Roman" w:cs="Times New Roman"/>
                <w:b/>
                <w:bCs/>
                <w:color w:val="auto"/>
                <w:kern w:val="0"/>
                <w:sz w:val="21"/>
                <w:szCs w:val="21"/>
                <w:highlight w:val="none"/>
              </w:rPr>
            </w:pPr>
          </w:p>
        </w:tc>
        <w:tc>
          <w:tcPr>
            <w:tcW w:w="1720" w:type="dxa"/>
            <w:vMerge w:val="continue"/>
            <w:tcBorders>
              <w:top w:val="single" w:color="auto" w:sz="4" w:space="0"/>
              <w:left w:val="single" w:color="auto" w:sz="4" w:space="0"/>
              <w:bottom w:val="single" w:color="auto" w:sz="4" w:space="0"/>
              <w:right w:val="single" w:color="auto" w:sz="4" w:space="0"/>
            </w:tcBorders>
            <w:vAlign w:val="center"/>
          </w:tcPr>
          <w:p w14:paraId="06A885D8">
            <w:pPr>
              <w:widowControl/>
              <w:spacing w:line="240" w:lineRule="auto"/>
              <w:jc w:val="center"/>
              <w:rPr>
                <w:rFonts w:hint="default" w:ascii="Times New Roman" w:hAnsi="Times New Roman" w:cs="Times New Roman"/>
                <w:color w:val="auto"/>
                <w:kern w:val="0"/>
                <w:sz w:val="21"/>
                <w:szCs w:val="21"/>
                <w:highlight w:val="none"/>
              </w:rPr>
            </w:pPr>
          </w:p>
        </w:tc>
        <w:tc>
          <w:tcPr>
            <w:tcW w:w="2605" w:type="dxa"/>
            <w:vMerge w:val="continue"/>
            <w:tcBorders>
              <w:top w:val="single" w:color="auto" w:sz="4" w:space="0"/>
              <w:left w:val="single" w:color="auto" w:sz="4" w:space="0"/>
              <w:bottom w:val="single" w:color="auto" w:sz="4" w:space="0"/>
              <w:right w:val="single" w:color="auto" w:sz="4" w:space="0"/>
            </w:tcBorders>
            <w:vAlign w:val="center"/>
          </w:tcPr>
          <w:p w14:paraId="0A236AE4">
            <w:pPr>
              <w:widowControl/>
              <w:spacing w:line="240" w:lineRule="auto"/>
              <w:jc w:val="center"/>
              <w:rPr>
                <w:rFonts w:hint="default" w:ascii="Times New Roman" w:hAnsi="Times New Roman" w:cs="Times New Roman"/>
                <w:color w:val="auto"/>
                <w:kern w:val="0"/>
                <w:sz w:val="21"/>
                <w:szCs w:val="21"/>
                <w:highlight w:val="none"/>
              </w:rPr>
            </w:pPr>
          </w:p>
        </w:tc>
        <w:tc>
          <w:tcPr>
            <w:tcW w:w="691" w:type="dxa"/>
            <w:vMerge w:val="continue"/>
            <w:tcBorders>
              <w:top w:val="single" w:color="auto" w:sz="4" w:space="0"/>
              <w:left w:val="single" w:color="auto" w:sz="4" w:space="0"/>
              <w:bottom w:val="single" w:color="auto" w:sz="4" w:space="0"/>
              <w:right w:val="single" w:color="auto" w:sz="4" w:space="0"/>
            </w:tcBorders>
            <w:vAlign w:val="center"/>
          </w:tcPr>
          <w:p w14:paraId="0BC861E2">
            <w:pPr>
              <w:widowControl/>
              <w:spacing w:line="240" w:lineRule="auto"/>
              <w:jc w:val="center"/>
              <w:rPr>
                <w:rFonts w:hint="default" w:ascii="Times New Roman" w:hAnsi="Times New Roman" w:cs="Times New Roman"/>
                <w:color w:val="auto"/>
                <w:kern w:val="0"/>
                <w:sz w:val="21"/>
                <w:szCs w:val="21"/>
                <w:highlight w:val="none"/>
              </w:rPr>
            </w:pPr>
          </w:p>
        </w:tc>
        <w:tc>
          <w:tcPr>
            <w:tcW w:w="897" w:type="dxa"/>
            <w:vMerge w:val="continue"/>
            <w:tcBorders>
              <w:top w:val="single" w:color="auto" w:sz="4" w:space="0"/>
              <w:left w:val="single" w:color="auto" w:sz="4" w:space="0"/>
              <w:bottom w:val="single" w:color="auto" w:sz="4" w:space="0"/>
              <w:right w:val="single" w:color="auto" w:sz="4" w:space="0"/>
            </w:tcBorders>
            <w:vAlign w:val="center"/>
          </w:tcPr>
          <w:p w14:paraId="215FBF4B">
            <w:pPr>
              <w:widowControl/>
              <w:spacing w:line="240" w:lineRule="auto"/>
              <w:jc w:val="center"/>
              <w:rPr>
                <w:rFonts w:hint="default" w:ascii="Times New Roman" w:hAnsi="Times New Roman" w:cs="Times New Roman"/>
                <w:color w:val="auto"/>
                <w:kern w:val="0"/>
                <w:sz w:val="21"/>
                <w:szCs w:val="21"/>
                <w:highlight w:val="none"/>
              </w:rPr>
            </w:pPr>
          </w:p>
        </w:tc>
        <w:tc>
          <w:tcPr>
            <w:tcW w:w="0" w:type="auto"/>
            <w:vMerge w:val="continue"/>
            <w:tcBorders>
              <w:top w:val="nil"/>
              <w:left w:val="single" w:color="auto" w:sz="4" w:space="0"/>
              <w:bottom w:val="single" w:color="auto" w:sz="4" w:space="0"/>
              <w:right w:val="single" w:color="auto" w:sz="4" w:space="0"/>
            </w:tcBorders>
            <w:vAlign w:val="center"/>
          </w:tcPr>
          <w:p w14:paraId="713A6FD1">
            <w:pPr>
              <w:widowControl/>
              <w:spacing w:line="240" w:lineRule="auto"/>
              <w:jc w:val="center"/>
              <w:rPr>
                <w:rFonts w:hint="default" w:ascii="Times New Roman" w:hAnsi="Times New Roman" w:cs="Times New Roman"/>
                <w:color w:val="auto"/>
                <w:kern w:val="0"/>
                <w:sz w:val="21"/>
                <w:szCs w:val="21"/>
                <w:highlight w:val="none"/>
              </w:rPr>
            </w:pPr>
          </w:p>
        </w:tc>
        <w:tc>
          <w:tcPr>
            <w:tcW w:w="0" w:type="auto"/>
            <w:vMerge w:val="continue"/>
            <w:tcBorders>
              <w:top w:val="nil"/>
              <w:left w:val="single" w:color="auto" w:sz="4" w:space="0"/>
              <w:bottom w:val="single" w:color="auto" w:sz="4" w:space="0"/>
              <w:right w:val="single" w:color="auto" w:sz="4" w:space="0"/>
            </w:tcBorders>
            <w:vAlign w:val="center"/>
          </w:tcPr>
          <w:p w14:paraId="69E0A161">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699BFB33">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w:t>
            </w:r>
            <w:r>
              <w:rPr>
                <w:rFonts w:hint="default" w:ascii="Times New Roman" w:hAnsi="Times New Roman" w:cs="Times New Roman"/>
                <w:b/>
                <w:bCs/>
                <w:color w:val="auto"/>
                <w:kern w:val="0"/>
                <w:sz w:val="21"/>
                <w:szCs w:val="21"/>
                <w:highlight w:val="none"/>
              </w:rPr>
              <w:t>km</w:t>
            </w:r>
            <w:r>
              <w:rPr>
                <w:rFonts w:hint="default" w:ascii="Times New Roman" w:hAnsi="Times New Roman" w:cs="Times New Roman"/>
                <w:b/>
                <w:bCs/>
                <w:color w:val="auto"/>
                <w:kern w:val="0"/>
                <w:sz w:val="21"/>
                <w:szCs w:val="21"/>
                <w:highlight w:val="none"/>
                <w:lang w:eastAsia="zh-CN"/>
              </w:rPr>
              <w:t>)</w:t>
            </w:r>
          </w:p>
        </w:tc>
        <w:tc>
          <w:tcPr>
            <w:tcW w:w="0" w:type="auto"/>
            <w:tcBorders>
              <w:top w:val="nil"/>
              <w:left w:val="nil"/>
              <w:bottom w:val="single" w:color="auto" w:sz="4" w:space="0"/>
              <w:right w:val="single" w:color="auto" w:sz="4" w:space="0"/>
            </w:tcBorders>
            <w:vAlign w:val="center"/>
          </w:tcPr>
          <w:p w14:paraId="2000C220">
            <w:pPr>
              <w:widowControl/>
              <w:spacing w:line="240" w:lineRule="auto"/>
              <w:jc w:val="center"/>
              <w:rPr>
                <w:rFonts w:hint="default" w:ascii="Times New Roman" w:hAnsi="Times New Roman" w:cs="Times New Roman"/>
                <w:b/>
                <w:bCs/>
                <w:color w:val="auto"/>
                <w:kern w:val="0"/>
                <w:sz w:val="21"/>
                <w:szCs w:val="21"/>
                <w:highlight w:val="none"/>
              </w:rPr>
            </w:pPr>
            <w:r>
              <w:rPr>
                <w:rFonts w:hint="default" w:ascii="Times New Roman" w:hAnsi="Times New Roman" w:cs="Times New Roman"/>
                <w:b/>
                <w:bCs/>
                <w:color w:val="auto"/>
                <w:kern w:val="0"/>
                <w:sz w:val="21"/>
                <w:szCs w:val="21"/>
                <w:highlight w:val="none"/>
                <w:lang w:eastAsia="zh-CN"/>
              </w:rPr>
              <w:t>(</w:t>
            </w:r>
            <w:r>
              <w:rPr>
                <w:rFonts w:hint="default" w:ascii="Times New Roman" w:hAnsi="Times New Roman" w:cs="Times New Roman"/>
                <w:b/>
                <w:bCs/>
                <w:color w:val="auto"/>
                <w:kern w:val="0"/>
                <w:sz w:val="21"/>
                <w:szCs w:val="21"/>
                <w:highlight w:val="none"/>
              </w:rPr>
              <w:t>km</w:t>
            </w:r>
            <w:r>
              <w:rPr>
                <w:rFonts w:hint="default" w:ascii="Times New Roman" w:hAnsi="Times New Roman" w:cs="Times New Roman"/>
                <w:b/>
                <w:bCs/>
                <w:color w:val="auto"/>
                <w:kern w:val="0"/>
                <w:sz w:val="21"/>
                <w:szCs w:val="21"/>
                <w:highlight w:val="none"/>
                <w:vertAlign w:val="superscript"/>
              </w:rPr>
              <w:t>2</w:t>
            </w:r>
            <w:r>
              <w:rPr>
                <w:rFonts w:hint="default" w:ascii="Times New Roman" w:hAnsi="Times New Roman" w:cs="Times New Roman"/>
                <w:b/>
                <w:bCs/>
                <w:color w:val="auto"/>
                <w:kern w:val="0"/>
                <w:sz w:val="21"/>
                <w:szCs w:val="21"/>
                <w:highlight w:val="none"/>
                <w:vertAlign w:val="superscript"/>
                <w:lang w:eastAsia="zh-CN"/>
              </w:rPr>
              <w:t>)</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823FCFF">
            <w:pPr>
              <w:widowControl/>
              <w:spacing w:line="240" w:lineRule="auto"/>
              <w:jc w:val="center"/>
              <w:rPr>
                <w:rFonts w:hint="default" w:ascii="Times New Roman" w:hAnsi="Times New Roman" w:cs="Times New Roman"/>
                <w:color w:val="auto"/>
                <w:kern w:val="0"/>
                <w:sz w:val="21"/>
                <w:szCs w:val="21"/>
                <w:highlight w:val="none"/>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7ADA564">
            <w:pPr>
              <w:widowControl/>
              <w:spacing w:line="240" w:lineRule="auto"/>
              <w:jc w:val="center"/>
              <w:rPr>
                <w:rFonts w:hint="default" w:ascii="Times New Roman" w:hAnsi="Times New Roman" w:cs="Times New Roman"/>
                <w:color w:val="auto"/>
                <w:kern w:val="0"/>
                <w:sz w:val="21"/>
                <w:szCs w:val="21"/>
                <w:highlight w:val="none"/>
              </w:rPr>
            </w:pPr>
          </w:p>
        </w:tc>
        <w:tc>
          <w:tcPr>
            <w:tcW w:w="0" w:type="auto"/>
            <w:vMerge w:val="continue"/>
            <w:tcBorders>
              <w:top w:val="nil"/>
              <w:left w:val="single" w:color="auto" w:sz="4" w:space="0"/>
              <w:bottom w:val="single" w:color="auto" w:sz="4" w:space="0"/>
              <w:right w:val="single" w:color="auto" w:sz="4" w:space="0"/>
            </w:tcBorders>
            <w:vAlign w:val="center"/>
          </w:tcPr>
          <w:p w14:paraId="5BAED69A">
            <w:pPr>
              <w:widowControl/>
              <w:spacing w:line="240" w:lineRule="auto"/>
              <w:jc w:val="center"/>
              <w:rPr>
                <w:rFonts w:hint="default" w:ascii="Times New Roman" w:hAnsi="Times New Roman" w:cs="Times New Roman"/>
                <w:color w:val="auto"/>
                <w:kern w:val="0"/>
                <w:sz w:val="21"/>
                <w:szCs w:val="21"/>
                <w:highlight w:val="none"/>
              </w:rPr>
            </w:pPr>
          </w:p>
        </w:tc>
        <w:tc>
          <w:tcPr>
            <w:tcW w:w="0" w:type="auto"/>
            <w:vMerge w:val="continue"/>
            <w:tcBorders>
              <w:top w:val="nil"/>
              <w:left w:val="single" w:color="auto" w:sz="4" w:space="0"/>
              <w:bottom w:val="single" w:color="auto" w:sz="4" w:space="0"/>
              <w:right w:val="single" w:color="auto" w:sz="4" w:space="0"/>
            </w:tcBorders>
            <w:vAlign w:val="center"/>
          </w:tcPr>
          <w:p w14:paraId="5D6BB3BA">
            <w:pPr>
              <w:widowControl/>
              <w:spacing w:line="240" w:lineRule="auto"/>
              <w:jc w:val="center"/>
              <w:rPr>
                <w:rFonts w:hint="default" w:ascii="Times New Roman" w:hAnsi="Times New Roman" w:cs="Times New Roman"/>
                <w:color w:val="auto"/>
                <w:kern w:val="0"/>
                <w:sz w:val="21"/>
                <w:szCs w:val="21"/>
                <w:highlight w:val="none"/>
              </w:rPr>
            </w:pPr>
          </w:p>
        </w:tc>
      </w:tr>
      <w:tr w14:paraId="23DE158F">
        <w:tblPrEx>
          <w:tblCellMar>
            <w:top w:w="0" w:type="dxa"/>
            <w:left w:w="108" w:type="dxa"/>
            <w:bottom w:w="0" w:type="dxa"/>
            <w:right w:w="108" w:type="dxa"/>
          </w:tblCellMar>
        </w:tblPrEx>
        <w:trPr>
          <w:trHeight w:val="648" w:hRule="atLeast"/>
        </w:trPr>
        <w:tc>
          <w:tcPr>
            <w:tcW w:w="0" w:type="auto"/>
            <w:tcBorders>
              <w:top w:val="nil"/>
              <w:left w:val="single" w:color="auto" w:sz="4" w:space="0"/>
              <w:bottom w:val="single" w:color="auto" w:sz="4" w:space="0"/>
              <w:right w:val="single" w:color="auto" w:sz="4" w:space="0"/>
            </w:tcBorders>
            <w:vAlign w:val="center"/>
          </w:tcPr>
          <w:p w14:paraId="6E50AB1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w:t>
            </w:r>
          </w:p>
        </w:tc>
        <w:tc>
          <w:tcPr>
            <w:tcW w:w="1720" w:type="dxa"/>
            <w:tcBorders>
              <w:top w:val="nil"/>
              <w:left w:val="nil"/>
              <w:bottom w:val="single" w:color="auto" w:sz="4" w:space="0"/>
              <w:right w:val="single" w:color="auto" w:sz="4" w:space="0"/>
            </w:tcBorders>
            <w:vAlign w:val="center"/>
          </w:tcPr>
          <w:p w14:paraId="27C0D40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珠江沾益源头水保护区</w:t>
            </w:r>
          </w:p>
        </w:tc>
        <w:tc>
          <w:tcPr>
            <w:tcW w:w="2605" w:type="dxa"/>
            <w:tcBorders>
              <w:top w:val="nil"/>
              <w:left w:val="nil"/>
              <w:bottom w:val="single" w:color="auto" w:sz="4" w:space="0"/>
              <w:right w:val="single" w:color="auto" w:sz="4" w:space="0"/>
            </w:tcBorders>
            <w:vAlign w:val="center"/>
          </w:tcPr>
          <w:p w14:paraId="2B929A0F">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322D0DE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057B830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沾益段</w:t>
            </w:r>
          </w:p>
        </w:tc>
        <w:tc>
          <w:tcPr>
            <w:tcW w:w="0" w:type="auto"/>
            <w:tcBorders>
              <w:top w:val="nil"/>
              <w:left w:val="nil"/>
              <w:bottom w:val="single" w:color="auto" w:sz="4" w:space="0"/>
              <w:right w:val="single" w:color="auto" w:sz="4" w:space="0"/>
            </w:tcBorders>
            <w:vAlign w:val="center"/>
          </w:tcPr>
          <w:p w14:paraId="6E5E862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B4D3B2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花山水库坝址</w:t>
            </w:r>
          </w:p>
        </w:tc>
        <w:tc>
          <w:tcPr>
            <w:tcW w:w="0" w:type="auto"/>
            <w:tcBorders>
              <w:top w:val="nil"/>
              <w:left w:val="nil"/>
              <w:bottom w:val="single" w:color="auto" w:sz="4" w:space="0"/>
              <w:right w:val="single" w:color="auto" w:sz="4" w:space="0"/>
            </w:tcBorders>
            <w:vAlign w:val="center"/>
          </w:tcPr>
          <w:p w14:paraId="1CE2BE1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32.9</w:t>
            </w:r>
          </w:p>
        </w:tc>
        <w:tc>
          <w:tcPr>
            <w:tcW w:w="0" w:type="auto"/>
            <w:tcBorders>
              <w:top w:val="nil"/>
              <w:left w:val="nil"/>
              <w:bottom w:val="single" w:color="auto" w:sz="4" w:space="0"/>
              <w:right w:val="single" w:color="auto" w:sz="4" w:space="0"/>
            </w:tcBorders>
            <w:vAlign w:val="center"/>
          </w:tcPr>
          <w:p w14:paraId="41A3C61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3.12</w:t>
            </w:r>
          </w:p>
        </w:tc>
        <w:tc>
          <w:tcPr>
            <w:tcW w:w="0" w:type="auto"/>
            <w:tcBorders>
              <w:top w:val="nil"/>
              <w:left w:val="nil"/>
              <w:bottom w:val="single" w:color="auto" w:sz="4" w:space="0"/>
              <w:right w:val="single" w:color="auto" w:sz="4" w:space="0"/>
            </w:tcBorders>
            <w:vAlign w:val="center"/>
          </w:tcPr>
          <w:p w14:paraId="42F3F1C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花山水库</w:t>
            </w:r>
          </w:p>
        </w:tc>
        <w:tc>
          <w:tcPr>
            <w:tcW w:w="0" w:type="auto"/>
            <w:tcBorders>
              <w:top w:val="nil"/>
              <w:left w:val="nil"/>
              <w:bottom w:val="single" w:color="auto" w:sz="4" w:space="0"/>
              <w:right w:val="single" w:color="auto" w:sz="4" w:space="0"/>
            </w:tcBorders>
            <w:vAlign w:val="center"/>
          </w:tcPr>
          <w:p w14:paraId="238EE4F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BF3904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9F1FF5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1AC20704">
        <w:tblPrEx>
          <w:tblCellMar>
            <w:top w:w="0" w:type="dxa"/>
            <w:left w:w="108" w:type="dxa"/>
            <w:bottom w:w="0" w:type="dxa"/>
            <w:right w:w="108" w:type="dxa"/>
          </w:tblCellMar>
        </w:tblPrEx>
        <w:trPr>
          <w:trHeight w:val="576" w:hRule="atLeast"/>
        </w:trPr>
        <w:tc>
          <w:tcPr>
            <w:tcW w:w="0" w:type="auto"/>
            <w:vMerge w:val="restart"/>
            <w:tcBorders>
              <w:top w:val="nil"/>
              <w:left w:val="single" w:color="auto" w:sz="4" w:space="0"/>
              <w:bottom w:val="single" w:color="000000" w:sz="4" w:space="0"/>
              <w:right w:val="single" w:color="auto" w:sz="4" w:space="0"/>
            </w:tcBorders>
            <w:vAlign w:val="center"/>
          </w:tcPr>
          <w:p w14:paraId="19EDDE1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w:t>
            </w:r>
          </w:p>
        </w:tc>
        <w:tc>
          <w:tcPr>
            <w:tcW w:w="1720" w:type="dxa"/>
            <w:vMerge w:val="restart"/>
            <w:tcBorders>
              <w:top w:val="nil"/>
              <w:left w:val="single" w:color="auto" w:sz="4" w:space="0"/>
              <w:bottom w:val="single" w:color="000000" w:sz="4" w:space="0"/>
              <w:right w:val="single" w:color="auto" w:sz="4" w:space="0"/>
            </w:tcBorders>
            <w:vAlign w:val="center"/>
          </w:tcPr>
          <w:p w14:paraId="556D518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南盘江沾益-陆良开发利用区</w:t>
            </w:r>
          </w:p>
        </w:tc>
        <w:tc>
          <w:tcPr>
            <w:tcW w:w="2605" w:type="dxa"/>
            <w:tcBorders>
              <w:top w:val="nil"/>
              <w:left w:val="nil"/>
              <w:bottom w:val="single" w:color="auto" w:sz="4" w:space="0"/>
              <w:right w:val="single" w:color="auto" w:sz="4" w:space="0"/>
            </w:tcBorders>
            <w:vAlign w:val="center"/>
          </w:tcPr>
          <w:p w14:paraId="5DDE4F1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南盘江花山排污控制区</w:t>
            </w:r>
          </w:p>
        </w:tc>
        <w:tc>
          <w:tcPr>
            <w:tcW w:w="691" w:type="dxa"/>
            <w:tcBorders>
              <w:top w:val="nil"/>
              <w:left w:val="nil"/>
              <w:bottom w:val="single" w:color="auto" w:sz="4" w:space="0"/>
              <w:right w:val="single" w:color="auto" w:sz="4" w:space="0"/>
            </w:tcBorders>
            <w:vAlign w:val="center"/>
          </w:tcPr>
          <w:p w14:paraId="348DCA8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3EA053D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花山段</w:t>
            </w:r>
          </w:p>
        </w:tc>
        <w:tc>
          <w:tcPr>
            <w:tcW w:w="0" w:type="auto"/>
            <w:tcBorders>
              <w:top w:val="nil"/>
              <w:left w:val="nil"/>
              <w:bottom w:val="single" w:color="auto" w:sz="4" w:space="0"/>
              <w:right w:val="single" w:color="auto" w:sz="4" w:space="0"/>
            </w:tcBorders>
            <w:vAlign w:val="center"/>
          </w:tcPr>
          <w:p w14:paraId="27BD706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花山水库坝址</w:t>
            </w:r>
          </w:p>
        </w:tc>
        <w:tc>
          <w:tcPr>
            <w:tcW w:w="0" w:type="auto"/>
            <w:tcBorders>
              <w:top w:val="nil"/>
              <w:left w:val="nil"/>
              <w:bottom w:val="single" w:color="auto" w:sz="4" w:space="0"/>
              <w:right w:val="single" w:color="auto" w:sz="4" w:space="0"/>
            </w:tcBorders>
            <w:vAlign w:val="center"/>
          </w:tcPr>
          <w:p w14:paraId="298D8DE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白浪河汇口</w:t>
            </w:r>
          </w:p>
        </w:tc>
        <w:tc>
          <w:tcPr>
            <w:tcW w:w="0" w:type="auto"/>
            <w:tcBorders>
              <w:top w:val="nil"/>
              <w:left w:val="nil"/>
              <w:bottom w:val="single" w:color="auto" w:sz="4" w:space="0"/>
              <w:right w:val="single" w:color="auto" w:sz="4" w:space="0"/>
            </w:tcBorders>
            <w:vAlign w:val="center"/>
          </w:tcPr>
          <w:p w14:paraId="368903F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5.5</w:t>
            </w:r>
          </w:p>
        </w:tc>
        <w:tc>
          <w:tcPr>
            <w:tcW w:w="0" w:type="auto"/>
            <w:tcBorders>
              <w:top w:val="nil"/>
              <w:left w:val="nil"/>
              <w:bottom w:val="single" w:color="auto" w:sz="4" w:space="0"/>
              <w:right w:val="single" w:color="auto" w:sz="4" w:space="0"/>
            </w:tcBorders>
            <w:vAlign w:val="center"/>
          </w:tcPr>
          <w:p w14:paraId="416A3E60">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23E7B75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大树屯铁路桥</w:t>
            </w:r>
          </w:p>
        </w:tc>
        <w:tc>
          <w:tcPr>
            <w:tcW w:w="0" w:type="auto"/>
            <w:tcBorders>
              <w:top w:val="nil"/>
              <w:left w:val="nil"/>
              <w:bottom w:val="single" w:color="auto" w:sz="4" w:space="0"/>
              <w:right w:val="single" w:color="auto" w:sz="4" w:space="0"/>
            </w:tcBorders>
            <w:vAlign w:val="center"/>
          </w:tcPr>
          <w:p w14:paraId="0B70CBD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0147AA2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3558625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403D08C2">
        <w:tblPrEx>
          <w:tblCellMar>
            <w:top w:w="0" w:type="dxa"/>
            <w:left w:w="108" w:type="dxa"/>
            <w:bottom w:w="0" w:type="dxa"/>
            <w:right w:w="108" w:type="dxa"/>
          </w:tblCellMar>
        </w:tblPrEx>
        <w:trPr>
          <w:trHeight w:val="576" w:hRule="atLeast"/>
        </w:trPr>
        <w:tc>
          <w:tcPr>
            <w:tcW w:w="0" w:type="auto"/>
            <w:vMerge w:val="continue"/>
            <w:tcBorders>
              <w:top w:val="nil"/>
              <w:left w:val="single" w:color="auto" w:sz="4" w:space="0"/>
              <w:bottom w:val="single" w:color="000000" w:sz="4" w:space="0"/>
              <w:right w:val="single" w:color="auto" w:sz="4" w:space="0"/>
            </w:tcBorders>
            <w:vAlign w:val="center"/>
          </w:tcPr>
          <w:p w14:paraId="2093EE26">
            <w:pPr>
              <w:widowControl/>
              <w:spacing w:line="240" w:lineRule="auto"/>
              <w:jc w:val="center"/>
              <w:rPr>
                <w:rFonts w:hint="default" w:ascii="Times New Roman" w:hAnsi="Times New Roman" w:cs="Times New Roman"/>
                <w:color w:val="auto"/>
                <w:kern w:val="0"/>
                <w:sz w:val="21"/>
                <w:szCs w:val="21"/>
                <w:highlight w:val="none"/>
              </w:rPr>
            </w:pPr>
          </w:p>
        </w:tc>
        <w:tc>
          <w:tcPr>
            <w:tcW w:w="1720" w:type="dxa"/>
            <w:vMerge w:val="continue"/>
            <w:tcBorders>
              <w:top w:val="nil"/>
              <w:left w:val="single" w:color="auto" w:sz="4" w:space="0"/>
              <w:bottom w:val="single" w:color="000000" w:sz="4" w:space="0"/>
              <w:right w:val="single" w:color="auto" w:sz="4" w:space="0"/>
            </w:tcBorders>
            <w:vAlign w:val="center"/>
          </w:tcPr>
          <w:p w14:paraId="6623E0C9">
            <w:pPr>
              <w:widowControl/>
              <w:spacing w:line="240" w:lineRule="auto"/>
              <w:jc w:val="center"/>
              <w:rPr>
                <w:rFonts w:hint="default" w:ascii="Times New Roman" w:hAnsi="Times New Roman" w:cs="Times New Roman"/>
                <w:color w:val="auto"/>
                <w:kern w:val="0"/>
                <w:sz w:val="21"/>
                <w:szCs w:val="21"/>
                <w:highlight w:val="none"/>
              </w:rPr>
            </w:pPr>
          </w:p>
        </w:tc>
        <w:tc>
          <w:tcPr>
            <w:tcW w:w="2605" w:type="dxa"/>
            <w:tcBorders>
              <w:top w:val="nil"/>
              <w:left w:val="nil"/>
              <w:bottom w:val="single" w:color="auto" w:sz="4" w:space="0"/>
              <w:right w:val="single" w:color="auto" w:sz="4" w:space="0"/>
            </w:tcBorders>
            <w:vAlign w:val="center"/>
          </w:tcPr>
          <w:p w14:paraId="0973715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南盘江盘江过渡区</w:t>
            </w:r>
          </w:p>
        </w:tc>
        <w:tc>
          <w:tcPr>
            <w:tcW w:w="691" w:type="dxa"/>
            <w:tcBorders>
              <w:top w:val="nil"/>
              <w:left w:val="nil"/>
              <w:bottom w:val="single" w:color="auto" w:sz="4" w:space="0"/>
              <w:right w:val="single" w:color="auto" w:sz="4" w:space="0"/>
            </w:tcBorders>
            <w:vAlign w:val="center"/>
          </w:tcPr>
          <w:p w14:paraId="2CCF475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26F05AF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盘江段</w:t>
            </w:r>
          </w:p>
        </w:tc>
        <w:tc>
          <w:tcPr>
            <w:tcW w:w="0" w:type="auto"/>
            <w:tcBorders>
              <w:top w:val="nil"/>
              <w:left w:val="nil"/>
              <w:bottom w:val="single" w:color="auto" w:sz="4" w:space="0"/>
              <w:right w:val="single" w:color="auto" w:sz="4" w:space="0"/>
            </w:tcBorders>
            <w:vAlign w:val="center"/>
          </w:tcPr>
          <w:p w14:paraId="6DDEED2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白浪河汇口</w:t>
            </w:r>
          </w:p>
        </w:tc>
        <w:tc>
          <w:tcPr>
            <w:tcW w:w="0" w:type="auto"/>
            <w:tcBorders>
              <w:top w:val="nil"/>
              <w:left w:val="nil"/>
              <w:bottom w:val="single" w:color="auto" w:sz="4" w:space="0"/>
              <w:right w:val="single" w:color="auto" w:sz="4" w:space="0"/>
            </w:tcBorders>
            <w:vAlign w:val="center"/>
          </w:tcPr>
          <w:p w14:paraId="1C3CE42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盘江陈方桥</w:t>
            </w:r>
          </w:p>
        </w:tc>
        <w:tc>
          <w:tcPr>
            <w:tcW w:w="0" w:type="auto"/>
            <w:tcBorders>
              <w:top w:val="nil"/>
              <w:left w:val="nil"/>
              <w:bottom w:val="single" w:color="auto" w:sz="4" w:space="0"/>
              <w:right w:val="single" w:color="auto" w:sz="4" w:space="0"/>
            </w:tcBorders>
            <w:vAlign w:val="center"/>
          </w:tcPr>
          <w:p w14:paraId="670AB20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2.6</w:t>
            </w:r>
          </w:p>
        </w:tc>
        <w:tc>
          <w:tcPr>
            <w:tcW w:w="0" w:type="auto"/>
            <w:tcBorders>
              <w:top w:val="nil"/>
              <w:left w:val="nil"/>
              <w:bottom w:val="single" w:color="auto" w:sz="4" w:space="0"/>
              <w:right w:val="single" w:color="auto" w:sz="4" w:space="0"/>
            </w:tcBorders>
            <w:vAlign w:val="center"/>
          </w:tcPr>
          <w:p w14:paraId="205C4694">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0F0C70A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陈方桥</w:t>
            </w:r>
          </w:p>
        </w:tc>
        <w:tc>
          <w:tcPr>
            <w:tcW w:w="0" w:type="auto"/>
            <w:tcBorders>
              <w:top w:val="nil"/>
              <w:left w:val="nil"/>
              <w:bottom w:val="single" w:color="auto" w:sz="4" w:space="0"/>
              <w:right w:val="single" w:color="auto" w:sz="4" w:space="0"/>
            </w:tcBorders>
            <w:vAlign w:val="center"/>
          </w:tcPr>
          <w:p w14:paraId="6B4AD58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30EE05C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3660F25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3DC6B1D9">
        <w:tblPrEx>
          <w:tblCellMar>
            <w:top w:w="0" w:type="dxa"/>
            <w:left w:w="108" w:type="dxa"/>
            <w:bottom w:w="0" w:type="dxa"/>
            <w:right w:w="108" w:type="dxa"/>
          </w:tblCellMar>
        </w:tblPrEx>
        <w:trPr>
          <w:trHeight w:val="576" w:hRule="atLeast"/>
        </w:trPr>
        <w:tc>
          <w:tcPr>
            <w:tcW w:w="0" w:type="auto"/>
            <w:vMerge w:val="continue"/>
            <w:tcBorders>
              <w:top w:val="nil"/>
              <w:left w:val="single" w:color="auto" w:sz="4" w:space="0"/>
              <w:bottom w:val="single" w:color="000000" w:sz="4" w:space="0"/>
              <w:right w:val="single" w:color="auto" w:sz="4" w:space="0"/>
            </w:tcBorders>
            <w:vAlign w:val="center"/>
          </w:tcPr>
          <w:p w14:paraId="0085D392">
            <w:pPr>
              <w:widowControl/>
              <w:spacing w:line="240" w:lineRule="auto"/>
              <w:jc w:val="center"/>
              <w:rPr>
                <w:rFonts w:hint="default" w:ascii="Times New Roman" w:hAnsi="Times New Roman" w:cs="Times New Roman"/>
                <w:color w:val="auto"/>
                <w:kern w:val="0"/>
                <w:sz w:val="21"/>
                <w:szCs w:val="21"/>
                <w:highlight w:val="none"/>
              </w:rPr>
            </w:pPr>
          </w:p>
        </w:tc>
        <w:tc>
          <w:tcPr>
            <w:tcW w:w="1720" w:type="dxa"/>
            <w:vMerge w:val="continue"/>
            <w:tcBorders>
              <w:top w:val="nil"/>
              <w:left w:val="single" w:color="auto" w:sz="4" w:space="0"/>
              <w:bottom w:val="single" w:color="000000" w:sz="4" w:space="0"/>
              <w:right w:val="single" w:color="auto" w:sz="4" w:space="0"/>
            </w:tcBorders>
            <w:vAlign w:val="center"/>
          </w:tcPr>
          <w:p w14:paraId="29123A65">
            <w:pPr>
              <w:widowControl/>
              <w:spacing w:line="240" w:lineRule="auto"/>
              <w:jc w:val="center"/>
              <w:rPr>
                <w:rFonts w:hint="default" w:ascii="Times New Roman" w:hAnsi="Times New Roman" w:cs="Times New Roman"/>
                <w:color w:val="auto"/>
                <w:kern w:val="0"/>
                <w:sz w:val="21"/>
                <w:szCs w:val="21"/>
                <w:highlight w:val="none"/>
              </w:rPr>
            </w:pPr>
          </w:p>
        </w:tc>
        <w:tc>
          <w:tcPr>
            <w:tcW w:w="2605" w:type="dxa"/>
            <w:tcBorders>
              <w:top w:val="nil"/>
              <w:left w:val="nil"/>
              <w:bottom w:val="single" w:color="auto" w:sz="4" w:space="0"/>
              <w:right w:val="single" w:color="auto" w:sz="4" w:space="0"/>
            </w:tcBorders>
            <w:vAlign w:val="center"/>
          </w:tcPr>
          <w:p w14:paraId="3B56EA9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南盘江沾益农业、工业、渔业用水区</w:t>
            </w:r>
          </w:p>
        </w:tc>
        <w:tc>
          <w:tcPr>
            <w:tcW w:w="691" w:type="dxa"/>
            <w:tcBorders>
              <w:top w:val="nil"/>
              <w:left w:val="nil"/>
              <w:bottom w:val="single" w:color="auto" w:sz="4" w:space="0"/>
              <w:right w:val="single" w:color="auto" w:sz="4" w:space="0"/>
            </w:tcBorders>
            <w:vAlign w:val="center"/>
          </w:tcPr>
          <w:p w14:paraId="107192A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70140E3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沾益段</w:t>
            </w:r>
          </w:p>
        </w:tc>
        <w:tc>
          <w:tcPr>
            <w:tcW w:w="0" w:type="auto"/>
            <w:tcBorders>
              <w:top w:val="nil"/>
              <w:left w:val="nil"/>
              <w:bottom w:val="single" w:color="auto" w:sz="4" w:space="0"/>
              <w:right w:val="single" w:color="auto" w:sz="4" w:space="0"/>
            </w:tcBorders>
            <w:vAlign w:val="center"/>
          </w:tcPr>
          <w:p w14:paraId="4C73713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盘江陈方桥</w:t>
            </w:r>
          </w:p>
        </w:tc>
        <w:tc>
          <w:tcPr>
            <w:tcW w:w="0" w:type="auto"/>
            <w:tcBorders>
              <w:top w:val="nil"/>
              <w:left w:val="nil"/>
              <w:bottom w:val="single" w:color="auto" w:sz="4" w:space="0"/>
              <w:right w:val="single" w:color="auto" w:sz="4" w:space="0"/>
            </w:tcBorders>
            <w:vAlign w:val="center"/>
          </w:tcPr>
          <w:p w14:paraId="03CAF4D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沾益天生坝电站</w:t>
            </w:r>
          </w:p>
        </w:tc>
        <w:tc>
          <w:tcPr>
            <w:tcW w:w="0" w:type="auto"/>
            <w:tcBorders>
              <w:top w:val="nil"/>
              <w:left w:val="nil"/>
              <w:bottom w:val="single" w:color="auto" w:sz="4" w:space="0"/>
              <w:right w:val="single" w:color="auto" w:sz="4" w:space="0"/>
            </w:tcBorders>
            <w:vAlign w:val="center"/>
          </w:tcPr>
          <w:p w14:paraId="1C20B0B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21.9</w:t>
            </w:r>
          </w:p>
        </w:tc>
        <w:tc>
          <w:tcPr>
            <w:tcW w:w="0" w:type="auto"/>
            <w:tcBorders>
              <w:top w:val="nil"/>
              <w:left w:val="nil"/>
              <w:bottom w:val="single" w:color="auto" w:sz="4" w:space="0"/>
              <w:right w:val="single" w:color="auto" w:sz="4" w:space="0"/>
            </w:tcBorders>
            <w:vAlign w:val="center"/>
          </w:tcPr>
          <w:p w14:paraId="2D28C5BC">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103681E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天生坝电站</w:t>
            </w:r>
          </w:p>
        </w:tc>
        <w:tc>
          <w:tcPr>
            <w:tcW w:w="0" w:type="auto"/>
            <w:tcBorders>
              <w:top w:val="nil"/>
              <w:left w:val="nil"/>
              <w:bottom w:val="single" w:color="auto" w:sz="4" w:space="0"/>
              <w:right w:val="single" w:color="auto" w:sz="4" w:space="0"/>
            </w:tcBorders>
            <w:vAlign w:val="center"/>
          </w:tcPr>
          <w:p w14:paraId="16236FF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688BFF4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5DCDDDE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5735D893">
        <w:tblPrEx>
          <w:tblCellMar>
            <w:top w:w="0" w:type="dxa"/>
            <w:left w:w="108" w:type="dxa"/>
            <w:bottom w:w="0" w:type="dxa"/>
            <w:right w:w="108" w:type="dxa"/>
          </w:tblCellMar>
        </w:tblPrEx>
        <w:trPr>
          <w:trHeight w:val="576" w:hRule="atLeast"/>
        </w:trPr>
        <w:tc>
          <w:tcPr>
            <w:tcW w:w="0" w:type="auto"/>
            <w:vMerge w:val="continue"/>
            <w:tcBorders>
              <w:top w:val="nil"/>
              <w:left w:val="single" w:color="auto" w:sz="4" w:space="0"/>
              <w:bottom w:val="single" w:color="000000" w:sz="4" w:space="0"/>
              <w:right w:val="single" w:color="auto" w:sz="4" w:space="0"/>
            </w:tcBorders>
            <w:vAlign w:val="center"/>
          </w:tcPr>
          <w:p w14:paraId="0AA19DE3">
            <w:pPr>
              <w:widowControl/>
              <w:spacing w:line="240" w:lineRule="auto"/>
              <w:jc w:val="center"/>
              <w:rPr>
                <w:rFonts w:hint="default" w:ascii="Times New Roman" w:hAnsi="Times New Roman" w:cs="Times New Roman"/>
                <w:color w:val="auto"/>
                <w:kern w:val="0"/>
                <w:sz w:val="21"/>
                <w:szCs w:val="21"/>
                <w:highlight w:val="none"/>
              </w:rPr>
            </w:pPr>
          </w:p>
        </w:tc>
        <w:tc>
          <w:tcPr>
            <w:tcW w:w="1720" w:type="dxa"/>
            <w:vMerge w:val="continue"/>
            <w:tcBorders>
              <w:top w:val="nil"/>
              <w:left w:val="single" w:color="auto" w:sz="4" w:space="0"/>
              <w:bottom w:val="single" w:color="000000" w:sz="4" w:space="0"/>
              <w:right w:val="single" w:color="auto" w:sz="4" w:space="0"/>
            </w:tcBorders>
            <w:vAlign w:val="center"/>
          </w:tcPr>
          <w:p w14:paraId="7532CEF3">
            <w:pPr>
              <w:widowControl/>
              <w:spacing w:line="240" w:lineRule="auto"/>
              <w:jc w:val="center"/>
              <w:rPr>
                <w:rFonts w:hint="default" w:ascii="Times New Roman" w:hAnsi="Times New Roman" w:cs="Times New Roman"/>
                <w:color w:val="auto"/>
                <w:kern w:val="0"/>
                <w:sz w:val="21"/>
                <w:szCs w:val="21"/>
                <w:highlight w:val="none"/>
              </w:rPr>
            </w:pPr>
          </w:p>
        </w:tc>
        <w:tc>
          <w:tcPr>
            <w:tcW w:w="2605" w:type="dxa"/>
            <w:tcBorders>
              <w:top w:val="nil"/>
              <w:left w:val="nil"/>
              <w:bottom w:val="single" w:color="auto" w:sz="4" w:space="0"/>
              <w:right w:val="single" w:color="auto" w:sz="4" w:space="0"/>
            </w:tcBorders>
            <w:vAlign w:val="center"/>
          </w:tcPr>
          <w:p w14:paraId="393A370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南盘江沾益工业、农业、景观用水区</w:t>
            </w:r>
          </w:p>
        </w:tc>
        <w:tc>
          <w:tcPr>
            <w:tcW w:w="691" w:type="dxa"/>
            <w:tcBorders>
              <w:top w:val="nil"/>
              <w:left w:val="nil"/>
              <w:bottom w:val="single" w:color="auto" w:sz="4" w:space="0"/>
              <w:right w:val="single" w:color="auto" w:sz="4" w:space="0"/>
            </w:tcBorders>
            <w:vAlign w:val="center"/>
          </w:tcPr>
          <w:p w14:paraId="095E50B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024BBE1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沾益段</w:t>
            </w:r>
          </w:p>
        </w:tc>
        <w:tc>
          <w:tcPr>
            <w:tcW w:w="0" w:type="auto"/>
            <w:tcBorders>
              <w:top w:val="nil"/>
              <w:left w:val="nil"/>
              <w:bottom w:val="single" w:color="auto" w:sz="4" w:space="0"/>
              <w:right w:val="single" w:color="auto" w:sz="4" w:space="0"/>
            </w:tcBorders>
            <w:vAlign w:val="center"/>
          </w:tcPr>
          <w:p w14:paraId="2EC8865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沾益天生坝电站</w:t>
            </w:r>
          </w:p>
        </w:tc>
        <w:tc>
          <w:tcPr>
            <w:tcW w:w="0" w:type="auto"/>
            <w:tcBorders>
              <w:top w:val="nil"/>
              <w:left w:val="nil"/>
              <w:bottom w:val="single" w:color="auto" w:sz="4" w:space="0"/>
              <w:right w:val="single" w:color="auto" w:sz="4" w:space="0"/>
            </w:tcBorders>
            <w:vAlign w:val="center"/>
          </w:tcPr>
          <w:p w14:paraId="5DD6BFD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沾益东风闸</w:t>
            </w:r>
          </w:p>
        </w:tc>
        <w:tc>
          <w:tcPr>
            <w:tcW w:w="0" w:type="auto"/>
            <w:tcBorders>
              <w:top w:val="nil"/>
              <w:left w:val="nil"/>
              <w:bottom w:val="single" w:color="auto" w:sz="4" w:space="0"/>
              <w:right w:val="single" w:color="auto" w:sz="4" w:space="0"/>
            </w:tcBorders>
            <w:vAlign w:val="center"/>
          </w:tcPr>
          <w:p w14:paraId="1289FB0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4.5</w:t>
            </w:r>
          </w:p>
        </w:tc>
        <w:tc>
          <w:tcPr>
            <w:tcW w:w="0" w:type="auto"/>
            <w:tcBorders>
              <w:top w:val="nil"/>
              <w:left w:val="nil"/>
              <w:bottom w:val="single" w:color="auto" w:sz="4" w:space="0"/>
              <w:right w:val="single" w:color="auto" w:sz="4" w:space="0"/>
            </w:tcBorders>
            <w:vAlign w:val="center"/>
          </w:tcPr>
          <w:p w14:paraId="52706C00">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3DEC0CC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沾益东风闸</w:t>
            </w:r>
          </w:p>
        </w:tc>
        <w:tc>
          <w:tcPr>
            <w:tcW w:w="0" w:type="auto"/>
            <w:tcBorders>
              <w:top w:val="nil"/>
              <w:left w:val="nil"/>
              <w:bottom w:val="single" w:color="auto" w:sz="4" w:space="0"/>
              <w:right w:val="single" w:color="auto" w:sz="4" w:space="0"/>
            </w:tcBorders>
            <w:vAlign w:val="center"/>
          </w:tcPr>
          <w:p w14:paraId="23B2DA6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1F7260E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01FCB84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224B0DA8">
        <w:tblPrEx>
          <w:tblCellMar>
            <w:top w:w="0" w:type="dxa"/>
            <w:left w:w="108" w:type="dxa"/>
            <w:bottom w:w="0" w:type="dxa"/>
            <w:right w:w="108" w:type="dxa"/>
          </w:tblCellMar>
        </w:tblPrEx>
        <w:trPr>
          <w:trHeight w:val="576" w:hRule="atLeast"/>
        </w:trPr>
        <w:tc>
          <w:tcPr>
            <w:tcW w:w="0" w:type="auto"/>
            <w:vMerge w:val="continue"/>
            <w:tcBorders>
              <w:top w:val="nil"/>
              <w:left w:val="single" w:color="auto" w:sz="4" w:space="0"/>
              <w:bottom w:val="single" w:color="000000" w:sz="4" w:space="0"/>
              <w:right w:val="single" w:color="auto" w:sz="4" w:space="0"/>
            </w:tcBorders>
            <w:vAlign w:val="center"/>
          </w:tcPr>
          <w:p w14:paraId="47C2715F">
            <w:pPr>
              <w:widowControl/>
              <w:spacing w:line="240" w:lineRule="auto"/>
              <w:jc w:val="center"/>
              <w:rPr>
                <w:rFonts w:hint="default" w:ascii="Times New Roman" w:hAnsi="Times New Roman" w:cs="Times New Roman"/>
                <w:color w:val="auto"/>
                <w:kern w:val="0"/>
                <w:sz w:val="21"/>
                <w:szCs w:val="21"/>
                <w:highlight w:val="none"/>
              </w:rPr>
            </w:pPr>
          </w:p>
        </w:tc>
        <w:tc>
          <w:tcPr>
            <w:tcW w:w="1720" w:type="dxa"/>
            <w:vMerge w:val="continue"/>
            <w:tcBorders>
              <w:top w:val="nil"/>
              <w:left w:val="single" w:color="auto" w:sz="4" w:space="0"/>
              <w:bottom w:val="single" w:color="000000" w:sz="4" w:space="0"/>
              <w:right w:val="single" w:color="auto" w:sz="4" w:space="0"/>
            </w:tcBorders>
            <w:vAlign w:val="center"/>
          </w:tcPr>
          <w:p w14:paraId="09841E8F">
            <w:pPr>
              <w:widowControl/>
              <w:spacing w:line="240" w:lineRule="auto"/>
              <w:jc w:val="center"/>
              <w:rPr>
                <w:rFonts w:hint="default" w:ascii="Times New Roman" w:hAnsi="Times New Roman" w:cs="Times New Roman"/>
                <w:color w:val="auto"/>
                <w:kern w:val="0"/>
                <w:sz w:val="21"/>
                <w:szCs w:val="21"/>
                <w:highlight w:val="none"/>
              </w:rPr>
            </w:pPr>
          </w:p>
        </w:tc>
        <w:tc>
          <w:tcPr>
            <w:tcW w:w="2605" w:type="dxa"/>
            <w:tcBorders>
              <w:top w:val="nil"/>
              <w:left w:val="nil"/>
              <w:bottom w:val="single" w:color="auto" w:sz="4" w:space="0"/>
              <w:right w:val="single" w:color="auto" w:sz="4" w:space="0"/>
            </w:tcBorders>
            <w:vAlign w:val="center"/>
          </w:tcPr>
          <w:p w14:paraId="2C950DA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南盘江沾益-陆良农业、工业用水区</w:t>
            </w:r>
          </w:p>
        </w:tc>
        <w:tc>
          <w:tcPr>
            <w:tcW w:w="691" w:type="dxa"/>
            <w:tcBorders>
              <w:top w:val="nil"/>
              <w:left w:val="nil"/>
              <w:bottom w:val="single" w:color="auto" w:sz="4" w:space="0"/>
              <w:right w:val="single" w:color="auto" w:sz="4" w:space="0"/>
            </w:tcBorders>
            <w:vAlign w:val="center"/>
          </w:tcPr>
          <w:p w14:paraId="6D39478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497A2F6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沾益-陆良段</w:t>
            </w:r>
          </w:p>
        </w:tc>
        <w:tc>
          <w:tcPr>
            <w:tcW w:w="0" w:type="auto"/>
            <w:tcBorders>
              <w:top w:val="nil"/>
              <w:left w:val="nil"/>
              <w:bottom w:val="single" w:color="auto" w:sz="4" w:space="0"/>
              <w:right w:val="single" w:color="auto" w:sz="4" w:space="0"/>
            </w:tcBorders>
            <w:vAlign w:val="center"/>
          </w:tcPr>
          <w:p w14:paraId="6F78898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沾益东风闸</w:t>
            </w:r>
          </w:p>
        </w:tc>
        <w:tc>
          <w:tcPr>
            <w:tcW w:w="0" w:type="auto"/>
            <w:tcBorders>
              <w:top w:val="nil"/>
              <w:left w:val="nil"/>
              <w:bottom w:val="single" w:color="auto" w:sz="4" w:space="0"/>
              <w:right w:val="single" w:color="auto" w:sz="4" w:space="0"/>
            </w:tcBorders>
            <w:vAlign w:val="center"/>
          </w:tcPr>
          <w:p w14:paraId="7E420D4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陆良响水坝</w:t>
            </w:r>
          </w:p>
        </w:tc>
        <w:tc>
          <w:tcPr>
            <w:tcW w:w="0" w:type="auto"/>
            <w:tcBorders>
              <w:top w:val="nil"/>
              <w:left w:val="nil"/>
              <w:bottom w:val="single" w:color="auto" w:sz="4" w:space="0"/>
              <w:right w:val="single" w:color="auto" w:sz="4" w:space="0"/>
            </w:tcBorders>
            <w:vAlign w:val="center"/>
          </w:tcPr>
          <w:p w14:paraId="4705924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57.6</w:t>
            </w:r>
          </w:p>
        </w:tc>
        <w:tc>
          <w:tcPr>
            <w:tcW w:w="0" w:type="auto"/>
            <w:tcBorders>
              <w:top w:val="nil"/>
              <w:left w:val="nil"/>
              <w:bottom w:val="single" w:color="auto" w:sz="4" w:space="0"/>
              <w:right w:val="single" w:color="auto" w:sz="4" w:space="0"/>
            </w:tcBorders>
            <w:vAlign w:val="center"/>
          </w:tcPr>
          <w:p w14:paraId="3BCA5E8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2.2</w:t>
            </w:r>
          </w:p>
        </w:tc>
        <w:tc>
          <w:tcPr>
            <w:tcW w:w="0" w:type="auto"/>
            <w:tcBorders>
              <w:top w:val="nil"/>
              <w:left w:val="nil"/>
              <w:bottom w:val="single" w:color="auto" w:sz="4" w:space="0"/>
              <w:right w:val="single" w:color="auto" w:sz="4" w:space="0"/>
            </w:tcBorders>
            <w:vAlign w:val="center"/>
          </w:tcPr>
          <w:p w14:paraId="5D99309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下桥闸、响水坝</w:t>
            </w:r>
          </w:p>
        </w:tc>
        <w:tc>
          <w:tcPr>
            <w:tcW w:w="0" w:type="auto"/>
            <w:tcBorders>
              <w:top w:val="nil"/>
              <w:left w:val="nil"/>
              <w:bottom w:val="single" w:color="auto" w:sz="4" w:space="0"/>
              <w:right w:val="single" w:color="auto" w:sz="4" w:space="0"/>
            </w:tcBorders>
            <w:vAlign w:val="center"/>
          </w:tcPr>
          <w:p w14:paraId="58EAF37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V</w:t>
            </w:r>
          </w:p>
        </w:tc>
        <w:tc>
          <w:tcPr>
            <w:tcW w:w="0" w:type="auto"/>
            <w:tcBorders>
              <w:top w:val="nil"/>
              <w:left w:val="nil"/>
              <w:bottom w:val="single" w:color="auto" w:sz="4" w:space="0"/>
              <w:right w:val="single" w:color="auto" w:sz="4" w:space="0"/>
            </w:tcBorders>
            <w:vAlign w:val="center"/>
          </w:tcPr>
          <w:p w14:paraId="488BF74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3C9B063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58C34234">
        <w:tblPrEx>
          <w:tblCellMar>
            <w:top w:w="0" w:type="dxa"/>
            <w:left w:w="108" w:type="dxa"/>
            <w:bottom w:w="0" w:type="dxa"/>
            <w:right w:w="108" w:type="dxa"/>
          </w:tblCellMar>
        </w:tblPrEx>
        <w:trPr>
          <w:trHeight w:val="576" w:hRule="atLeast"/>
        </w:trPr>
        <w:tc>
          <w:tcPr>
            <w:tcW w:w="0" w:type="auto"/>
            <w:vMerge w:val="continue"/>
            <w:tcBorders>
              <w:top w:val="nil"/>
              <w:left w:val="single" w:color="auto" w:sz="4" w:space="0"/>
              <w:bottom w:val="single" w:color="000000" w:sz="4" w:space="0"/>
              <w:right w:val="single" w:color="auto" w:sz="4" w:space="0"/>
            </w:tcBorders>
            <w:vAlign w:val="center"/>
          </w:tcPr>
          <w:p w14:paraId="3457A20D">
            <w:pPr>
              <w:widowControl/>
              <w:spacing w:line="240" w:lineRule="auto"/>
              <w:jc w:val="center"/>
              <w:rPr>
                <w:rFonts w:hint="default" w:ascii="Times New Roman" w:hAnsi="Times New Roman" w:cs="Times New Roman"/>
                <w:color w:val="auto"/>
                <w:kern w:val="0"/>
                <w:sz w:val="21"/>
                <w:szCs w:val="21"/>
                <w:highlight w:val="none"/>
              </w:rPr>
            </w:pPr>
          </w:p>
        </w:tc>
        <w:tc>
          <w:tcPr>
            <w:tcW w:w="1720" w:type="dxa"/>
            <w:vMerge w:val="continue"/>
            <w:tcBorders>
              <w:top w:val="nil"/>
              <w:left w:val="single" w:color="auto" w:sz="4" w:space="0"/>
              <w:bottom w:val="single" w:color="000000" w:sz="4" w:space="0"/>
              <w:right w:val="single" w:color="auto" w:sz="4" w:space="0"/>
            </w:tcBorders>
            <w:vAlign w:val="center"/>
          </w:tcPr>
          <w:p w14:paraId="20F09328">
            <w:pPr>
              <w:widowControl/>
              <w:spacing w:line="240" w:lineRule="auto"/>
              <w:jc w:val="center"/>
              <w:rPr>
                <w:rFonts w:hint="default" w:ascii="Times New Roman" w:hAnsi="Times New Roman" w:cs="Times New Roman"/>
                <w:color w:val="auto"/>
                <w:kern w:val="0"/>
                <w:sz w:val="21"/>
                <w:szCs w:val="21"/>
                <w:highlight w:val="none"/>
              </w:rPr>
            </w:pPr>
          </w:p>
        </w:tc>
        <w:tc>
          <w:tcPr>
            <w:tcW w:w="2605" w:type="dxa"/>
            <w:tcBorders>
              <w:top w:val="nil"/>
              <w:left w:val="nil"/>
              <w:bottom w:val="single" w:color="auto" w:sz="4" w:space="0"/>
              <w:right w:val="single" w:color="auto" w:sz="4" w:space="0"/>
            </w:tcBorders>
            <w:vAlign w:val="center"/>
          </w:tcPr>
          <w:p w14:paraId="484A357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南盘江陆良农业、工业、渔业用水区</w:t>
            </w:r>
          </w:p>
        </w:tc>
        <w:tc>
          <w:tcPr>
            <w:tcW w:w="691" w:type="dxa"/>
            <w:tcBorders>
              <w:top w:val="nil"/>
              <w:left w:val="nil"/>
              <w:bottom w:val="single" w:color="auto" w:sz="4" w:space="0"/>
              <w:right w:val="single" w:color="auto" w:sz="4" w:space="0"/>
            </w:tcBorders>
            <w:vAlign w:val="center"/>
          </w:tcPr>
          <w:p w14:paraId="61F2824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2F7BD7E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陆良段</w:t>
            </w:r>
          </w:p>
        </w:tc>
        <w:tc>
          <w:tcPr>
            <w:tcW w:w="0" w:type="auto"/>
            <w:tcBorders>
              <w:top w:val="nil"/>
              <w:left w:val="nil"/>
              <w:bottom w:val="single" w:color="auto" w:sz="4" w:space="0"/>
              <w:right w:val="single" w:color="auto" w:sz="4" w:space="0"/>
            </w:tcBorders>
            <w:vAlign w:val="center"/>
          </w:tcPr>
          <w:p w14:paraId="3D1655B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陆良响水坝</w:t>
            </w:r>
          </w:p>
        </w:tc>
        <w:tc>
          <w:tcPr>
            <w:tcW w:w="0" w:type="auto"/>
            <w:tcBorders>
              <w:top w:val="nil"/>
              <w:left w:val="nil"/>
              <w:bottom w:val="single" w:color="auto" w:sz="4" w:space="0"/>
              <w:right w:val="single" w:color="auto" w:sz="4" w:space="0"/>
            </w:tcBorders>
            <w:vAlign w:val="center"/>
          </w:tcPr>
          <w:p w14:paraId="1CE2378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陆良西桥水文站</w:t>
            </w:r>
          </w:p>
        </w:tc>
        <w:tc>
          <w:tcPr>
            <w:tcW w:w="0" w:type="auto"/>
            <w:tcBorders>
              <w:top w:val="nil"/>
              <w:left w:val="nil"/>
              <w:bottom w:val="single" w:color="auto" w:sz="4" w:space="0"/>
              <w:right w:val="single" w:color="auto" w:sz="4" w:space="0"/>
            </w:tcBorders>
            <w:vAlign w:val="center"/>
          </w:tcPr>
          <w:p w14:paraId="2D79E44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28.2</w:t>
            </w:r>
          </w:p>
        </w:tc>
        <w:tc>
          <w:tcPr>
            <w:tcW w:w="0" w:type="auto"/>
            <w:tcBorders>
              <w:top w:val="nil"/>
              <w:left w:val="nil"/>
              <w:bottom w:val="single" w:color="auto" w:sz="4" w:space="0"/>
              <w:right w:val="single" w:color="auto" w:sz="4" w:space="0"/>
            </w:tcBorders>
            <w:vAlign w:val="center"/>
          </w:tcPr>
          <w:p w14:paraId="38385423">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6400875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西桥水文站</w:t>
            </w:r>
          </w:p>
        </w:tc>
        <w:tc>
          <w:tcPr>
            <w:tcW w:w="0" w:type="auto"/>
            <w:tcBorders>
              <w:top w:val="nil"/>
              <w:left w:val="nil"/>
              <w:bottom w:val="single" w:color="auto" w:sz="4" w:space="0"/>
              <w:right w:val="single" w:color="auto" w:sz="4" w:space="0"/>
            </w:tcBorders>
            <w:vAlign w:val="center"/>
          </w:tcPr>
          <w:p w14:paraId="035549D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劣V</w:t>
            </w:r>
          </w:p>
        </w:tc>
        <w:tc>
          <w:tcPr>
            <w:tcW w:w="0" w:type="auto"/>
            <w:tcBorders>
              <w:top w:val="nil"/>
              <w:left w:val="nil"/>
              <w:bottom w:val="single" w:color="auto" w:sz="4" w:space="0"/>
              <w:right w:val="single" w:color="auto" w:sz="4" w:space="0"/>
            </w:tcBorders>
            <w:vAlign w:val="center"/>
          </w:tcPr>
          <w:p w14:paraId="79FF3F4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502C90F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77A1752F">
        <w:tblPrEx>
          <w:tblCellMar>
            <w:top w:w="0" w:type="dxa"/>
            <w:left w:w="108" w:type="dxa"/>
            <w:bottom w:w="0" w:type="dxa"/>
            <w:right w:w="108" w:type="dxa"/>
          </w:tblCellMar>
        </w:tblPrEx>
        <w:trPr>
          <w:trHeight w:val="576" w:hRule="atLeast"/>
        </w:trPr>
        <w:tc>
          <w:tcPr>
            <w:tcW w:w="0" w:type="auto"/>
            <w:vMerge w:val="continue"/>
            <w:tcBorders>
              <w:top w:val="nil"/>
              <w:left w:val="single" w:color="auto" w:sz="4" w:space="0"/>
              <w:bottom w:val="single" w:color="000000" w:sz="4" w:space="0"/>
              <w:right w:val="single" w:color="auto" w:sz="4" w:space="0"/>
            </w:tcBorders>
            <w:vAlign w:val="center"/>
          </w:tcPr>
          <w:p w14:paraId="55CFAE3D">
            <w:pPr>
              <w:widowControl/>
              <w:spacing w:line="240" w:lineRule="auto"/>
              <w:jc w:val="center"/>
              <w:rPr>
                <w:rFonts w:hint="default" w:ascii="Times New Roman" w:hAnsi="Times New Roman" w:cs="Times New Roman"/>
                <w:color w:val="auto"/>
                <w:kern w:val="0"/>
                <w:sz w:val="21"/>
                <w:szCs w:val="21"/>
                <w:highlight w:val="none"/>
              </w:rPr>
            </w:pPr>
          </w:p>
        </w:tc>
        <w:tc>
          <w:tcPr>
            <w:tcW w:w="1720" w:type="dxa"/>
            <w:vMerge w:val="continue"/>
            <w:tcBorders>
              <w:top w:val="nil"/>
              <w:left w:val="single" w:color="auto" w:sz="4" w:space="0"/>
              <w:bottom w:val="single" w:color="000000" w:sz="4" w:space="0"/>
              <w:right w:val="single" w:color="auto" w:sz="4" w:space="0"/>
            </w:tcBorders>
            <w:vAlign w:val="center"/>
          </w:tcPr>
          <w:p w14:paraId="1B5C42D6">
            <w:pPr>
              <w:widowControl/>
              <w:spacing w:line="240" w:lineRule="auto"/>
              <w:jc w:val="center"/>
              <w:rPr>
                <w:rFonts w:hint="default" w:ascii="Times New Roman" w:hAnsi="Times New Roman" w:cs="Times New Roman"/>
                <w:color w:val="auto"/>
                <w:kern w:val="0"/>
                <w:sz w:val="21"/>
                <w:szCs w:val="21"/>
                <w:highlight w:val="none"/>
              </w:rPr>
            </w:pPr>
          </w:p>
        </w:tc>
        <w:tc>
          <w:tcPr>
            <w:tcW w:w="2605" w:type="dxa"/>
            <w:tcBorders>
              <w:top w:val="nil"/>
              <w:left w:val="nil"/>
              <w:bottom w:val="single" w:color="auto" w:sz="4" w:space="0"/>
              <w:right w:val="single" w:color="auto" w:sz="4" w:space="0"/>
            </w:tcBorders>
            <w:vAlign w:val="center"/>
          </w:tcPr>
          <w:p w14:paraId="3D7CDC1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南盘江陆良排污控制区</w:t>
            </w:r>
          </w:p>
        </w:tc>
        <w:tc>
          <w:tcPr>
            <w:tcW w:w="691" w:type="dxa"/>
            <w:tcBorders>
              <w:top w:val="nil"/>
              <w:left w:val="nil"/>
              <w:bottom w:val="single" w:color="auto" w:sz="4" w:space="0"/>
              <w:right w:val="single" w:color="auto" w:sz="4" w:space="0"/>
            </w:tcBorders>
            <w:vAlign w:val="center"/>
          </w:tcPr>
          <w:p w14:paraId="7A13473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50A047B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陆良段</w:t>
            </w:r>
          </w:p>
        </w:tc>
        <w:tc>
          <w:tcPr>
            <w:tcW w:w="0" w:type="auto"/>
            <w:tcBorders>
              <w:top w:val="nil"/>
              <w:left w:val="nil"/>
              <w:bottom w:val="single" w:color="auto" w:sz="4" w:space="0"/>
              <w:right w:val="single" w:color="auto" w:sz="4" w:space="0"/>
            </w:tcBorders>
            <w:vAlign w:val="center"/>
          </w:tcPr>
          <w:p w14:paraId="2FED55E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陆良西桥水文站</w:t>
            </w:r>
          </w:p>
        </w:tc>
        <w:tc>
          <w:tcPr>
            <w:tcW w:w="0" w:type="auto"/>
            <w:tcBorders>
              <w:top w:val="nil"/>
              <w:left w:val="nil"/>
              <w:bottom w:val="single" w:color="auto" w:sz="4" w:space="0"/>
              <w:right w:val="single" w:color="auto" w:sz="4" w:space="0"/>
            </w:tcBorders>
            <w:vAlign w:val="center"/>
          </w:tcPr>
          <w:p w14:paraId="3F05983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陆良弹药库</w:t>
            </w:r>
          </w:p>
        </w:tc>
        <w:tc>
          <w:tcPr>
            <w:tcW w:w="0" w:type="auto"/>
            <w:tcBorders>
              <w:top w:val="nil"/>
              <w:left w:val="nil"/>
              <w:bottom w:val="single" w:color="auto" w:sz="4" w:space="0"/>
              <w:right w:val="single" w:color="auto" w:sz="4" w:space="0"/>
            </w:tcBorders>
            <w:vAlign w:val="center"/>
          </w:tcPr>
          <w:p w14:paraId="54AD8E9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w:t>
            </w:r>
          </w:p>
        </w:tc>
        <w:tc>
          <w:tcPr>
            <w:tcW w:w="0" w:type="auto"/>
            <w:tcBorders>
              <w:top w:val="nil"/>
              <w:left w:val="nil"/>
              <w:bottom w:val="single" w:color="auto" w:sz="4" w:space="0"/>
              <w:right w:val="single" w:color="auto" w:sz="4" w:space="0"/>
            </w:tcBorders>
            <w:vAlign w:val="center"/>
          </w:tcPr>
          <w:p w14:paraId="2144D097">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6802E32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弹药库</w:t>
            </w:r>
          </w:p>
        </w:tc>
        <w:tc>
          <w:tcPr>
            <w:tcW w:w="0" w:type="auto"/>
            <w:tcBorders>
              <w:top w:val="nil"/>
              <w:left w:val="nil"/>
              <w:bottom w:val="single" w:color="auto" w:sz="4" w:space="0"/>
              <w:right w:val="single" w:color="auto" w:sz="4" w:space="0"/>
            </w:tcBorders>
            <w:vAlign w:val="center"/>
          </w:tcPr>
          <w:p w14:paraId="51D0649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劣V</w:t>
            </w:r>
          </w:p>
        </w:tc>
        <w:tc>
          <w:tcPr>
            <w:tcW w:w="0" w:type="auto"/>
            <w:tcBorders>
              <w:top w:val="nil"/>
              <w:left w:val="nil"/>
              <w:bottom w:val="single" w:color="auto" w:sz="4" w:space="0"/>
              <w:right w:val="single" w:color="auto" w:sz="4" w:space="0"/>
            </w:tcBorders>
            <w:vAlign w:val="center"/>
          </w:tcPr>
          <w:p w14:paraId="42B0F65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19E8160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322CA3A6">
        <w:tblPrEx>
          <w:tblCellMar>
            <w:top w:w="0" w:type="dxa"/>
            <w:left w:w="108" w:type="dxa"/>
            <w:bottom w:w="0" w:type="dxa"/>
            <w:right w:w="108" w:type="dxa"/>
          </w:tblCellMar>
        </w:tblPrEx>
        <w:trPr>
          <w:trHeight w:val="576" w:hRule="atLeast"/>
        </w:trPr>
        <w:tc>
          <w:tcPr>
            <w:tcW w:w="0" w:type="auto"/>
            <w:vMerge w:val="continue"/>
            <w:tcBorders>
              <w:top w:val="nil"/>
              <w:left w:val="single" w:color="auto" w:sz="4" w:space="0"/>
              <w:bottom w:val="single" w:color="000000" w:sz="4" w:space="0"/>
              <w:right w:val="single" w:color="auto" w:sz="4" w:space="0"/>
            </w:tcBorders>
            <w:vAlign w:val="center"/>
          </w:tcPr>
          <w:p w14:paraId="08199532">
            <w:pPr>
              <w:widowControl/>
              <w:spacing w:line="240" w:lineRule="auto"/>
              <w:jc w:val="center"/>
              <w:rPr>
                <w:rFonts w:hint="default" w:ascii="Times New Roman" w:hAnsi="Times New Roman" w:cs="Times New Roman"/>
                <w:color w:val="auto"/>
                <w:kern w:val="0"/>
                <w:sz w:val="21"/>
                <w:szCs w:val="21"/>
                <w:highlight w:val="none"/>
              </w:rPr>
            </w:pPr>
          </w:p>
        </w:tc>
        <w:tc>
          <w:tcPr>
            <w:tcW w:w="1720" w:type="dxa"/>
            <w:vMerge w:val="continue"/>
            <w:tcBorders>
              <w:top w:val="nil"/>
              <w:left w:val="single" w:color="auto" w:sz="4" w:space="0"/>
              <w:bottom w:val="single" w:color="000000" w:sz="4" w:space="0"/>
              <w:right w:val="single" w:color="auto" w:sz="4" w:space="0"/>
            </w:tcBorders>
            <w:vAlign w:val="center"/>
          </w:tcPr>
          <w:p w14:paraId="587D6239">
            <w:pPr>
              <w:widowControl/>
              <w:spacing w:line="240" w:lineRule="auto"/>
              <w:jc w:val="center"/>
              <w:rPr>
                <w:rFonts w:hint="default" w:ascii="Times New Roman" w:hAnsi="Times New Roman" w:cs="Times New Roman"/>
                <w:color w:val="auto"/>
                <w:kern w:val="0"/>
                <w:sz w:val="21"/>
                <w:szCs w:val="21"/>
                <w:highlight w:val="none"/>
              </w:rPr>
            </w:pPr>
          </w:p>
        </w:tc>
        <w:tc>
          <w:tcPr>
            <w:tcW w:w="2605" w:type="dxa"/>
            <w:tcBorders>
              <w:top w:val="nil"/>
              <w:left w:val="nil"/>
              <w:bottom w:val="single" w:color="auto" w:sz="4" w:space="0"/>
              <w:right w:val="single" w:color="auto" w:sz="4" w:space="0"/>
            </w:tcBorders>
            <w:vAlign w:val="center"/>
          </w:tcPr>
          <w:p w14:paraId="5D2E145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南盘江古宁过渡区</w:t>
            </w:r>
          </w:p>
        </w:tc>
        <w:tc>
          <w:tcPr>
            <w:tcW w:w="691" w:type="dxa"/>
            <w:tcBorders>
              <w:top w:val="nil"/>
              <w:left w:val="nil"/>
              <w:bottom w:val="single" w:color="auto" w:sz="4" w:space="0"/>
              <w:right w:val="single" w:color="auto" w:sz="4" w:space="0"/>
            </w:tcBorders>
            <w:vAlign w:val="center"/>
          </w:tcPr>
          <w:p w14:paraId="4BCF8CE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745D22F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古宁段</w:t>
            </w:r>
          </w:p>
        </w:tc>
        <w:tc>
          <w:tcPr>
            <w:tcW w:w="0" w:type="auto"/>
            <w:tcBorders>
              <w:top w:val="nil"/>
              <w:left w:val="nil"/>
              <w:bottom w:val="single" w:color="auto" w:sz="4" w:space="0"/>
              <w:right w:val="single" w:color="auto" w:sz="4" w:space="0"/>
            </w:tcBorders>
            <w:vAlign w:val="center"/>
          </w:tcPr>
          <w:p w14:paraId="3413BF5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陆良弹药库</w:t>
            </w:r>
          </w:p>
        </w:tc>
        <w:tc>
          <w:tcPr>
            <w:tcW w:w="0" w:type="auto"/>
            <w:tcBorders>
              <w:top w:val="nil"/>
              <w:left w:val="nil"/>
              <w:bottom w:val="single" w:color="auto" w:sz="4" w:space="0"/>
              <w:right w:val="single" w:color="auto" w:sz="4" w:space="0"/>
            </w:tcBorders>
            <w:vAlign w:val="center"/>
          </w:tcPr>
          <w:p w14:paraId="74A0437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古宁大坝</w:t>
            </w:r>
          </w:p>
        </w:tc>
        <w:tc>
          <w:tcPr>
            <w:tcW w:w="0" w:type="auto"/>
            <w:tcBorders>
              <w:top w:val="nil"/>
              <w:left w:val="nil"/>
              <w:bottom w:val="single" w:color="auto" w:sz="4" w:space="0"/>
              <w:right w:val="single" w:color="auto" w:sz="4" w:space="0"/>
            </w:tcBorders>
            <w:vAlign w:val="center"/>
          </w:tcPr>
          <w:p w14:paraId="43485A4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11.5</w:t>
            </w:r>
          </w:p>
        </w:tc>
        <w:tc>
          <w:tcPr>
            <w:tcW w:w="0" w:type="auto"/>
            <w:tcBorders>
              <w:top w:val="nil"/>
              <w:left w:val="nil"/>
              <w:bottom w:val="single" w:color="auto" w:sz="4" w:space="0"/>
              <w:right w:val="single" w:color="auto" w:sz="4" w:space="0"/>
            </w:tcBorders>
            <w:vAlign w:val="center"/>
          </w:tcPr>
          <w:p w14:paraId="49BB7AE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0.74</w:t>
            </w:r>
          </w:p>
        </w:tc>
        <w:tc>
          <w:tcPr>
            <w:tcW w:w="0" w:type="auto"/>
            <w:tcBorders>
              <w:top w:val="nil"/>
              <w:left w:val="nil"/>
              <w:bottom w:val="single" w:color="auto" w:sz="4" w:space="0"/>
              <w:right w:val="single" w:color="auto" w:sz="4" w:space="0"/>
            </w:tcBorders>
            <w:vAlign w:val="center"/>
          </w:tcPr>
          <w:p w14:paraId="3866E37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古宁大坝</w:t>
            </w:r>
          </w:p>
        </w:tc>
        <w:tc>
          <w:tcPr>
            <w:tcW w:w="0" w:type="auto"/>
            <w:tcBorders>
              <w:top w:val="nil"/>
              <w:left w:val="nil"/>
              <w:bottom w:val="single" w:color="auto" w:sz="4" w:space="0"/>
              <w:right w:val="single" w:color="auto" w:sz="4" w:space="0"/>
            </w:tcBorders>
            <w:vAlign w:val="center"/>
          </w:tcPr>
          <w:p w14:paraId="5E30DCC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139310B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0BF431F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050B4035">
        <w:tblPrEx>
          <w:tblCellMar>
            <w:top w:w="0" w:type="dxa"/>
            <w:left w:w="108" w:type="dxa"/>
            <w:bottom w:w="0" w:type="dxa"/>
            <w:right w:w="108" w:type="dxa"/>
          </w:tblCellMar>
        </w:tblPrEx>
        <w:trPr>
          <w:trHeight w:val="576" w:hRule="atLeast"/>
        </w:trPr>
        <w:tc>
          <w:tcPr>
            <w:tcW w:w="0" w:type="auto"/>
            <w:vMerge w:val="continue"/>
            <w:tcBorders>
              <w:top w:val="nil"/>
              <w:left w:val="single" w:color="auto" w:sz="4" w:space="0"/>
              <w:bottom w:val="single" w:color="000000" w:sz="4" w:space="0"/>
              <w:right w:val="single" w:color="auto" w:sz="4" w:space="0"/>
            </w:tcBorders>
            <w:vAlign w:val="center"/>
          </w:tcPr>
          <w:p w14:paraId="758EDA83">
            <w:pPr>
              <w:widowControl/>
              <w:spacing w:line="240" w:lineRule="auto"/>
              <w:jc w:val="center"/>
              <w:rPr>
                <w:rFonts w:hint="default" w:ascii="Times New Roman" w:hAnsi="Times New Roman" w:cs="Times New Roman"/>
                <w:color w:val="auto"/>
                <w:kern w:val="0"/>
                <w:sz w:val="21"/>
                <w:szCs w:val="21"/>
                <w:highlight w:val="none"/>
              </w:rPr>
            </w:pPr>
          </w:p>
        </w:tc>
        <w:tc>
          <w:tcPr>
            <w:tcW w:w="1720" w:type="dxa"/>
            <w:vMerge w:val="continue"/>
            <w:tcBorders>
              <w:top w:val="nil"/>
              <w:left w:val="single" w:color="auto" w:sz="4" w:space="0"/>
              <w:bottom w:val="single" w:color="000000" w:sz="4" w:space="0"/>
              <w:right w:val="single" w:color="auto" w:sz="4" w:space="0"/>
            </w:tcBorders>
            <w:vAlign w:val="center"/>
          </w:tcPr>
          <w:p w14:paraId="0461D12C">
            <w:pPr>
              <w:widowControl/>
              <w:spacing w:line="240" w:lineRule="auto"/>
              <w:jc w:val="center"/>
              <w:rPr>
                <w:rFonts w:hint="default" w:ascii="Times New Roman" w:hAnsi="Times New Roman" w:cs="Times New Roman"/>
                <w:color w:val="auto"/>
                <w:kern w:val="0"/>
                <w:sz w:val="21"/>
                <w:szCs w:val="21"/>
                <w:highlight w:val="none"/>
              </w:rPr>
            </w:pPr>
          </w:p>
        </w:tc>
        <w:tc>
          <w:tcPr>
            <w:tcW w:w="2605" w:type="dxa"/>
            <w:tcBorders>
              <w:top w:val="nil"/>
              <w:left w:val="nil"/>
              <w:bottom w:val="single" w:color="auto" w:sz="4" w:space="0"/>
              <w:right w:val="single" w:color="auto" w:sz="4" w:space="0"/>
            </w:tcBorders>
            <w:vAlign w:val="center"/>
          </w:tcPr>
          <w:p w14:paraId="37A248F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南盘江柴石滩水库陆良农业、工业、渔业用水区</w:t>
            </w:r>
          </w:p>
        </w:tc>
        <w:tc>
          <w:tcPr>
            <w:tcW w:w="691" w:type="dxa"/>
            <w:tcBorders>
              <w:top w:val="nil"/>
              <w:left w:val="nil"/>
              <w:bottom w:val="single" w:color="auto" w:sz="4" w:space="0"/>
              <w:right w:val="single" w:color="auto" w:sz="4" w:space="0"/>
            </w:tcBorders>
            <w:vAlign w:val="center"/>
          </w:tcPr>
          <w:p w14:paraId="67D53C1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7A6EFF7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陆良段</w:t>
            </w:r>
          </w:p>
        </w:tc>
        <w:tc>
          <w:tcPr>
            <w:tcW w:w="0" w:type="auto"/>
            <w:tcBorders>
              <w:top w:val="nil"/>
              <w:left w:val="nil"/>
              <w:bottom w:val="single" w:color="auto" w:sz="4" w:space="0"/>
              <w:right w:val="single" w:color="auto" w:sz="4" w:space="0"/>
            </w:tcBorders>
            <w:vAlign w:val="center"/>
          </w:tcPr>
          <w:p w14:paraId="0F4B728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古宁大坝</w:t>
            </w:r>
          </w:p>
        </w:tc>
        <w:tc>
          <w:tcPr>
            <w:tcW w:w="0" w:type="auto"/>
            <w:tcBorders>
              <w:top w:val="nil"/>
              <w:left w:val="nil"/>
              <w:bottom w:val="single" w:color="auto" w:sz="4" w:space="0"/>
              <w:right w:val="single" w:color="auto" w:sz="4" w:space="0"/>
            </w:tcBorders>
            <w:vAlign w:val="center"/>
          </w:tcPr>
          <w:p w14:paraId="5C74F63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出市境口</w:t>
            </w:r>
          </w:p>
        </w:tc>
        <w:tc>
          <w:tcPr>
            <w:tcW w:w="0" w:type="auto"/>
            <w:tcBorders>
              <w:top w:val="nil"/>
              <w:left w:val="nil"/>
              <w:bottom w:val="single" w:color="auto" w:sz="4" w:space="0"/>
              <w:right w:val="single" w:color="auto" w:sz="4" w:space="0"/>
            </w:tcBorders>
            <w:vAlign w:val="center"/>
          </w:tcPr>
          <w:p w14:paraId="0E1661A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11.6</w:t>
            </w:r>
          </w:p>
        </w:tc>
        <w:tc>
          <w:tcPr>
            <w:tcW w:w="0" w:type="auto"/>
            <w:tcBorders>
              <w:top w:val="nil"/>
              <w:left w:val="nil"/>
              <w:bottom w:val="single" w:color="auto" w:sz="4" w:space="0"/>
              <w:right w:val="single" w:color="auto" w:sz="4" w:space="0"/>
            </w:tcBorders>
            <w:vAlign w:val="center"/>
          </w:tcPr>
          <w:p w14:paraId="0BAD8DC1">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1C23D42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大跌水</w:t>
            </w:r>
          </w:p>
        </w:tc>
        <w:tc>
          <w:tcPr>
            <w:tcW w:w="0" w:type="auto"/>
            <w:tcBorders>
              <w:top w:val="nil"/>
              <w:left w:val="nil"/>
              <w:bottom w:val="single" w:color="auto" w:sz="4" w:space="0"/>
              <w:right w:val="single" w:color="auto" w:sz="4" w:space="0"/>
            </w:tcBorders>
            <w:vAlign w:val="center"/>
          </w:tcPr>
          <w:p w14:paraId="258F522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064FAEE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39F4F29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5FF41760">
        <w:tblPrEx>
          <w:tblCellMar>
            <w:top w:w="0" w:type="dxa"/>
            <w:left w:w="108" w:type="dxa"/>
            <w:bottom w:w="0" w:type="dxa"/>
            <w:right w:w="108" w:type="dxa"/>
          </w:tblCellMar>
        </w:tblPrEx>
        <w:trPr>
          <w:trHeight w:val="528" w:hRule="atLeast"/>
        </w:trPr>
        <w:tc>
          <w:tcPr>
            <w:tcW w:w="0" w:type="auto"/>
            <w:tcBorders>
              <w:top w:val="nil"/>
              <w:left w:val="single" w:color="auto" w:sz="4" w:space="0"/>
              <w:bottom w:val="single" w:color="auto" w:sz="4" w:space="0"/>
              <w:right w:val="single" w:color="auto" w:sz="4" w:space="0"/>
            </w:tcBorders>
            <w:vAlign w:val="center"/>
          </w:tcPr>
          <w:p w14:paraId="1BAAF15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w:t>
            </w:r>
          </w:p>
        </w:tc>
        <w:tc>
          <w:tcPr>
            <w:tcW w:w="1720" w:type="dxa"/>
            <w:tcBorders>
              <w:top w:val="nil"/>
              <w:left w:val="nil"/>
              <w:bottom w:val="single" w:color="auto" w:sz="4" w:space="0"/>
              <w:right w:val="single" w:color="auto" w:sz="4" w:space="0"/>
            </w:tcBorders>
            <w:vAlign w:val="center"/>
          </w:tcPr>
          <w:p w14:paraId="07F895E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南盘江师宗-罗平保留区</w:t>
            </w:r>
          </w:p>
        </w:tc>
        <w:tc>
          <w:tcPr>
            <w:tcW w:w="2605" w:type="dxa"/>
            <w:tcBorders>
              <w:top w:val="nil"/>
              <w:left w:val="nil"/>
              <w:bottom w:val="single" w:color="auto" w:sz="4" w:space="0"/>
              <w:right w:val="single" w:color="auto" w:sz="4" w:space="0"/>
            </w:tcBorders>
            <w:vAlign w:val="center"/>
          </w:tcPr>
          <w:p w14:paraId="669AB054">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576B6D5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4F4D9E5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师宗-罗平段</w:t>
            </w:r>
          </w:p>
        </w:tc>
        <w:tc>
          <w:tcPr>
            <w:tcW w:w="0" w:type="auto"/>
            <w:tcBorders>
              <w:top w:val="nil"/>
              <w:left w:val="nil"/>
              <w:bottom w:val="single" w:color="auto" w:sz="4" w:space="0"/>
              <w:right w:val="single" w:color="auto" w:sz="4" w:space="0"/>
            </w:tcBorders>
            <w:vAlign w:val="center"/>
          </w:tcPr>
          <w:p w14:paraId="6FC0F26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发蒙水文（三）站</w:t>
            </w:r>
          </w:p>
        </w:tc>
        <w:tc>
          <w:tcPr>
            <w:tcW w:w="0" w:type="auto"/>
            <w:tcBorders>
              <w:top w:val="nil"/>
              <w:left w:val="nil"/>
              <w:bottom w:val="single" w:color="auto" w:sz="4" w:space="0"/>
              <w:right w:val="single" w:color="auto" w:sz="4" w:space="0"/>
            </w:tcBorders>
            <w:vAlign w:val="center"/>
          </w:tcPr>
          <w:p w14:paraId="5820687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那田</w:t>
            </w:r>
          </w:p>
        </w:tc>
        <w:tc>
          <w:tcPr>
            <w:tcW w:w="0" w:type="auto"/>
            <w:tcBorders>
              <w:top w:val="nil"/>
              <w:left w:val="nil"/>
              <w:bottom w:val="single" w:color="auto" w:sz="4" w:space="0"/>
              <w:right w:val="single" w:color="auto" w:sz="4" w:space="0"/>
            </w:tcBorders>
            <w:vAlign w:val="center"/>
          </w:tcPr>
          <w:p w14:paraId="6E5420E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59.5</w:t>
            </w:r>
          </w:p>
        </w:tc>
        <w:tc>
          <w:tcPr>
            <w:tcW w:w="0" w:type="auto"/>
            <w:tcBorders>
              <w:top w:val="nil"/>
              <w:left w:val="nil"/>
              <w:bottom w:val="single" w:color="auto" w:sz="4" w:space="0"/>
              <w:right w:val="single" w:color="auto" w:sz="4" w:space="0"/>
            </w:tcBorders>
            <w:vAlign w:val="center"/>
          </w:tcPr>
          <w:p w14:paraId="2C7F13F0">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222CA5B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发蒙</w:t>
            </w:r>
          </w:p>
        </w:tc>
        <w:tc>
          <w:tcPr>
            <w:tcW w:w="0" w:type="auto"/>
            <w:tcBorders>
              <w:top w:val="nil"/>
              <w:left w:val="nil"/>
              <w:bottom w:val="single" w:color="auto" w:sz="4" w:space="0"/>
              <w:right w:val="single" w:color="auto" w:sz="4" w:space="0"/>
            </w:tcBorders>
            <w:vAlign w:val="center"/>
          </w:tcPr>
          <w:p w14:paraId="25DF55C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03EA480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4DDADA4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0780F400">
        <w:tblPrEx>
          <w:tblCellMar>
            <w:top w:w="0" w:type="dxa"/>
            <w:left w:w="108" w:type="dxa"/>
            <w:bottom w:w="0" w:type="dxa"/>
            <w:right w:w="108" w:type="dxa"/>
          </w:tblCellMar>
        </w:tblPrEx>
        <w:trPr>
          <w:trHeight w:val="552" w:hRule="atLeast"/>
        </w:trPr>
        <w:tc>
          <w:tcPr>
            <w:tcW w:w="0" w:type="auto"/>
            <w:tcBorders>
              <w:top w:val="nil"/>
              <w:left w:val="single" w:color="auto" w:sz="4" w:space="0"/>
              <w:bottom w:val="single" w:color="auto" w:sz="4" w:space="0"/>
              <w:right w:val="single" w:color="auto" w:sz="4" w:space="0"/>
            </w:tcBorders>
            <w:vAlign w:val="center"/>
          </w:tcPr>
          <w:p w14:paraId="3231B25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w:t>
            </w:r>
          </w:p>
        </w:tc>
        <w:tc>
          <w:tcPr>
            <w:tcW w:w="1720" w:type="dxa"/>
            <w:tcBorders>
              <w:top w:val="nil"/>
              <w:left w:val="nil"/>
              <w:bottom w:val="single" w:color="auto" w:sz="4" w:space="0"/>
              <w:right w:val="single" w:color="auto" w:sz="4" w:space="0"/>
            </w:tcBorders>
            <w:vAlign w:val="center"/>
          </w:tcPr>
          <w:p w14:paraId="37928B3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南盘江滇桂缓冲区</w:t>
            </w:r>
          </w:p>
        </w:tc>
        <w:tc>
          <w:tcPr>
            <w:tcW w:w="2605" w:type="dxa"/>
            <w:tcBorders>
              <w:top w:val="nil"/>
              <w:left w:val="nil"/>
              <w:bottom w:val="single" w:color="auto" w:sz="4" w:space="0"/>
              <w:right w:val="single" w:color="auto" w:sz="4" w:space="0"/>
            </w:tcBorders>
            <w:vAlign w:val="center"/>
          </w:tcPr>
          <w:p w14:paraId="0BF49DBF">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4254622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南盘江</w:t>
            </w:r>
          </w:p>
        </w:tc>
        <w:tc>
          <w:tcPr>
            <w:tcW w:w="897" w:type="dxa"/>
            <w:tcBorders>
              <w:top w:val="nil"/>
              <w:left w:val="nil"/>
              <w:bottom w:val="single" w:color="auto" w:sz="4" w:space="0"/>
              <w:right w:val="single" w:color="auto" w:sz="4" w:space="0"/>
            </w:tcBorders>
            <w:vAlign w:val="center"/>
          </w:tcPr>
          <w:p w14:paraId="3A46741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罗平段</w:t>
            </w:r>
          </w:p>
        </w:tc>
        <w:tc>
          <w:tcPr>
            <w:tcW w:w="0" w:type="auto"/>
            <w:tcBorders>
              <w:top w:val="nil"/>
              <w:left w:val="nil"/>
              <w:bottom w:val="single" w:color="auto" w:sz="4" w:space="0"/>
              <w:right w:val="single" w:color="auto" w:sz="4" w:space="0"/>
            </w:tcBorders>
            <w:vAlign w:val="center"/>
          </w:tcPr>
          <w:p w14:paraId="3BE0953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那田</w:t>
            </w:r>
          </w:p>
        </w:tc>
        <w:tc>
          <w:tcPr>
            <w:tcW w:w="0" w:type="auto"/>
            <w:tcBorders>
              <w:top w:val="nil"/>
              <w:left w:val="nil"/>
              <w:bottom w:val="single" w:color="auto" w:sz="4" w:space="0"/>
              <w:right w:val="single" w:color="auto" w:sz="4" w:space="0"/>
            </w:tcBorders>
            <w:vAlign w:val="center"/>
          </w:tcPr>
          <w:p w14:paraId="31C8FFF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黄泥河入南盘江河口</w:t>
            </w:r>
          </w:p>
        </w:tc>
        <w:tc>
          <w:tcPr>
            <w:tcW w:w="0" w:type="auto"/>
            <w:tcBorders>
              <w:top w:val="nil"/>
              <w:left w:val="nil"/>
              <w:bottom w:val="single" w:color="auto" w:sz="4" w:space="0"/>
              <w:right w:val="single" w:color="auto" w:sz="4" w:space="0"/>
            </w:tcBorders>
            <w:vAlign w:val="center"/>
          </w:tcPr>
          <w:p w14:paraId="070FE41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11</w:t>
            </w:r>
          </w:p>
        </w:tc>
        <w:tc>
          <w:tcPr>
            <w:tcW w:w="0" w:type="auto"/>
            <w:tcBorders>
              <w:top w:val="nil"/>
              <w:left w:val="nil"/>
              <w:bottom w:val="single" w:color="auto" w:sz="4" w:space="0"/>
              <w:right w:val="single" w:color="auto" w:sz="4" w:space="0"/>
            </w:tcBorders>
            <w:vAlign w:val="center"/>
          </w:tcPr>
          <w:p w14:paraId="07AF40BF">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69539DC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八大河</w:t>
            </w:r>
          </w:p>
        </w:tc>
        <w:tc>
          <w:tcPr>
            <w:tcW w:w="0" w:type="auto"/>
            <w:tcBorders>
              <w:top w:val="nil"/>
              <w:left w:val="nil"/>
              <w:bottom w:val="single" w:color="auto" w:sz="4" w:space="0"/>
              <w:right w:val="single" w:color="auto" w:sz="4" w:space="0"/>
            </w:tcBorders>
            <w:vAlign w:val="center"/>
          </w:tcPr>
          <w:p w14:paraId="47D9A71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03EB696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9387F8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20A0E1CE">
        <w:tblPrEx>
          <w:tblCellMar>
            <w:top w:w="0" w:type="dxa"/>
            <w:left w:w="108" w:type="dxa"/>
            <w:bottom w:w="0" w:type="dxa"/>
            <w:right w:w="108" w:type="dxa"/>
          </w:tblCellMar>
        </w:tblPrEx>
        <w:trPr>
          <w:trHeight w:val="600" w:hRule="atLeast"/>
        </w:trPr>
        <w:tc>
          <w:tcPr>
            <w:tcW w:w="0" w:type="auto"/>
            <w:tcBorders>
              <w:top w:val="nil"/>
              <w:left w:val="single" w:color="auto" w:sz="4" w:space="0"/>
              <w:bottom w:val="single" w:color="auto" w:sz="4" w:space="0"/>
              <w:right w:val="single" w:color="auto" w:sz="4" w:space="0"/>
            </w:tcBorders>
            <w:vAlign w:val="center"/>
          </w:tcPr>
          <w:p w14:paraId="791D600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w:t>
            </w:r>
          </w:p>
        </w:tc>
        <w:tc>
          <w:tcPr>
            <w:tcW w:w="1720" w:type="dxa"/>
            <w:tcBorders>
              <w:top w:val="nil"/>
              <w:left w:val="nil"/>
              <w:bottom w:val="single" w:color="auto" w:sz="4" w:space="0"/>
              <w:right w:val="single" w:color="auto" w:sz="4" w:space="0"/>
            </w:tcBorders>
            <w:vAlign w:val="center"/>
          </w:tcPr>
          <w:p w14:paraId="76F9663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白浪河沾益源头水保护区</w:t>
            </w:r>
          </w:p>
        </w:tc>
        <w:tc>
          <w:tcPr>
            <w:tcW w:w="2605" w:type="dxa"/>
            <w:tcBorders>
              <w:top w:val="nil"/>
              <w:left w:val="nil"/>
              <w:bottom w:val="single" w:color="auto" w:sz="4" w:space="0"/>
              <w:right w:val="single" w:color="auto" w:sz="4" w:space="0"/>
            </w:tcBorders>
            <w:vAlign w:val="center"/>
          </w:tcPr>
          <w:p w14:paraId="58D47533">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69A0F82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白浪河</w:t>
            </w:r>
          </w:p>
        </w:tc>
        <w:tc>
          <w:tcPr>
            <w:tcW w:w="897" w:type="dxa"/>
            <w:tcBorders>
              <w:top w:val="nil"/>
              <w:left w:val="nil"/>
              <w:bottom w:val="single" w:color="auto" w:sz="4" w:space="0"/>
              <w:right w:val="single" w:color="auto" w:sz="4" w:space="0"/>
            </w:tcBorders>
            <w:vAlign w:val="center"/>
          </w:tcPr>
          <w:p w14:paraId="5F5D973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247FBE2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53AF94F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白浪水库坝址</w:t>
            </w:r>
          </w:p>
        </w:tc>
        <w:tc>
          <w:tcPr>
            <w:tcW w:w="0" w:type="auto"/>
            <w:tcBorders>
              <w:top w:val="nil"/>
              <w:left w:val="nil"/>
              <w:bottom w:val="single" w:color="auto" w:sz="4" w:space="0"/>
              <w:right w:val="single" w:color="auto" w:sz="4" w:space="0"/>
            </w:tcBorders>
            <w:vAlign w:val="center"/>
          </w:tcPr>
          <w:p w14:paraId="11F2D90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16.5</w:t>
            </w:r>
          </w:p>
        </w:tc>
        <w:tc>
          <w:tcPr>
            <w:tcW w:w="0" w:type="auto"/>
            <w:tcBorders>
              <w:top w:val="nil"/>
              <w:left w:val="nil"/>
              <w:bottom w:val="single" w:color="auto" w:sz="4" w:space="0"/>
              <w:right w:val="single" w:color="auto" w:sz="4" w:space="0"/>
            </w:tcBorders>
            <w:vAlign w:val="center"/>
          </w:tcPr>
          <w:p w14:paraId="2C7C500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1.24</w:t>
            </w:r>
          </w:p>
        </w:tc>
        <w:tc>
          <w:tcPr>
            <w:tcW w:w="0" w:type="auto"/>
            <w:tcBorders>
              <w:top w:val="nil"/>
              <w:left w:val="nil"/>
              <w:bottom w:val="single" w:color="auto" w:sz="4" w:space="0"/>
              <w:right w:val="single" w:color="auto" w:sz="4" w:space="0"/>
            </w:tcBorders>
            <w:vAlign w:val="center"/>
          </w:tcPr>
          <w:p w14:paraId="3816499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白浪水库</w:t>
            </w:r>
          </w:p>
        </w:tc>
        <w:tc>
          <w:tcPr>
            <w:tcW w:w="0" w:type="auto"/>
            <w:tcBorders>
              <w:top w:val="nil"/>
              <w:left w:val="nil"/>
              <w:bottom w:val="single" w:color="auto" w:sz="4" w:space="0"/>
              <w:right w:val="single" w:color="auto" w:sz="4" w:space="0"/>
            </w:tcBorders>
            <w:vAlign w:val="center"/>
          </w:tcPr>
          <w:p w14:paraId="4A12498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A9A81F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547827E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12E591BF">
        <w:tblPrEx>
          <w:tblCellMar>
            <w:top w:w="0" w:type="dxa"/>
            <w:left w:w="108" w:type="dxa"/>
            <w:bottom w:w="0" w:type="dxa"/>
            <w:right w:w="108" w:type="dxa"/>
          </w:tblCellMar>
        </w:tblPrEx>
        <w:trPr>
          <w:trHeight w:val="600" w:hRule="atLeast"/>
        </w:trPr>
        <w:tc>
          <w:tcPr>
            <w:tcW w:w="0" w:type="auto"/>
            <w:tcBorders>
              <w:top w:val="nil"/>
              <w:left w:val="single" w:color="auto" w:sz="4" w:space="0"/>
              <w:bottom w:val="single" w:color="auto" w:sz="4" w:space="0"/>
              <w:right w:val="single" w:color="auto" w:sz="4" w:space="0"/>
            </w:tcBorders>
            <w:vAlign w:val="center"/>
          </w:tcPr>
          <w:p w14:paraId="5703577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6</w:t>
            </w:r>
          </w:p>
        </w:tc>
        <w:tc>
          <w:tcPr>
            <w:tcW w:w="1720" w:type="dxa"/>
            <w:tcBorders>
              <w:top w:val="nil"/>
              <w:left w:val="nil"/>
              <w:bottom w:val="single" w:color="auto" w:sz="4" w:space="0"/>
              <w:right w:val="single" w:color="auto" w:sz="4" w:space="0"/>
            </w:tcBorders>
            <w:vAlign w:val="center"/>
          </w:tcPr>
          <w:p w14:paraId="363FD3A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白浪河沾益开发利用区</w:t>
            </w:r>
          </w:p>
        </w:tc>
        <w:tc>
          <w:tcPr>
            <w:tcW w:w="2605" w:type="dxa"/>
            <w:tcBorders>
              <w:top w:val="nil"/>
              <w:left w:val="nil"/>
              <w:bottom w:val="single" w:color="auto" w:sz="4" w:space="0"/>
              <w:right w:val="single" w:color="auto" w:sz="4" w:space="0"/>
            </w:tcBorders>
            <w:vAlign w:val="center"/>
          </w:tcPr>
          <w:p w14:paraId="49A6F8C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白浪河沾益农业用水区</w:t>
            </w:r>
          </w:p>
        </w:tc>
        <w:tc>
          <w:tcPr>
            <w:tcW w:w="691" w:type="dxa"/>
            <w:tcBorders>
              <w:top w:val="nil"/>
              <w:left w:val="nil"/>
              <w:bottom w:val="single" w:color="auto" w:sz="4" w:space="0"/>
              <w:right w:val="single" w:color="auto" w:sz="4" w:space="0"/>
            </w:tcBorders>
            <w:vAlign w:val="center"/>
          </w:tcPr>
          <w:p w14:paraId="25A26E4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白浪河</w:t>
            </w:r>
          </w:p>
        </w:tc>
        <w:tc>
          <w:tcPr>
            <w:tcW w:w="897" w:type="dxa"/>
            <w:tcBorders>
              <w:top w:val="nil"/>
              <w:left w:val="nil"/>
              <w:bottom w:val="single" w:color="auto" w:sz="4" w:space="0"/>
              <w:right w:val="single" w:color="auto" w:sz="4" w:space="0"/>
            </w:tcBorders>
            <w:vAlign w:val="center"/>
          </w:tcPr>
          <w:p w14:paraId="636CF23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65959ED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白浪水库坝址</w:t>
            </w:r>
          </w:p>
        </w:tc>
        <w:tc>
          <w:tcPr>
            <w:tcW w:w="0" w:type="auto"/>
            <w:tcBorders>
              <w:top w:val="nil"/>
              <w:left w:val="nil"/>
              <w:bottom w:val="single" w:color="auto" w:sz="4" w:space="0"/>
              <w:right w:val="single" w:color="auto" w:sz="4" w:space="0"/>
            </w:tcBorders>
            <w:vAlign w:val="center"/>
          </w:tcPr>
          <w:p w14:paraId="37FC97E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705BFF9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7.9</w:t>
            </w:r>
          </w:p>
        </w:tc>
        <w:tc>
          <w:tcPr>
            <w:tcW w:w="0" w:type="auto"/>
            <w:tcBorders>
              <w:top w:val="nil"/>
              <w:left w:val="nil"/>
              <w:bottom w:val="single" w:color="auto" w:sz="4" w:space="0"/>
              <w:right w:val="single" w:color="auto" w:sz="4" w:space="0"/>
            </w:tcBorders>
            <w:vAlign w:val="center"/>
          </w:tcPr>
          <w:p w14:paraId="1468FDB4">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1AD99E9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白浪河</w:t>
            </w:r>
          </w:p>
        </w:tc>
        <w:tc>
          <w:tcPr>
            <w:tcW w:w="0" w:type="auto"/>
            <w:tcBorders>
              <w:top w:val="nil"/>
              <w:left w:val="nil"/>
              <w:bottom w:val="single" w:color="auto" w:sz="4" w:space="0"/>
              <w:right w:val="single" w:color="auto" w:sz="4" w:space="0"/>
            </w:tcBorders>
            <w:vAlign w:val="center"/>
          </w:tcPr>
          <w:p w14:paraId="29A4A85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2CDA197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4610F07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45BCC729">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0C150CA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7</w:t>
            </w:r>
          </w:p>
        </w:tc>
        <w:tc>
          <w:tcPr>
            <w:tcW w:w="1720" w:type="dxa"/>
            <w:tcBorders>
              <w:top w:val="nil"/>
              <w:left w:val="nil"/>
              <w:bottom w:val="single" w:color="auto" w:sz="4" w:space="0"/>
              <w:right w:val="single" w:color="auto" w:sz="4" w:space="0"/>
            </w:tcBorders>
            <w:vAlign w:val="center"/>
          </w:tcPr>
          <w:p w14:paraId="1E941CD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牛过河沾益开发利用区</w:t>
            </w:r>
          </w:p>
        </w:tc>
        <w:tc>
          <w:tcPr>
            <w:tcW w:w="2605" w:type="dxa"/>
            <w:tcBorders>
              <w:top w:val="nil"/>
              <w:left w:val="nil"/>
              <w:bottom w:val="single" w:color="auto" w:sz="4" w:space="0"/>
              <w:right w:val="single" w:color="auto" w:sz="4" w:space="0"/>
            </w:tcBorders>
            <w:vAlign w:val="center"/>
          </w:tcPr>
          <w:p w14:paraId="332355B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牛过河沾益饮用水源区</w:t>
            </w:r>
          </w:p>
        </w:tc>
        <w:tc>
          <w:tcPr>
            <w:tcW w:w="691" w:type="dxa"/>
            <w:tcBorders>
              <w:top w:val="nil"/>
              <w:left w:val="nil"/>
              <w:bottom w:val="single" w:color="auto" w:sz="4" w:space="0"/>
              <w:right w:val="single" w:color="auto" w:sz="4" w:space="0"/>
            </w:tcBorders>
            <w:vAlign w:val="center"/>
          </w:tcPr>
          <w:p w14:paraId="6D9B759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牛过河</w:t>
            </w:r>
          </w:p>
        </w:tc>
        <w:tc>
          <w:tcPr>
            <w:tcW w:w="897" w:type="dxa"/>
            <w:tcBorders>
              <w:top w:val="nil"/>
              <w:left w:val="nil"/>
              <w:bottom w:val="single" w:color="auto" w:sz="4" w:space="0"/>
              <w:right w:val="single" w:color="auto" w:sz="4" w:space="0"/>
            </w:tcBorders>
            <w:vAlign w:val="center"/>
          </w:tcPr>
          <w:p w14:paraId="7FFAF93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5A37D1C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2A76AF0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牛过河水库坝址</w:t>
            </w:r>
          </w:p>
        </w:tc>
        <w:tc>
          <w:tcPr>
            <w:tcW w:w="0" w:type="auto"/>
            <w:tcBorders>
              <w:top w:val="nil"/>
              <w:left w:val="nil"/>
              <w:bottom w:val="single" w:color="auto" w:sz="4" w:space="0"/>
              <w:right w:val="single" w:color="auto" w:sz="4" w:space="0"/>
            </w:tcBorders>
            <w:vAlign w:val="center"/>
          </w:tcPr>
          <w:p w14:paraId="2626930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5.5</w:t>
            </w:r>
          </w:p>
        </w:tc>
        <w:tc>
          <w:tcPr>
            <w:tcW w:w="0" w:type="auto"/>
            <w:tcBorders>
              <w:top w:val="nil"/>
              <w:left w:val="nil"/>
              <w:bottom w:val="single" w:color="auto" w:sz="4" w:space="0"/>
              <w:right w:val="single" w:color="auto" w:sz="4" w:space="0"/>
            </w:tcBorders>
            <w:vAlign w:val="center"/>
          </w:tcPr>
          <w:p w14:paraId="30E3B02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0.01</w:t>
            </w:r>
          </w:p>
        </w:tc>
        <w:tc>
          <w:tcPr>
            <w:tcW w:w="0" w:type="auto"/>
            <w:tcBorders>
              <w:top w:val="nil"/>
              <w:left w:val="nil"/>
              <w:bottom w:val="single" w:color="auto" w:sz="4" w:space="0"/>
              <w:right w:val="single" w:color="auto" w:sz="4" w:space="0"/>
            </w:tcBorders>
            <w:vAlign w:val="center"/>
          </w:tcPr>
          <w:p w14:paraId="29E90FD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牛过河水库</w:t>
            </w:r>
          </w:p>
        </w:tc>
        <w:tc>
          <w:tcPr>
            <w:tcW w:w="0" w:type="auto"/>
            <w:tcBorders>
              <w:top w:val="nil"/>
              <w:left w:val="nil"/>
              <w:bottom w:val="single" w:color="auto" w:sz="4" w:space="0"/>
              <w:right w:val="single" w:color="auto" w:sz="4" w:space="0"/>
            </w:tcBorders>
            <w:vAlign w:val="center"/>
          </w:tcPr>
          <w:p w14:paraId="6D10D4B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9BD39C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2B5DBA3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77C9D34E">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7631562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8</w:t>
            </w:r>
          </w:p>
        </w:tc>
        <w:tc>
          <w:tcPr>
            <w:tcW w:w="1720" w:type="dxa"/>
            <w:tcBorders>
              <w:top w:val="nil"/>
              <w:left w:val="nil"/>
              <w:bottom w:val="single" w:color="auto" w:sz="4" w:space="0"/>
              <w:right w:val="single" w:color="auto" w:sz="4" w:space="0"/>
            </w:tcBorders>
            <w:vAlign w:val="center"/>
          </w:tcPr>
          <w:p w14:paraId="5DC3AD8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清水河沾益开发利用区</w:t>
            </w:r>
          </w:p>
        </w:tc>
        <w:tc>
          <w:tcPr>
            <w:tcW w:w="2605" w:type="dxa"/>
            <w:tcBorders>
              <w:top w:val="nil"/>
              <w:left w:val="nil"/>
              <w:bottom w:val="single" w:color="auto" w:sz="4" w:space="0"/>
              <w:right w:val="single" w:color="auto" w:sz="4" w:space="0"/>
            </w:tcBorders>
            <w:vAlign w:val="center"/>
          </w:tcPr>
          <w:p w14:paraId="36E3E75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清水河沾益饮用水源区</w:t>
            </w:r>
          </w:p>
        </w:tc>
        <w:tc>
          <w:tcPr>
            <w:tcW w:w="691" w:type="dxa"/>
            <w:tcBorders>
              <w:top w:val="nil"/>
              <w:left w:val="nil"/>
              <w:bottom w:val="single" w:color="auto" w:sz="4" w:space="0"/>
              <w:right w:val="single" w:color="auto" w:sz="4" w:space="0"/>
            </w:tcBorders>
            <w:vAlign w:val="center"/>
          </w:tcPr>
          <w:p w14:paraId="602E8DE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清水河</w:t>
            </w:r>
          </w:p>
        </w:tc>
        <w:tc>
          <w:tcPr>
            <w:tcW w:w="897" w:type="dxa"/>
            <w:tcBorders>
              <w:top w:val="nil"/>
              <w:left w:val="nil"/>
              <w:bottom w:val="single" w:color="auto" w:sz="4" w:space="0"/>
              <w:right w:val="single" w:color="auto" w:sz="4" w:space="0"/>
            </w:tcBorders>
            <w:vAlign w:val="center"/>
          </w:tcPr>
          <w:p w14:paraId="7507CC6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473AAA8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0AC953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清水河水库坝址</w:t>
            </w:r>
          </w:p>
        </w:tc>
        <w:tc>
          <w:tcPr>
            <w:tcW w:w="0" w:type="auto"/>
            <w:tcBorders>
              <w:top w:val="nil"/>
              <w:left w:val="nil"/>
              <w:bottom w:val="single" w:color="auto" w:sz="4" w:space="0"/>
              <w:right w:val="single" w:color="auto" w:sz="4" w:space="0"/>
            </w:tcBorders>
            <w:vAlign w:val="center"/>
          </w:tcPr>
          <w:p w14:paraId="67E65F1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9.6</w:t>
            </w:r>
          </w:p>
        </w:tc>
        <w:tc>
          <w:tcPr>
            <w:tcW w:w="0" w:type="auto"/>
            <w:tcBorders>
              <w:top w:val="nil"/>
              <w:left w:val="nil"/>
              <w:bottom w:val="single" w:color="auto" w:sz="4" w:space="0"/>
              <w:right w:val="single" w:color="auto" w:sz="4" w:space="0"/>
            </w:tcBorders>
            <w:vAlign w:val="center"/>
          </w:tcPr>
          <w:p w14:paraId="0BD9C61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0.12</w:t>
            </w:r>
          </w:p>
        </w:tc>
        <w:tc>
          <w:tcPr>
            <w:tcW w:w="0" w:type="auto"/>
            <w:tcBorders>
              <w:top w:val="nil"/>
              <w:left w:val="nil"/>
              <w:bottom w:val="single" w:color="auto" w:sz="4" w:space="0"/>
              <w:right w:val="single" w:color="auto" w:sz="4" w:space="0"/>
            </w:tcBorders>
            <w:vAlign w:val="center"/>
          </w:tcPr>
          <w:p w14:paraId="3C918C6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清水河水库</w:t>
            </w:r>
          </w:p>
        </w:tc>
        <w:tc>
          <w:tcPr>
            <w:tcW w:w="0" w:type="auto"/>
            <w:tcBorders>
              <w:top w:val="nil"/>
              <w:left w:val="nil"/>
              <w:bottom w:val="single" w:color="auto" w:sz="4" w:space="0"/>
              <w:right w:val="single" w:color="auto" w:sz="4" w:space="0"/>
            </w:tcBorders>
            <w:vAlign w:val="center"/>
          </w:tcPr>
          <w:p w14:paraId="36C3B3F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CDBEA3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6BB41D0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1F7ED5E1">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14BC41A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9</w:t>
            </w:r>
          </w:p>
        </w:tc>
        <w:tc>
          <w:tcPr>
            <w:tcW w:w="1720" w:type="dxa"/>
            <w:tcBorders>
              <w:top w:val="nil"/>
              <w:left w:val="nil"/>
              <w:bottom w:val="single" w:color="auto" w:sz="4" w:space="0"/>
              <w:right w:val="single" w:color="auto" w:sz="4" w:space="0"/>
            </w:tcBorders>
            <w:vAlign w:val="center"/>
          </w:tcPr>
          <w:p w14:paraId="152FC0A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西河马龙-麒麟源头水保护区</w:t>
            </w:r>
          </w:p>
        </w:tc>
        <w:tc>
          <w:tcPr>
            <w:tcW w:w="2605" w:type="dxa"/>
            <w:tcBorders>
              <w:top w:val="nil"/>
              <w:left w:val="nil"/>
              <w:bottom w:val="single" w:color="auto" w:sz="4" w:space="0"/>
              <w:right w:val="single" w:color="auto" w:sz="4" w:space="0"/>
            </w:tcBorders>
            <w:vAlign w:val="center"/>
          </w:tcPr>
          <w:p w14:paraId="63FE4205">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2C37AFF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西河</w:t>
            </w:r>
          </w:p>
        </w:tc>
        <w:tc>
          <w:tcPr>
            <w:tcW w:w="897" w:type="dxa"/>
            <w:tcBorders>
              <w:top w:val="nil"/>
              <w:left w:val="nil"/>
              <w:bottom w:val="single" w:color="auto" w:sz="4" w:space="0"/>
              <w:right w:val="single" w:color="auto" w:sz="4" w:space="0"/>
            </w:tcBorders>
            <w:vAlign w:val="center"/>
          </w:tcPr>
          <w:p w14:paraId="6F66F4D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马龙-麒麟段</w:t>
            </w:r>
          </w:p>
        </w:tc>
        <w:tc>
          <w:tcPr>
            <w:tcW w:w="0" w:type="auto"/>
            <w:tcBorders>
              <w:top w:val="nil"/>
              <w:left w:val="nil"/>
              <w:bottom w:val="single" w:color="auto" w:sz="4" w:space="0"/>
              <w:right w:val="single" w:color="auto" w:sz="4" w:space="0"/>
            </w:tcBorders>
            <w:vAlign w:val="center"/>
          </w:tcPr>
          <w:p w14:paraId="5BCADE7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10C4CA9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西河水库坝址</w:t>
            </w:r>
          </w:p>
        </w:tc>
        <w:tc>
          <w:tcPr>
            <w:tcW w:w="0" w:type="auto"/>
            <w:tcBorders>
              <w:top w:val="nil"/>
              <w:left w:val="nil"/>
              <w:bottom w:val="single" w:color="auto" w:sz="4" w:space="0"/>
              <w:right w:val="single" w:color="auto" w:sz="4" w:space="0"/>
            </w:tcBorders>
            <w:vAlign w:val="center"/>
          </w:tcPr>
          <w:p w14:paraId="689D543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18</w:t>
            </w:r>
          </w:p>
        </w:tc>
        <w:tc>
          <w:tcPr>
            <w:tcW w:w="0" w:type="auto"/>
            <w:tcBorders>
              <w:top w:val="nil"/>
              <w:left w:val="nil"/>
              <w:bottom w:val="single" w:color="auto" w:sz="4" w:space="0"/>
              <w:right w:val="single" w:color="auto" w:sz="4" w:space="0"/>
            </w:tcBorders>
            <w:vAlign w:val="center"/>
          </w:tcPr>
          <w:p w14:paraId="76B43C0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2.58</w:t>
            </w:r>
          </w:p>
        </w:tc>
        <w:tc>
          <w:tcPr>
            <w:tcW w:w="0" w:type="auto"/>
            <w:tcBorders>
              <w:top w:val="nil"/>
              <w:left w:val="nil"/>
              <w:bottom w:val="single" w:color="auto" w:sz="4" w:space="0"/>
              <w:right w:val="single" w:color="auto" w:sz="4" w:space="0"/>
            </w:tcBorders>
            <w:vAlign w:val="center"/>
          </w:tcPr>
          <w:p w14:paraId="7B70FE3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西河水库</w:t>
            </w:r>
          </w:p>
        </w:tc>
        <w:tc>
          <w:tcPr>
            <w:tcW w:w="0" w:type="auto"/>
            <w:tcBorders>
              <w:top w:val="nil"/>
              <w:left w:val="nil"/>
              <w:bottom w:val="single" w:color="auto" w:sz="4" w:space="0"/>
              <w:right w:val="single" w:color="auto" w:sz="4" w:space="0"/>
            </w:tcBorders>
            <w:vAlign w:val="center"/>
          </w:tcPr>
          <w:p w14:paraId="38D64E7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108DF3A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0C8B97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642EF956">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5FDFEA8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10</w:t>
            </w:r>
          </w:p>
        </w:tc>
        <w:tc>
          <w:tcPr>
            <w:tcW w:w="1720" w:type="dxa"/>
            <w:tcBorders>
              <w:top w:val="nil"/>
              <w:left w:val="nil"/>
              <w:bottom w:val="single" w:color="auto" w:sz="4" w:space="0"/>
              <w:right w:val="single" w:color="auto" w:sz="4" w:space="0"/>
            </w:tcBorders>
            <w:vAlign w:val="center"/>
          </w:tcPr>
          <w:p w14:paraId="2C36574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西河沾益-麒麟开发利用区</w:t>
            </w:r>
          </w:p>
        </w:tc>
        <w:tc>
          <w:tcPr>
            <w:tcW w:w="2605" w:type="dxa"/>
            <w:tcBorders>
              <w:top w:val="nil"/>
              <w:left w:val="nil"/>
              <w:bottom w:val="single" w:color="auto" w:sz="4" w:space="0"/>
              <w:right w:val="single" w:color="auto" w:sz="4" w:space="0"/>
            </w:tcBorders>
            <w:vAlign w:val="center"/>
          </w:tcPr>
          <w:p w14:paraId="3BBF04C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西河沾益-麒麟工业 、农业用水区</w:t>
            </w:r>
          </w:p>
        </w:tc>
        <w:tc>
          <w:tcPr>
            <w:tcW w:w="691" w:type="dxa"/>
            <w:tcBorders>
              <w:top w:val="nil"/>
              <w:left w:val="nil"/>
              <w:bottom w:val="single" w:color="auto" w:sz="4" w:space="0"/>
              <w:right w:val="single" w:color="auto" w:sz="4" w:space="0"/>
            </w:tcBorders>
            <w:vAlign w:val="center"/>
          </w:tcPr>
          <w:p w14:paraId="2A2712C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西河</w:t>
            </w:r>
          </w:p>
        </w:tc>
        <w:tc>
          <w:tcPr>
            <w:tcW w:w="897" w:type="dxa"/>
            <w:tcBorders>
              <w:top w:val="nil"/>
              <w:left w:val="nil"/>
              <w:bottom w:val="single" w:color="auto" w:sz="4" w:space="0"/>
              <w:right w:val="single" w:color="auto" w:sz="4" w:space="0"/>
            </w:tcBorders>
            <w:vAlign w:val="center"/>
          </w:tcPr>
          <w:p w14:paraId="3808E10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沾益-麒麟段</w:t>
            </w:r>
          </w:p>
        </w:tc>
        <w:tc>
          <w:tcPr>
            <w:tcW w:w="0" w:type="auto"/>
            <w:tcBorders>
              <w:top w:val="nil"/>
              <w:left w:val="nil"/>
              <w:bottom w:val="single" w:color="auto" w:sz="4" w:space="0"/>
              <w:right w:val="single" w:color="auto" w:sz="4" w:space="0"/>
            </w:tcBorders>
            <w:vAlign w:val="center"/>
          </w:tcPr>
          <w:p w14:paraId="47AE410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西河水库坝址</w:t>
            </w:r>
          </w:p>
        </w:tc>
        <w:tc>
          <w:tcPr>
            <w:tcW w:w="0" w:type="auto"/>
            <w:tcBorders>
              <w:top w:val="nil"/>
              <w:left w:val="nil"/>
              <w:bottom w:val="single" w:color="auto" w:sz="4" w:space="0"/>
              <w:right w:val="single" w:color="auto" w:sz="4" w:space="0"/>
            </w:tcBorders>
            <w:vAlign w:val="center"/>
          </w:tcPr>
          <w:p w14:paraId="0301A82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719D78C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17.9</w:t>
            </w:r>
          </w:p>
        </w:tc>
        <w:tc>
          <w:tcPr>
            <w:tcW w:w="0" w:type="auto"/>
            <w:tcBorders>
              <w:top w:val="nil"/>
              <w:left w:val="nil"/>
              <w:bottom w:val="single" w:color="auto" w:sz="4" w:space="0"/>
              <w:right w:val="single" w:color="auto" w:sz="4" w:space="0"/>
            </w:tcBorders>
            <w:vAlign w:val="center"/>
          </w:tcPr>
          <w:p w14:paraId="412F2723">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48FD472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沾益铁路桥</w:t>
            </w:r>
          </w:p>
        </w:tc>
        <w:tc>
          <w:tcPr>
            <w:tcW w:w="0" w:type="auto"/>
            <w:tcBorders>
              <w:top w:val="nil"/>
              <w:left w:val="nil"/>
              <w:bottom w:val="single" w:color="auto" w:sz="4" w:space="0"/>
              <w:right w:val="single" w:color="auto" w:sz="4" w:space="0"/>
            </w:tcBorders>
            <w:vAlign w:val="center"/>
          </w:tcPr>
          <w:p w14:paraId="379F6A0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劣V</w:t>
            </w:r>
          </w:p>
        </w:tc>
        <w:tc>
          <w:tcPr>
            <w:tcW w:w="0" w:type="auto"/>
            <w:tcBorders>
              <w:top w:val="nil"/>
              <w:left w:val="nil"/>
              <w:bottom w:val="single" w:color="auto" w:sz="4" w:space="0"/>
              <w:right w:val="single" w:color="auto" w:sz="4" w:space="0"/>
            </w:tcBorders>
            <w:vAlign w:val="center"/>
          </w:tcPr>
          <w:p w14:paraId="79B4481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143F871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29BD7FF9">
        <w:tblPrEx>
          <w:tblCellMar>
            <w:top w:w="0" w:type="dxa"/>
            <w:left w:w="108" w:type="dxa"/>
            <w:bottom w:w="0" w:type="dxa"/>
            <w:right w:w="108" w:type="dxa"/>
          </w:tblCellMar>
        </w:tblPrEx>
        <w:trPr>
          <w:trHeight w:val="564" w:hRule="atLeast"/>
        </w:trPr>
        <w:tc>
          <w:tcPr>
            <w:tcW w:w="0" w:type="auto"/>
            <w:tcBorders>
              <w:top w:val="nil"/>
              <w:left w:val="single" w:color="auto" w:sz="4" w:space="0"/>
              <w:bottom w:val="single" w:color="auto" w:sz="4" w:space="0"/>
              <w:right w:val="single" w:color="auto" w:sz="4" w:space="0"/>
            </w:tcBorders>
            <w:vAlign w:val="center"/>
          </w:tcPr>
          <w:p w14:paraId="792052F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11</w:t>
            </w:r>
          </w:p>
        </w:tc>
        <w:tc>
          <w:tcPr>
            <w:tcW w:w="1720" w:type="dxa"/>
            <w:tcBorders>
              <w:top w:val="nil"/>
              <w:left w:val="nil"/>
              <w:bottom w:val="single" w:color="auto" w:sz="4" w:space="0"/>
              <w:right w:val="single" w:color="auto" w:sz="4" w:space="0"/>
            </w:tcBorders>
            <w:vAlign w:val="center"/>
          </w:tcPr>
          <w:p w14:paraId="681C088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潇湘江麒麟源头水保护区</w:t>
            </w:r>
          </w:p>
        </w:tc>
        <w:tc>
          <w:tcPr>
            <w:tcW w:w="2605" w:type="dxa"/>
            <w:tcBorders>
              <w:top w:val="nil"/>
              <w:left w:val="nil"/>
              <w:bottom w:val="single" w:color="auto" w:sz="4" w:space="0"/>
              <w:right w:val="single" w:color="auto" w:sz="4" w:space="0"/>
            </w:tcBorders>
            <w:vAlign w:val="center"/>
          </w:tcPr>
          <w:p w14:paraId="167FF671">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461E06E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潇湘江</w:t>
            </w:r>
          </w:p>
        </w:tc>
        <w:tc>
          <w:tcPr>
            <w:tcW w:w="897" w:type="dxa"/>
            <w:tcBorders>
              <w:top w:val="nil"/>
              <w:left w:val="nil"/>
              <w:bottom w:val="single" w:color="auto" w:sz="4" w:space="0"/>
              <w:right w:val="single" w:color="auto" w:sz="4" w:space="0"/>
            </w:tcBorders>
            <w:vAlign w:val="center"/>
          </w:tcPr>
          <w:p w14:paraId="08FB61B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2EE0CA9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00C8577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潇湘水库坝址</w:t>
            </w:r>
          </w:p>
        </w:tc>
        <w:tc>
          <w:tcPr>
            <w:tcW w:w="0" w:type="auto"/>
            <w:tcBorders>
              <w:top w:val="nil"/>
              <w:left w:val="nil"/>
              <w:bottom w:val="single" w:color="auto" w:sz="4" w:space="0"/>
              <w:right w:val="single" w:color="auto" w:sz="4" w:space="0"/>
            </w:tcBorders>
            <w:vAlign w:val="center"/>
          </w:tcPr>
          <w:p w14:paraId="20D0904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31</w:t>
            </w:r>
          </w:p>
        </w:tc>
        <w:tc>
          <w:tcPr>
            <w:tcW w:w="0" w:type="auto"/>
            <w:tcBorders>
              <w:top w:val="nil"/>
              <w:left w:val="nil"/>
              <w:bottom w:val="single" w:color="auto" w:sz="4" w:space="0"/>
              <w:right w:val="single" w:color="auto" w:sz="4" w:space="0"/>
            </w:tcBorders>
            <w:vAlign w:val="center"/>
          </w:tcPr>
          <w:p w14:paraId="7C3BCD0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w:t>
            </w:r>
          </w:p>
        </w:tc>
        <w:tc>
          <w:tcPr>
            <w:tcW w:w="0" w:type="auto"/>
            <w:tcBorders>
              <w:top w:val="nil"/>
              <w:left w:val="nil"/>
              <w:bottom w:val="single" w:color="auto" w:sz="4" w:space="0"/>
              <w:right w:val="single" w:color="auto" w:sz="4" w:space="0"/>
            </w:tcBorders>
            <w:vAlign w:val="center"/>
          </w:tcPr>
          <w:p w14:paraId="1D359E1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潇湘水库</w:t>
            </w:r>
          </w:p>
        </w:tc>
        <w:tc>
          <w:tcPr>
            <w:tcW w:w="0" w:type="auto"/>
            <w:tcBorders>
              <w:top w:val="nil"/>
              <w:left w:val="nil"/>
              <w:bottom w:val="single" w:color="auto" w:sz="4" w:space="0"/>
              <w:right w:val="single" w:color="auto" w:sz="4" w:space="0"/>
            </w:tcBorders>
            <w:vAlign w:val="center"/>
          </w:tcPr>
          <w:p w14:paraId="2CFD882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155C3C4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E81EF1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6CD907D6">
        <w:tblPrEx>
          <w:tblCellMar>
            <w:top w:w="0" w:type="dxa"/>
            <w:left w:w="108" w:type="dxa"/>
            <w:bottom w:w="0" w:type="dxa"/>
            <w:right w:w="108" w:type="dxa"/>
          </w:tblCellMar>
        </w:tblPrEx>
        <w:trPr>
          <w:trHeight w:val="540" w:hRule="atLeast"/>
        </w:trPr>
        <w:tc>
          <w:tcPr>
            <w:tcW w:w="0" w:type="auto"/>
            <w:tcBorders>
              <w:top w:val="nil"/>
              <w:left w:val="single" w:color="auto" w:sz="4" w:space="0"/>
              <w:bottom w:val="single" w:color="auto" w:sz="4" w:space="0"/>
              <w:right w:val="single" w:color="auto" w:sz="4" w:space="0"/>
            </w:tcBorders>
            <w:vAlign w:val="center"/>
          </w:tcPr>
          <w:p w14:paraId="65E345A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12</w:t>
            </w:r>
          </w:p>
        </w:tc>
        <w:tc>
          <w:tcPr>
            <w:tcW w:w="1720" w:type="dxa"/>
            <w:tcBorders>
              <w:top w:val="nil"/>
              <w:left w:val="nil"/>
              <w:bottom w:val="single" w:color="auto" w:sz="4" w:space="0"/>
              <w:right w:val="single" w:color="auto" w:sz="4" w:space="0"/>
            </w:tcBorders>
            <w:vAlign w:val="center"/>
          </w:tcPr>
          <w:p w14:paraId="5AF3FB7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潇湘江麒麟开发利用区</w:t>
            </w:r>
          </w:p>
        </w:tc>
        <w:tc>
          <w:tcPr>
            <w:tcW w:w="2605" w:type="dxa"/>
            <w:tcBorders>
              <w:top w:val="nil"/>
              <w:left w:val="nil"/>
              <w:bottom w:val="single" w:color="auto" w:sz="4" w:space="0"/>
              <w:right w:val="single" w:color="auto" w:sz="4" w:space="0"/>
            </w:tcBorders>
            <w:vAlign w:val="center"/>
          </w:tcPr>
          <w:p w14:paraId="5D0328B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潇湘江麒麟景观、农业用水区</w:t>
            </w:r>
          </w:p>
        </w:tc>
        <w:tc>
          <w:tcPr>
            <w:tcW w:w="691" w:type="dxa"/>
            <w:tcBorders>
              <w:top w:val="nil"/>
              <w:left w:val="nil"/>
              <w:bottom w:val="single" w:color="auto" w:sz="4" w:space="0"/>
              <w:right w:val="single" w:color="auto" w:sz="4" w:space="0"/>
            </w:tcBorders>
            <w:vAlign w:val="center"/>
          </w:tcPr>
          <w:p w14:paraId="5D3D296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潇湘江</w:t>
            </w:r>
          </w:p>
        </w:tc>
        <w:tc>
          <w:tcPr>
            <w:tcW w:w="897" w:type="dxa"/>
            <w:tcBorders>
              <w:top w:val="nil"/>
              <w:left w:val="nil"/>
              <w:bottom w:val="single" w:color="auto" w:sz="4" w:space="0"/>
              <w:right w:val="single" w:color="auto" w:sz="4" w:space="0"/>
            </w:tcBorders>
            <w:vAlign w:val="center"/>
          </w:tcPr>
          <w:p w14:paraId="0E6A2E1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麒麟区段</w:t>
            </w:r>
          </w:p>
        </w:tc>
        <w:tc>
          <w:tcPr>
            <w:tcW w:w="0" w:type="auto"/>
            <w:tcBorders>
              <w:top w:val="nil"/>
              <w:left w:val="nil"/>
              <w:bottom w:val="single" w:color="auto" w:sz="4" w:space="0"/>
              <w:right w:val="single" w:color="auto" w:sz="4" w:space="0"/>
            </w:tcBorders>
            <w:vAlign w:val="center"/>
          </w:tcPr>
          <w:p w14:paraId="1A77ABE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潇湘水库坝址</w:t>
            </w:r>
          </w:p>
        </w:tc>
        <w:tc>
          <w:tcPr>
            <w:tcW w:w="0" w:type="auto"/>
            <w:tcBorders>
              <w:top w:val="nil"/>
              <w:left w:val="nil"/>
              <w:bottom w:val="single" w:color="auto" w:sz="4" w:space="0"/>
              <w:right w:val="single" w:color="auto" w:sz="4" w:space="0"/>
            </w:tcBorders>
            <w:vAlign w:val="center"/>
          </w:tcPr>
          <w:p w14:paraId="7C0AC4E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4431127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13.2</w:t>
            </w:r>
          </w:p>
        </w:tc>
        <w:tc>
          <w:tcPr>
            <w:tcW w:w="0" w:type="auto"/>
            <w:tcBorders>
              <w:top w:val="nil"/>
              <w:left w:val="nil"/>
              <w:bottom w:val="single" w:color="auto" w:sz="4" w:space="0"/>
              <w:right w:val="single" w:color="auto" w:sz="4" w:space="0"/>
            </w:tcBorders>
            <w:vAlign w:val="center"/>
          </w:tcPr>
          <w:p w14:paraId="299EF1FF">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51B67A0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冯家圩</w:t>
            </w:r>
          </w:p>
        </w:tc>
        <w:tc>
          <w:tcPr>
            <w:tcW w:w="0" w:type="auto"/>
            <w:tcBorders>
              <w:top w:val="nil"/>
              <w:left w:val="nil"/>
              <w:bottom w:val="single" w:color="auto" w:sz="4" w:space="0"/>
              <w:right w:val="single" w:color="auto" w:sz="4" w:space="0"/>
            </w:tcBorders>
            <w:vAlign w:val="center"/>
          </w:tcPr>
          <w:p w14:paraId="6074802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劣V</w:t>
            </w:r>
          </w:p>
        </w:tc>
        <w:tc>
          <w:tcPr>
            <w:tcW w:w="0" w:type="auto"/>
            <w:tcBorders>
              <w:top w:val="nil"/>
              <w:left w:val="nil"/>
              <w:bottom w:val="single" w:color="auto" w:sz="4" w:space="0"/>
              <w:right w:val="single" w:color="auto" w:sz="4" w:space="0"/>
            </w:tcBorders>
            <w:vAlign w:val="center"/>
          </w:tcPr>
          <w:p w14:paraId="70659D6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05536F1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4AC09816">
        <w:tblPrEx>
          <w:tblCellMar>
            <w:top w:w="0" w:type="dxa"/>
            <w:left w:w="108" w:type="dxa"/>
            <w:bottom w:w="0" w:type="dxa"/>
            <w:right w:w="108" w:type="dxa"/>
          </w:tblCellMar>
        </w:tblPrEx>
        <w:trPr>
          <w:trHeight w:val="504" w:hRule="atLeast"/>
        </w:trPr>
        <w:tc>
          <w:tcPr>
            <w:tcW w:w="0" w:type="auto"/>
            <w:tcBorders>
              <w:top w:val="nil"/>
              <w:left w:val="single" w:color="auto" w:sz="4" w:space="0"/>
              <w:bottom w:val="single" w:color="auto" w:sz="4" w:space="0"/>
              <w:right w:val="single" w:color="auto" w:sz="4" w:space="0"/>
            </w:tcBorders>
            <w:vAlign w:val="center"/>
          </w:tcPr>
          <w:p w14:paraId="5D0E981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13</w:t>
            </w:r>
          </w:p>
        </w:tc>
        <w:tc>
          <w:tcPr>
            <w:tcW w:w="1720" w:type="dxa"/>
            <w:tcBorders>
              <w:top w:val="nil"/>
              <w:left w:val="nil"/>
              <w:bottom w:val="single" w:color="auto" w:sz="4" w:space="0"/>
              <w:right w:val="single" w:color="auto" w:sz="4" w:space="0"/>
            </w:tcBorders>
            <w:vAlign w:val="center"/>
          </w:tcPr>
          <w:p w14:paraId="13ECEA2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龙潭河麒麟源头水保护区</w:t>
            </w:r>
          </w:p>
        </w:tc>
        <w:tc>
          <w:tcPr>
            <w:tcW w:w="2605" w:type="dxa"/>
            <w:tcBorders>
              <w:top w:val="nil"/>
              <w:left w:val="nil"/>
              <w:bottom w:val="single" w:color="auto" w:sz="4" w:space="0"/>
              <w:right w:val="single" w:color="auto" w:sz="4" w:space="0"/>
            </w:tcBorders>
            <w:vAlign w:val="center"/>
          </w:tcPr>
          <w:p w14:paraId="02DF4DBC">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4BB5D2E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龙潭河</w:t>
            </w:r>
          </w:p>
        </w:tc>
        <w:tc>
          <w:tcPr>
            <w:tcW w:w="897" w:type="dxa"/>
            <w:tcBorders>
              <w:top w:val="nil"/>
              <w:left w:val="nil"/>
              <w:bottom w:val="single" w:color="auto" w:sz="4" w:space="0"/>
              <w:right w:val="single" w:color="auto" w:sz="4" w:space="0"/>
            </w:tcBorders>
            <w:vAlign w:val="center"/>
          </w:tcPr>
          <w:p w14:paraId="1969BFB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茨营段</w:t>
            </w:r>
          </w:p>
        </w:tc>
        <w:tc>
          <w:tcPr>
            <w:tcW w:w="0" w:type="auto"/>
            <w:tcBorders>
              <w:top w:val="nil"/>
              <w:left w:val="nil"/>
              <w:bottom w:val="single" w:color="auto" w:sz="4" w:space="0"/>
              <w:right w:val="single" w:color="auto" w:sz="4" w:space="0"/>
            </w:tcBorders>
            <w:vAlign w:val="center"/>
          </w:tcPr>
          <w:p w14:paraId="08EBC1D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57792FF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龙潭水库坝址</w:t>
            </w:r>
          </w:p>
        </w:tc>
        <w:tc>
          <w:tcPr>
            <w:tcW w:w="0" w:type="auto"/>
            <w:tcBorders>
              <w:top w:val="nil"/>
              <w:left w:val="nil"/>
              <w:bottom w:val="single" w:color="auto" w:sz="4" w:space="0"/>
              <w:right w:val="single" w:color="auto" w:sz="4" w:space="0"/>
            </w:tcBorders>
            <w:vAlign w:val="center"/>
          </w:tcPr>
          <w:p w14:paraId="5F314FF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4.6</w:t>
            </w:r>
          </w:p>
        </w:tc>
        <w:tc>
          <w:tcPr>
            <w:tcW w:w="0" w:type="auto"/>
            <w:tcBorders>
              <w:top w:val="nil"/>
              <w:left w:val="nil"/>
              <w:bottom w:val="single" w:color="auto" w:sz="4" w:space="0"/>
              <w:right w:val="single" w:color="auto" w:sz="4" w:space="0"/>
            </w:tcBorders>
            <w:vAlign w:val="center"/>
          </w:tcPr>
          <w:p w14:paraId="01D6D7D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0.03</w:t>
            </w:r>
          </w:p>
        </w:tc>
        <w:tc>
          <w:tcPr>
            <w:tcW w:w="0" w:type="auto"/>
            <w:tcBorders>
              <w:top w:val="nil"/>
              <w:left w:val="nil"/>
              <w:bottom w:val="single" w:color="auto" w:sz="4" w:space="0"/>
              <w:right w:val="single" w:color="auto" w:sz="4" w:space="0"/>
            </w:tcBorders>
            <w:vAlign w:val="center"/>
          </w:tcPr>
          <w:p w14:paraId="2A23CDD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龙潭水库</w:t>
            </w:r>
          </w:p>
        </w:tc>
        <w:tc>
          <w:tcPr>
            <w:tcW w:w="0" w:type="auto"/>
            <w:tcBorders>
              <w:top w:val="nil"/>
              <w:left w:val="nil"/>
              <w:bottom w:val="single" w:color="auto" w:sz="4" w:space="0"/>
              <w:right w:val="single" w:color="auto" w:sz="4" w:space="0"/>
            </w:tcBorders>
            <w:vAlign w:val="center"/>
          </w:tcPr>
          <w:p w14:paraId="3A9B9BE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7EB9AB2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3E747F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6D55E19E">
        <w:tblPrEx>
          <w:tblCellMar>
            <w:top w:w="0" w:type="dxa"/>
            <w:left w:w="108" w:type="dxa"/>
            <w:bottom w:w="0" w:type="dxa"/>
            <w:right w:w="108" w:type="dxa"/>
          </w:tblCellMar>
        </w:tblPrEx>
        <w:trPr>
          <w:trHeight w:val="420" w:hRule="atLeast"/>
        </w:trPr>
        <w:tc>
          <w:tcPr>
            <w:tcW w:w="0" w:type="auto"/>
            <w:tcBorders>
              <w:top w:val="nil"/>
              <w:left w:val="single" w:color="auto" w:sz="4" w:space="0"/>
              <w:bottom w:val="single" w:color="auto" w:sz="4" w:space="0"/>
              <w:right w:val="single" w:color="auto" w:sz="4" w:space="0"/>
            </w:tcBorders>
            <w:vAlign w:val="center"/>
          </w:tcPr>
          <w:p w14:paraId="5997572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14</w:t>
            </w:r>
          </w:p>
        </w:tc>
        <w:tc>
          <w:tcPr>
            <w:tcW w:w="1720" w:type="dxa"/>
            <w:tcBorders>
              <w:top w:val="nil"/>
              <w:left w:val="nil"/>
              <w:bottom w:val="single" w:color="auto" w:sz="4" w:space="0"/>
              <w:right w:val="single" w:color="auto" w:sz="4" w:space="0"/>
            </w:tcBorders>
            <w:vAlign w:val="center"/>
          </w:tcPr>
          <w:p w14:paraId="1DF7B19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龙潭河麒麟保留区</w:t>
            </w:r>
          </w:p>
        </w:tc>
        <w:tc>
          <w:tcPr>
            <w:tcW w:w="2605" w:type="dxa"/>
            <w:tcBorders>
              <w:top w:val="nil"/>
              <w:left w:val="nil"/>
              <w:bottom w:val="single" w:color="auto" w:sz="4" w:space="0"/>
              <w:right w:val="single" w:color="auto" w:sz="4" w:space="0"/>
            </w:tcBorders>
            <w:vAlign w:val="center"/>
          </w:tcPr>
          <w:p w14:paraId="4263A9D8">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047796B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龙潭河</w:t>
            </w:r>
          </w:p>
        </w:tc>
        <w:tc>
          <w:tcPr>
            <w:tcW w:w="897" w:type="dxa"/>
            <w:tcBorders>
              <w:top w:val="nil"/>
              <w:left w:val="nil"/>
              <w:bottom w:val="single" w:color="auto" w:sz="4" w:space="0"/>
              <w:right w:val="single" w:color="auto" w:sz="4" w:space="0"/>
            </w:tcBorders>
            <w:vAlign w:val="center"/>
          </w:tcPr>
          <w:p w14:paraId="7ADDBCC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越州段</w:t>
            </w:r>
          </w:p>
        </w:tc>
        <w:tc>
          <w:tcPr>
            <w:tcW w:w="0" w:type="auto"/>
            <w:tcBorders>
              <w:top w:val="nil"/>
              <w:left w:val="nil"/>
              <w:bottom w:val="single" w:color="auto" w:sz="4" w:space="0"/>
              <w:right w:val="single" w:color="auto" w:sz="4" w:space="0"/>
            </w:tcBorders>
            <w:vAlign w:val="center"/>
          </w:tcPr>
          <w:p w14:paraId="279EFC8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龙潭水库坝址</w:t>
            </w:r>
          </w:p>
        </w:tc>
        <w:tc>
          <w:tcPr>
            <w:tcW w:w="0" w:type="auto"/>
            <w:tcBorders>
              <w:top w:val="nil"/>
              <w:left w:val="nil"/>
              <w:bottom w:val="single" w:color="auto" w:sz="4" w:space="0"/>
              <w:right w:val="single" w:color="auto" w:sz="4" w:space="0"/>
            </w:tcBorders>
            <w:vAlign w:val="center"/>
          </w:tcPr>
          <w:p w14:paraId="194A746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小河村</w:t>
            </w:r>
          </w:p>
        </w:tc>
        <w:tc>
          <w:tcPr>
            <w:tcW w:w="0" w:type="auto"/>
            <w:tcBorders>
              <w:top w:val="nil"/>
              <w:left w:val="nil"/>
              <w:bottom w:val="single" w:color="auto" w:sz="4" w:space="0"/>
              <w:right w:val="single" w:color="auto" w:sz="4" w:space="0"/>
            </w:tcBorders>
            <w:vAlign w:val="center"/>
          </w:tcPr>
          <w:p w14:paraId="585F5C9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16.5</w:t>
            </w:r>
          </w:p>
        </w:tc>
        <w:tc>
          <w:tcPr>
            <w:tcW w:w="0" w:type="auto"/>
            <w:tcBorders>
              <w:top w:val="nil"/>
              <w:left w:val="nil"/>
              <w:bottom w:val="single" w:color="auto" w:sz="4" w:space="0"/>
              <w:right w:val="single" w:color="auto" w:sz="4" w:space="0"/>
            </w:tcBorders>
            <w:vAlign w:val="center"/>
          </w:tcPr>
          <w:p w14:paraId="5D700544">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2D86D79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茨营</w:t>
            </w:r>
          </w:p>
        </w:tc>
        <w:tc>
          <w:tcPr>
            <w:tcW w:w="0" w:type="auto"/>
            <w:tcBorders>
              <w:top w:val="nil"/>
              <w:left w:val="nil"/>
              <w:bottom w:val="single" w:color="auto" w:sz="4" w:space="0"/>
              <w:right w:val="single" w:color="auto" w:sz="4" w:space="0"/>
            </w:tcBorders>
            <w:vAlign w:val="center"/>
          </w:tcPr>
          <w:p w14:paraId="2908DC0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53ED9FC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5E18829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31A39749">
        <w:tblPrEx>
          <w:tblCellMar>
            <w:top w:w="0" w:type="dxa"/>
            <w:left w:w="108" w:type="dxa"/>
            <w:bottom w:w="0" w:type="dxa"/>
            <w:right w:w="108" w:type="dxa"/>
          </w:tblCellMar>
        </w:tblPrEx>
        <w:trPr>
          <w:trHeight w:val="420" w:hRule="atLeast"/>
        </w:trPr>
        <w:tc>
          <w:tcPr>
            <w:tcW w:w="0" w:type="auto"/>
            <w:tcBorders>
              <w:top w:val="nil"/>
              <w:left w:val="single" w:color="auto" w:sz="4" w:space="0"/>
              <w:bottom w:val="single" w:color="auto" w:sz="4" w:space="0"/>
              <w:right w:val="single" w:color="auto" w:sz="4" w:space="0"/>
            </w:tcBorders>
            <w:vAlign w:val="center"/>
          </w:tcPr>
          <w:p w14:paraId="12BD6EA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15</w:t>
            </w:r>
          </w:p>
        </w:tc>
        <w:tc>
          <w:tcPr>
            <w:tcW w:w="1720" w:type="dxa"/>
            <w:tcBorders>
              <w:top w:val="nil"/>
              <w:left w:val="nil"/>
              <w:bottom w:val="single" w:color="auto" w:sz="4" w:space="0"/>
              <w:right w:val="single" w:color="auto" w:sz="4" w:space="0"/>
            </w:tcBorders>
            <w:vAlign w:val="center"/>
          </w:tcPr>
          <w:p w14:paraId="084AA0B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龙潭河麒麟开发利用区</w:t>
            </w:r>
          </w:p>
        </w:tc>
        <w:tc>
          <w:tcPr>
            <w:tcW w:w="2605" w:type="dxa"/>
            <w:tcBorders>
              <w:top w:val="nil"/>
              <w:left w:val="nil"/>
              <w:bottom w:val="single" w:color="auto" w:sz="4" w:space="0"/>
              <w:right w:val="single" w:color="auto" w:sz="4" w:space="0"/>
            </w:tcBorders>
            <w:vAlign w:val="center"/>
          </w:tcPr>
          <w:p w14:paraId="320427C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龙潭河麒麟农业、工业用水区</w:t>
            </w:r>
          </w:p>
        </w:tc>
        <w:tc>
          <w:tcPr>
            <w:tcW w:w="691" w:type="dxa"/>
            <w:tcBorders>
              <w:top w:val="nil"/>
              <w:left w:val="nil"/>
              <w:bottom w:val="single" w:color="auto" w:sz="4" w:space="0"/>
              <w:right w:val="single" w:color="auto" w:sz="4" w:space="0"/>
            </w:tcBorders>
            <w:vAlign w:val="center"/>
          </w:tcPr>
          <w:p w14:paraId="6475F57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龙潭河</w:t>
            </w:r>
          </w:p>
        </w:tc>
        <w:tc>
          <w:tcPr>
            <w:tcW w:w="897" w:type="dxa"/>
            <w:tcBorders>
              <w:top w:val="nil"/>
              <w:left w:val="nil"/>
              <w:bottom w:val="single" w:color="auto" w:sz="4" w:space="0"/>
              <w:right w:val="single" w:color="auto" w:sz="4" w:space="0"/>
            </w:tcBorders>
            <w:vAlign w:val="center"/>
          </w:tcPr>
          <w:p w14:paraId="1C560A8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麒麟段</w:t>
            </w:r>
          </w:p>
        </w:tc>
        <w:tc>
          <w:tcPr>
            <w:tcW w:w="0" w:type="auto"/>
            <w:tcBorders>
              <w:top w:val="nil"/>
              <w:left w:val="nil"/>
              <w:bottom w:val="single" w:color="auto" w:sz="4" w:space="0"/>
              <w:right w:val="single" w:color="auto" w:sz="4" w:space="0"/>
            </w:tcBorders>
            <w:vAlign w:val="center"/>
          </w:tcPr>
          <w:p w14:paraId="2BDFB1E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小河村</w:t>
            </w:r>
          </w:p>
        </w:tc>
        <w:tc>
          <w:tcPr>
            <w:tcW w:w="0" w:type="auto"/>
            <w:tcBorders>
              <w:top w:val="nil"/>
              <w:left w:val="nil"/>
              <w:bottom w:val="single" w:color="auto" w:sz="4" w:space="0"/>
              <w:right w:val="single" w:color="auto" w:sz="4" w:space="0"/>
            </w:tcBorders>
            <w:vAlign w:val="center"/>
          </w:tcPr>
          <w:p w14:paraId="3FB85C8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1EC2AC0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8.1</w:t>
            </w:r>
          </w:p>
        </w:tc>
        <w:tc>
          <w:tcPr>
            <w:tcW w:w="0" w:type="auto"/>
            <w:tcBorders>
              <w:top w:val="nil"/>
              <w:left w:val="nil"/>
              <w:bottom w:val="single" w:color="auto" w:sz="4" w:space="0"/>
              <w:right w:val="single" w:color="auto" w:sz="4" w:space="0"/>
            </w:tcBorders>
            <w:vAlign w:val="center"/>
          </w:tcPr>
          <w:p w14:paraId="2D4EE548">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46BED95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西关</w:t>
            </w:r>
          </w:p>
        </w:tc>
        <w:tc>
          <w:tcPr>
            <w:tcW w:w="0" w:type="auto"/>
            <w:tcBorders>
              <w:top w:val="nil"/>
              <w:left w:val="nil"/>
              <w:bottom w:val="single" w:color="auto" w:sz="4" w:space="0"/>
              <w:right w:val="single" w:color="auto" w:sz="4" w:space="0"/>
            </w:tcBorders>
            <w:vAlign w:val="center"/>
          </w:tcPr>
          <w:p w14:paraId="22A4C4C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261F09C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0FC5C85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137907B0">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6BEF91A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16</w:t>
            </w:r>
          </w:p>
        </w:tc>
        <w:tc>
          <w:tcPr>
            <w:tcW w:w="1720" w:type="dxa"/>
            <w:tcBorders>
              <w:top w:val="nil"/>
              <w:left w:val="nil"/>
              <w:bottom w:val="single" w:color="auto" w:sz="4" w:space="0"/>
              <w:right w:val="single" w:color="auto" w:sz="4" w:space="0"/>
            </w:tcBorders>
            <w:vAlign w:val="center"/>
          </w:tcPr>
          <w:p w14:paraId="60B38E1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板桥河陆良源头水保护区</w:t>
            </w:r>
          </w:p>
        </w:tc>
        <w:tc>
          <w:tcPr>
            <w:tcW w:w="2605" w:type="dxa"/>
            <w:tcBorders>
              <w:top w:val="nil"/>
              <w:left w:val="nil"/>
              <w:bottom w:val="single" w:color="auto" w:sz="4" w:space="0"/>
              <w:right w:val="single" w:color="auto" w:sz="4" w:space="0"/>
            </w:tcBorders>
            <w:vAlign w:val="center"/>
          </w:tcPr>
          <w:p w14:paraId="635F84F0">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627BD0F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板桥河</w:t>
            </w:r>
          </w:p>
        </w:tc>
        <w:tc>
          <w:tcPr>
            <w:tcW w:w="897" w:type="dxa"/>
            <w:tcBorders>
              <w:top w:val="nil"/>
              <w:left w:val="nil"/>
              <w:bottom w:val="single" w:color="auto" w:sz="4" w:space="0"/>
              <w:right w:val="single" w:color="auto" w:sz="4" w:space="0"/>
            </w:tcBorders>
            <w:vAlign w:val="center"/>
          </w:tcPr>
          <w:p w14:paraId="430B7AA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2A6D2EF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9B05CF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莲花田水库坝址</w:t>
            </w:r>
          </w:p>
        </w:tc>
        <w:tc>
          <w:tcPr>
            <w:tcW w:w="0" w:type="auto"/>
            <w:tcBorders>
              <w:top w:val="nil"/>
              <w:left w:val="nil"/>
              <w:bottom w:val="single" w:color="auto" w:sz="4" w:space="0"/>
              <w:right w:val="single" w:color="auto" w:sz="4" w:space="0"/>
            </w:tcBorders>
            <w:vAlign w:val="center"/>
          </w:tcPr>
          <w:p w14:paraId="3DEBBE1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17</w:t>
            </w:r>
          </w:p>
        </w:tc>
        <w:tc>
          <w:tcPr>
            <w:tcW w:w="0" w:type="auto"/>
            <w:tcBorders>
              <w:top w:val="nil"/>
              <w:left w:val="nil"/>
              <w:bottom w:val="single" w:color="auto" w:sz="4" w:space="0"/>
              <w:right w:val="single" w:color="auto" w:sz="4" w:space="0"/>
            </w:tcBorders>
            <w:vAlign w:val="center"/>
          </w:tcPr>
          <w:p w14:paraId="17E80E9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0.72</w:t>
            </w:r>
          </w:p>
        </w:tc>
        <w:tc>
          <w:tcPr>
            <w:tcW w:w="0" w:type="auto"/>
            <w:tcBorders>
              <w:top w:val="nil"/>
              <w:left w:val="nil"/>
              <w:bottom w:val="single" w:color="auto" w:sz="4" w:space="0"/>
              <w:right w:val="single" w:color="auto" w:sz="4" w:space="0"/>
            </w:tcBorders>
            <w:vAlign w:val="center"/>
          </w:tcPr>
          <w:p w14:paraId="3C854E7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莲花田水库</w:t>
            </w:r>
          </w:p>
        </w:tc>
        <w:tc>
          <w:tcPr>
            <w:tcW w:w="0" w:type="auto"/>
            <w:tcBorders>
              <w:top w:val="nil"/>
              <w:left w:val="nil"/>
              <w:bottom w:val="single" w:color="auto" w:sz="4" w:space="0"/>
              <w:right w:val="single" w:color="auto" w:sz="4" w:space="0"/>
            </w:tcBorders>
            <w:vAlign w:val="center"/>
          </w:tcPr>
          <w:p w14:paraId="6120E6C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46414FA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529AB0A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2EA68DAA">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2528A3C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17</w:t>
            </w:r>
          </w:p>
        </w:tc>
        <w:tc>
          <w:tcPr>
            <w:tcW w:w="1720" w:type="dxa"/>
            <w:tcBorders>
              <w:top w:val="nil"/>
              <w:left w:val="nil"/>
              <w:bottom w:val="single" w:color="auto" w:sz="4" w:space="0"/>
              <w:right w:val="single" w:color="auto" w:sz="4" w:space="0"/>
            </w:tcBorders>
            <w:vAlign w:val="center"/>
          </w:tcPr>
          <w:p w14:paraId="232110D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板桥河陆良开发利用区</w:t>
            </w:r>
          </w:p>
        </w:tc>
        <w:tc>
          <w:tcPr>
            <w:tcW w:w="2605" w:type="dxa"/>
            <w:tcBorders>
              <w:top w:val="nil"/>
              <w:left w:val="nil"/>
              <w:bottom w:val="single" w:color="auto" w:sz="4" w:space="0"/>
              <w:right w:val="single" w:color="auto" w:sz="4" w:space="0"/>
            </w:tcBorders>
            <w:vAlign w:val="center"/>
          </w:tcPr>
          <w:p w14:paraId="4690F83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板桥河陆良工业、农业用水区</w:t>
            </w:r>
          </w:p>
        </w:tc>
        <w:tc>
          <w:tcPr>
            <w:tcW w:w="691" w:type="dxa"/>
            <w:tcBorders>
              <w:top w:val="nil"/>
              <w:left w:val="nil"/>
              <w:bottom w:val="single" w:color="auto" w:sz="4" w:space="0"/>
              <w:right w:val="single" w:color="auto" w:sz="4" w:space="0"/>
            </w:tcBorders>
            <w:vAlign w:val="center"/>
          </w:tcPr>
          <w:p w14:paraId="428FB24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板桥河</w:t>
            </w:r>
          </w:p>
        </w:tc>
        <w:tc>
          <w:tcPr>
            <w:tcW w:w="897" w:type="dxa"/>
            <w:tcBorders>
              <w:top w:val="nil"/>
              <w:left w:val="nil"/>
              <w:bottom w:val="single" w:color="auto" w:sz="4" w:space="0"/>
              <w:right w:val="single" w:color="auto" w:sz="4" w:space="0"/>
            </w:tcBorders>
            <w:vAlign w:val="center"/>
          </w:tcPr>
          <w:p w14:paraId="1DB6DBC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陆良段</w:t>
            </w:r>
          </w:p>
        </w:tc>
        <w:tc>
          <w:tcPr>
            <w:tcW w:w="0" w:type="auto"/>
            <w:tcBorders>
              <w:top w:val="nil"/>
              <w:left w:val="nil"/>
              <w:bottom w:val="single" w:color="auto" w:sz="4" w:space="0"/>
              <w:right w:val="single" w:color="auto" w:sz="4" w:space="0"/>
            </w:tcBorders>
            <w:vAlign w:val="center"/>
          </w:tcPr>
          <w:p w14:paraId="0B1B466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莲花田水库坝址</w:t>
            </w:r>
          </w:p>
        </w:tc>
        <w:tc>
          <w:tcPr>
            <w:tcW w:w="0" w:type="auto"/>
            <w:tcBorders>
              <w:top w:val="nil"/>
              <w:left w:val="nil"/>
              <w:bottom w:val="single" w:color="auto" w:sz="4" w:space="0"/>
              <w:right w:val="single" w:color="auto" w:sz="4" w:space="0"/>
            </w:tcBorders>
            <w:vAlign w:val="center"/>
          </w:tcPr>
          <w:p w14:paraId="3068ABB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3A90849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20.6</w:t>
            </w:r>
          </w:p>
        </w:tc>
        <w:tc>
          <w:tcPr>
            <w:tcW w:w="0" w:type="auto"/>
            <w:tcBorders>
              <w:top w:val="nil"/>
              <w:left w:val="nil"/>
              <w:bottom w:val="single" w:color="auto" w:sz="4" w:space="0"/>
              <w:right w:val="single" w:color="auto" w:sz="4" w:space="0"/>
            </w:tcBorders>
            <w:vAlign w:val="center"/>
          </w:tcPr>
          <w:p w14:paraId="553A768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3.52</w:t>
            </w:r>
          </w:p>
        </w:tc>
        <w:tc>
          <w:tcPr>
            <w:tcW w:w="0" w:type="auto"/>
            <w:tcBorders>
              <w:top w:val="nil"/>
              <w:left w:val="nil"/>
              <w:bottom w:val="single" w:color="auto" w:sz="4" w:space="0"/>
              <w:right w:val="single" w:color="auto" w:sz="4" w:space="0"/>
            </w:tcBorders>
            <w:vAlign w:val="center"/>
          </w:tcPr>
          <w:p w14:paraId="3EE220A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板桥河</w:t>
            </w:r>
          </w:p>
        </w:tc>
        <w:tc>
          <w:tcPr>
            <w:tcW w:w="0" w:type="auto"/>
            <w:tcBorders>
              <w:top w:val="nil"/>
              <w:left w:val="nil"/>
              <w:bottom w:val="single" w:color="auto" w:sz="4" w:space="0"/>
              <w:right w:val="single" w:color="auto" w:sz="4" w:space="0"/>
            </w:tcBorders>
            <w:vAlign w:val="center"/>
          </w:tcPr>
          <w:p w14:paraId="040BEAC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5839D58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3DC0F5E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7F817584">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4695781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18</w:t>
            </w:r>
          </w:p>
        </w:tc>
        <w:tc>
          <w:tcPr>
            <w:tcW w:w="1720" w:type="dxa"/>
            <w:tcBorders>
              <w:top w:val="nil"/>
              <w:left w:val="nil"/>
              <w:bottom w:val="single" w:color="auto" w:sz="4" w:space="0"/>
              <w:right w:val="single" w:color="auto" w:sz="4" w:space="0"/>
            </w:tcBorders>
            <w:vAlign w:val="center"/>
          </w:tcPr>
          <w:p w14:paraId="6F2BFEB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四目河陆良源头水保护</w:t>
            </w:r>
          </w:p>
        </w:tc>
        <w:tc>
          <w:tcPr>
            <w:tcW w:w="2605" w:type="dxa"/>
            <w:tcBorders>
              <w:top w:val="nil"/>
              <w:left w:val="nil"/>
              <w:bottom w:val="single" w:color="auto" w:sz="4" w:space="0"/>
              <w:right w:val="single" w:color="auto" w:sz="4" w:space="0"/>
            </w:tcBorders>
            <w:vAlign w:val="center"/>
          </w:tcPr>
          <w:p w14:paraId="05D68FF7">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135DAB1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四目河</w:t>
            </w:r>
          </w:p>
        </w:tc>
        <w:tc>
          <w:tcPr>
            <w:tcW w:w="897" w:type="dxa"/>
            <w:tcBorders>
              <w:top w:val="nil"/>
              <w:left w:val="nil"/>
              <w:bottom w:val="single" w:color="auto" w:sz="4" w:space="0"/>
              <w:right w:val="single" w:color="auto" w:sz="4" w:space="0"/>
            </w:tcBorders>
            <w:vAlign w:val="center"/>
          </w:tcPr>
          <w:p w14:paraId="0B7A036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62E0482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513DB91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北山水库</w:t>
            </w:r>
          </w:p>
        </w:tc>
        <w:tc>
          <w:tcPr>
            <w:tcW w:w="0" w:type="auto"/>
            <w:tcBorders>
              <w:top w:val="nil"/>
              <w:left w:val="nil"/>
              <w:bottom w:val="single" w:color="auto" w:sz="4" w:space="0"/>
              <w:right w:val="single" w:color="auto" w:sz="4" w:space="0"/>
            </w:tcBorders>
            <w:vAlign w:val="center"/>
          </w:tcPr>
          <w:p w14:paraId="47F1AF6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3.6</w:t>
            </w:r>
          </w:p>
        </w:tc>
        <w:tc>
          <w:tcPr>
            <w:tcW w:w="0" w:type="auto"/>
            <w:tcBorders>
              <w:top w:val="nil"/>
              <w:left w:val="nil"/>
              <w:bottom w:val="single" w:color="auto" w:sz="4" w:space="0"/>
              <w:right w:val="single" w:color="auto" w:sz="4" w:space="0"/>
            </w:tcBorders>
            <w:vAlign w:val="center"/>
          </w:tcPr>
          <w:p w14:paraId="1DE296F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0.8</w:t>
            </w:r>
          </w:p>
        </w:tc>
        <w:tc>
          <w:tcPr>
            <w:tcW w:w="0" w:type="auto"/>
            <w:tcBorders>
              <w:top w:val="nil"/>
              <w:left w:val="nil"/>
              <w:bottom w:val="single" w:color="auto" w:sz="4" w:space="0"/>
              <w:right w:val="single" w:color="auto" w:sz="4" w:space="0"/>
            </w:tcBorders>
            <w:vAlign w:val="center"/>
          </w:tcPr>
          <w:p w14:paraId="18C5B94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北山水库</w:t>
            </w:r>
          </w:p>
        </w:tc>
        <w:tc>
          <w:tcPr>
            <w:tcW w:w="0" w:type="auto"/>
            <w:tcBorders>
              <w:top w:val="nil"/>
              <w:left w:val="nil"/>
              <w:bottom w:val="single" w:color="auto" w:sz="4" w:space="0"/>
              <w:right w:val="single" w:color="auto" w:sz="4" w:space="0"/>
            </w:tcBorders>
            <w:vAlign w:val="center"/>
          </w:tcPr>
          <w:p w14:paraId="746199D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5F574D5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33E7E5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1A951248">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248645B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19</w:t>
            </w:r>
          </w:p>
        </w:tc>
        <w:tc>
          <w:tcPr>
            <w:tcW w:w="1720" w:type="dxa"/>
            <w:tcBorders>
              <w:top w:val="nil"/>
              <w:left w:val="nil"/>
              <w:bottom w:val="single" w:color="auto" w:sz="4" w:space="0"/>
              <w:right w:val="single" w:color="auto" w:sz="4" w:space="0"/>
            </w:tcBorders>
            <w:vAlign w:val="center"/>
          </w:tcPr>
          <w:p w14:paraId="4E2D1B3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杜公河陆良开发利用区</w:t>
            </w:r>
          </w:p>
        </w:tc>
        <w:tc>
          <w:tcPr>
            <w:tcW w:w="2605" w:type="dxa"/>
            <w:tcBorders>
              <w:top w:val="nil"/>
              <w:left w:val="nil"/>
              <w:bottom w:val="single" w:color="auto" w:sz="4" w:space="0"/>
              <w:right w:val="single" w:color="auto" w:sz="4" w:space="0"/>
            </w:tcBorders>
            <w:vAlign w:val="center"/>
          </w:tcPr>
          <w:p w14:paraId="337A5E2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杜公河陆良农业、工业用水区</w:t>
            </w:r>
          </w:p>
        </w:tc>
        <w:tc>
          <w:tcPr>
            <w:tcW w:w="691" w:type="dxa"/>
            <w:tcBorders>
              <w:top w:val="nil"/>
              <w:left w:val="nil"/>
              <w:bottom w:val="single" w:color="auto" w:sz="4" w:space="0"/>
              <w:right w:val="single" w:color="auto" w:sz="4" w:space="0"/>
            </w:tcBorders>
            <w:vAlign w:val="center"/>
          </w:tcPr>
          <w:p w14:paraId="787BE9F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杜公河</w:t>
            </w:r>
          </w:p>
        </w:tc>
        <w:tc>
          <w:tcPr>
            <w:tcW w:w="897" w:type="dxa"/>
            <w:tcBorders>
              <w:top w:val="nil"/>
              <w:left w:val="nil"/>
              <w:bottom w:val="single" w:color="auto" w:sz="4" w:space="0"/>
              <w:right w:val="single" w:color="auto" w:sz="4" w:space="0"/>
            </w:tcBorders>
            <w:vAlign w:val="center"/>
          </w:tcPr>
          <w:p w14:paraId="44CABD9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30D7E0D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64DA28B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w:t>
            </w:r>
          </w:p>
        </w:tc>
        <w:tc>
          <w:tcPr>
            <w:tcW w:w="0" w:type="auto"/>
            <w:tcBorders>
              <w:top w:val="nil"/>
              <w:left w:val="nil"/>
              <w:bottom w:val="single" w:color="auto" w:sz="4" w:space="0"/>
              <w:right w:val="single" w:color="auto" w:sz="4" w:space="0"/>
            </w:tcBorders>
            <w:vAlign w:val="center"/>
          </w:tcPr>
          <w:p w14:paraId="2058072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25.5</w:t>
            </w:r>
          </w:p>
        </w:tc>
        <w:tc>
          <w:tcPr>
            <w:tcW w:w="0" w:type="auto"/>
            <w:tcBorders>
              <w:top w:val="nil"/>
              <w:left w:val="nil"/>
              <w:bottom w:val="single" w:color="auto" w:sz="4" w:space="0"/>
              <w:right w:val="single" w:color="auto" w:sz="4" w:space="0"/>
            </w:tcBorders>
            <w:vAlign w:val="center"/>
          </w:tcPr>
          <w:p w14:paraId="6C178935">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5DF7A3D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杜公河</w:t>
            </w:r>
          </w:p>
        </w:tc>
        <w:tc>
          <w:tcPr>
            <w:tcW w:w="0" w:type="auto"/>
            <w:tcBorders>
              <w:top w:val="nil"/>
              <w:left w:val="nil"/>
              <w:bottom w:val="single" w:color="auto" w:sz="4" w:space="0"/>
              <w:right w:val="single" w:color="auto" w:sz="4" w:space="0"/>
            </w:tcBorders>
            <w:vAlign w:val="center"/>
          </w:tcPr>
          <w:p w14:paraId="0056985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151E7AB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4D56EB7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4BD52DC3">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63EB011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w:t>
            </w:r>
          </w:p>
        </w:tc>
        <w:tc>
          <w:tcPr>
            <w:tcW w:w="1720" w:type="dxa"/>
            <w:tcBorders>
              <w:top w:val="nil"/>
              <w:left w:val="nil"/>
              <w:bottom w:val="single" w:color="auto" w:sz="4" w:space="0"/>
              <w:right w:val="single" w:color="auto" w:sz="4" w:space="0"/>
            </w:tcBorders>
            <w:vAlign w:val="center"/>
          </w:tcPr>
          <w:p w14:paraId="49968EC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永清河陆良源头水保护区</w:t>
            </w:r>
          </w:p>
        </w:tc>
        <w:tc>
          <w:tcPr>
            <w:tcW w:w="2605" w:type="dxa"/>
            <w:tcBorders>
              <w:top w:val="nil"/>
              <w:left w:val="nil"/>
              <w:bottom w:val="single" w:color="auto" w:sz="4" w:space="0"/>
              <w:right w:val="single" w:color="auto" w:sz="4" w:space="0"/>
            </w:tcBorders>
            <w:vAlign w:val="center"/>
          </w:tcPr>
          <w:p w14:paraId="2FF02895">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2B51B02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永清河</w:t>
            </w:r>
          </w:p>
        </w:tc>
        <w:tc>
          <w:tcPr>
            <w:tcW w:w="897" w:type="dxa"/>
            <w:tcBorders>
              <w:top w:val="nil"/>
              <w:left w:val="nil"/>
              <w:bottom w:val="single" w:color="auto" w:sz="4" w:space="0"/>
              <w:right w:val="single" w:color="auto" w:sz="4" w:space="0"/>
            </w:tcBorders>
            <w:vAlign w:val="center"/>
          </w:tcPr>
          <w:p w14:paraId="77DE86D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2EE8411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1F1719B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永清水库坝址</w:t>
            </w:r>
          </w:p>
        </w:tc>
        <w:tc>
          <w:tcPr>
            <w:tcW w:w="0" w:type="auto"/>
            <w:tcBorders>
              <w:top w:val="nil"/>
              <w:left w:val="nil"/>
              <w:bottom w:val="single" w:color="auto" w:sz="4" w:space="0"/>
              <w:right w:val="single" w:color="auto" w:sz="4" w:space="0"/>
            </w:tcBorders>
            <w:vAlign w:val="center"/>
          </w:tcPr>
          <w:p w14:paraId="5441E74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9.6</w:t>
            </w:r>
          </w:p>
        </w:tc>
        <w:tc>
          <w:tcPr>
            <w:tcW w:w="0" w:type="auto"/>
            <w:tcBorders>
              <w:top w:val="nil"/>
              <w:left w:val="nil"/>
              <w:bottom w:val="single" w:color="auto" w:sz="4" w:space="0"/>
              <w:right w:val="single" w:color="auto" w:sz="4" w:space="0"/>
            </w:tcBorders>
            <w:vAlign w:val="center"/>
          </w:tcPr>
          <w:p w14:paraId="7F5192C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1.2</w:t>
            </w:r>
          </w:p>
        </w:tc>
        <w:tc>
          <w:tcPr>
            <w:tcW w:w="0" w:type="auto"/>
            <w:tcBorders>
              <w:top w:val="nil"/>
              <w:left w:val="nil"/>
              <w:bottom w:val="single" w:color="auto" w:sz="4" w:space="0"/>
              <w:right w:val="single" w:color="auto" w:sz="4" w:space="0"/>
            </w:tcBorders>
            <w:vAlign w:val="center"/>
          </w:tcPr>
          <w:p w14:paraId="7779119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永清水库</w:t>
            </w:r>
          </w:p>
        </w:tc>
        <w:tc>
          <w:tcPr>
            <w:tcW w:w="0" w:type="auto"/>
            <w:tcBorders>
              <w:top w:val="nil"/>
              <w:left w:val="nil"/>
              <w:bottom w:val="single" w:color="auto" w:sz="4" w:space="0"/>
              <w:right w:val="single" w:color="auto" w:sz="4" w:space="0"/>
            </w:tcBorders>
            <w:vAlign w:val="center"/>
          </w:tcPr>
          <w:p w14:paraId="7AA5CA1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4547B42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6AD6C1C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251351E3">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4C49617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21</w:t>
            </w:r>
          </w:p>
        </w:tc>
        <w:tc>
          <w:tcPr>
            <w:tcW w:w="1720" w:type="dxa"/>
            <w:tcBorders>
              <w:top w:val="nil"/>
              <w:left w:val="nil"/>
              <w:bottom w:val="single" w:color="auto" w:sz="4" w:space="0"/>
              <w:right w:val="single" w:color="auto" w:sz="4" w:space="0"/>
            </w:tcBorders>
            <w:vAlign w:val="center"/>
          </w:tcPr>
          <w:p w14:paraId="362DD57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永清河陆良保留区</w:t>
            </w:r>
          </w:p>
        </w:tc>
        <w:tc>
          <w:tcPr>
            <w:tcW w:w="2605" w:type="dxa"/>
            <w:tcBorders>
              <w:top w:val="nil"/>
              <w:left w:val="nil"/>
              <w:bottom w:val="single" w:color="auto" w:sz="4" w:space="0"/>
              <w:right w:val="single" w:color="auto" w:sz="4" w:space="0"/>
            </w:tcBorders>
            <w:vAlign w:val="center"/>
          </w:tcPr>
          <w:p w14:paraId="17634D5D">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579BAA6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永清河</w:t>
            </w:r>
          </w:p>
        </w:tc>
        <w:tc>
          <w:tcPr>
            <w:tcW w:w="897" w:type="dxa"/>
            <w:tcBorders>
              <w:top w:val="nil"/>
              <w:left w:val="nil"/>
              <w:bottom w:val="single" w:color="auto" w:sz="4" w:space="0"/>
              <w:right w:val="single" w:color="auto" w:sz="4" w:space="0"/>
            </w:tcBorders>
            <w:vAlign w:val="center"/>
          </w:tcPr>
          <w:p w14:paraId="09E5CF9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陆良段</w:t>
            </w:r>
          </w:p>
        </w:tc>
        <w:tc>
          <w:tcPr>
            <w:tcW w:w="0" w:type="auto"/>
            <w:tcBorders>
              <w:top w:val="nil"/>
              <w:left w:val="nil"/>
              <w:bottom w:val="single" w:color="auto" w:sz="4" w:space="0"/>
              <w:right w:val="single" w:color="auto" w:sz="4" w:space="0"/>
            </w:tcBorders>
            <w:vAlign w:val="center"/>
          </w:tcPr>
          <w:p w14:paraId="5058E1D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永清水库坝址</w:t>
            </w:r>
          </w:p>
        </w:tc>
        <w:tc>
          <w:tcPr>
            <w:tcW w:w="0" w:type="auto"/>
            <w:tcBorders>
              <w:top w:val="nil"/>
              <w:left w:val="nil"/>
              <w:bottom w:val="single" w:color="auto" w:sz="4" w:space="0"/>
              <w:right w:val="single" w:color="auto" w:sz="4" w:space="0"/>
            </w:tcBorders>
            <w:vAlign w:val="center"/>
          </w:tcPr>
          <w:p w14:paraId="7CDBD73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18DCD72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24.6</w:t>
            </w:r>
          </w:p>
        </w:tc>
        <w:tc>
          <w:tcPr>
            <w:tcW w:w="0" w:type="auto"/>
            <w:tcBorders>
              <w:top w:val="nil"/>
              <w:left w:val="nil"/>
              <w:bottom w:val="single" w:color="auto" w:sz="4" w:space="0"/>
              <w:right w:val="single" w:color="auto" w:sz="4" w:space="0"/>
            </w:tcBorders>
            <w:vAlign w:val="center"/>
          </w:tcPr>
          <w:p w14:paraId="6B363859">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1A1C97F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小百户</w:t>
            </w:r>
          </w:p>
        </w:tc>
        <w:tc>
          <w:tcPr>
            <w:tcW w:w="0" w:type="auto"/>
            <w:tcBorders>
              <w:top w:val="nil"/>
              <w:left w:val="nil"/>
              <w:bottom w:val="single" w:color="auto" w:sz="4" w:space="0"/>
              <w:right w:val="single" w:color="auto" w:sz="4" w:space="0"/>
            </w:tcBorders>
            <w:vAlign w:val="center"/>
          </w:tcPr>
          <w:p w14:paraId="55FF568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FA6FA1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3D5330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1B91CC49">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713929B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22</w:t>
            </w:r>
          </w:p>
        </w:tc>
        <w:tc>
          <w:tcPr>
            <w:tcW w:w="1720" w:type="dxa"/>
            <w:tcBorders>
              <w:top w:val="nil"/>
              <w:left w:val="nil"/>
              <w:bottom w:val="single" w:color="auto" w:sz="4" w:space="0"/>
              <w:right w:val="single" w:color="auto" w:sz="4" w:space="0"/>
            </w:tcBorders>
            <w:vAlign w:val="center"/>
          </w:tcPr>
          <w:p w14:paraId="3902FAF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赫斐河陆良源头水保护区</w:t>
            </w:r>
          </w:p>
        </w:tc>
        <w:tc>
          <w:tcPr>
            <w:tcW w:w="2605" w:type="dxa"/>
            <w:tcBorders>
              <w:top w:val="nil"/>
              <w:left w:val="nil"/>
              <w:bottom w:val="single" w:color="auto" w:sz="4" w:space="0"/>
              <w:right w:val="single" w:color="auto" w:sz="4" w:space="0"/>
            </w:tcBorders>
            <w:vAlign w:val="center"/>
          </w:tcPr>
          <w:p w14:paraId="4261F440">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42E4090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赫斐河</w:t>
            </w:r>
          </w:p>
        </w:tc>
        <w:tc>
          <w:tcPr>
            <w:tcW w:w="897" w:type="dxa"/>
            <w:tcBorders>
              <w:top w:val="nil"/>
              <w:left w:val="nil"/>
              <w:bottom w:val="single" w:color="auto" w:sz="4" w:space="0"/>
              <w:right w:val="single" w:color="auto" w:sz="4" w:space="0"/>
            </w:tcBorders>
            <w:vAlign w:val="center"/>
          </w:tcPr>
          <w:p w14:paraId="413B19D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135B7E8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8122C6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恨虎坝水库坝址</w:t>
            </w:r>
          </w:p>
        </w:tc>
        <w:tc>
          <w:tcPr>
            <w:tcW w:w="0" w:type="auto"/>
            <w:tcBorders>
              <w:top w:val="nil"/>
              <w:left w:val="nil"/>
              <w:bottom w:val="single" w:color="auto" w:sz="4" w:space="0"/>
              <w:right w:val="single" w:color="auto" w:sz="4" w:space="0"/>
            </w:tcBorders>
            <w:vAlign w:val="center"/>
          </w:tcPr>
          <w:p w14:paraId="2C3E551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11.9</w:t>
            </w:r>
          </w:p>
        </w:tc>
        <w:tc>
          <w:tcPr>
            <w:tcW w:w="0" w:type="auto"/>
            <w:tcBorders>
              <w:top w:val="nil"/>
              <w:left w:val="nil"/>
              <w:bottom w:val="single" w:color="auto" w:sz="4" w:space="0"/>
              <w:right w:val="single" w:color="auto" w:sz="4" w:space="0"/>
            </w:tcBorders>
            <w:vAlign w:val="center"/>
          </w:tcPr>
          <w:p w14:paraId="6E524B5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0.42</w:t>
            </w:r>
          </w:p>
        </w:tc>
        <w:tc>
          <w:tcPr>
            <w:tcW w:w="0" w:type="auto"/>
            <w:tcBorders>
              <w:top w:val="nil"/>
              <w:left w:val="nil"/>
              <w:bottom w:val="single" w:color="auto" w:sz="4" w:space="0"/>
              <w:right w:val="single" w:color="auto" w:sz="4" w:space="0"/>
            </w:tcBorders>
            <w:vAlign w:val="center"/>
          </w:tcPr>
          <w:p w14:paraId="6621EE9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恨虎坝水库</w:t>
            </w:r>
          </w:p>
        </w:tc>
        <w:tc>
          <w:tcPr>
            <w:tcW w:w="0" w:type="auto"/>
            <w:tcBorders>
              <w:top w:val="nil"/>
              <w:left w:val="nil"/>
              <w:bottom w:val="single" w:color="auto" w:sz="4" w:space="0"/>
              <w:right w:val="single" w:color="auto" w:sz="4" w:space="0"/>
            </w:tcBorders>
            <w:vAlign w:val="center"/>
          </w:tcPr>
          <w:p w14:paraId="3ECC40A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3CD9EA7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F03B05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7F987551">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4356C09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23</w:t>
            </w:r>
          </w:p>
        </w:tc>
        <w:tc>
          <w:tcPr>
            <w:tcW w:w="1720" w:type="dxa"/>
            <w:tcBorders>
              <w:top w:val="nil"/>
              <w:left w:val="nil"/>
              <w:bottom w:val="single" w:color="auto" w:sz="4" w:space="0"/>
              <w:right w:val="single" w:color="auto" w:sz="4" w:space="0"/>
            </w:tcBorders>
            <w:vAlign w:val="center"/>
          </w:tcPr>
          <w:p w14:paraId="72276A4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西华寺河陆良开发利用区</w:t>
            </w:r>
          </w:p>
        </w:tc>
        <w:tc>
          <w:tcPr>
            <w:tcW w:w="2605" w:type="dxa"/>
            <w:tcBorders>
              <w:top w:val="nil"/>
              <w:left w:val="nil"/>
              <w:bottom w:val="single" w:color="auto" w:sz="4" w:space="0"/>
              <w:right w:val="single" w:color="auto" w:sz="4" w:space="0"/>
            </w:tcBorders>
            <w:vAlign w:val="center"/>
          </w:tcPr>
          <w:p w14:paraId="6D24DE3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西华寺河陆良景观、农业用水区</w:t>
            </w:r>
          </w:p>
        </w:tc>
        <w:tc>
          <w:tcPr>
            <w:tcW w:w="691" w:type="dxa"/>
            <w:tcBorders>
              <w:top w:val="nil"/>
              <w:left w:val="nil"/>
              <w:bottom w:val="single" w:color="auto" w:sz="4" w:space="0"/>
              <w:right w:val="single" w:color="auto" w:sz="4" w:space="0"/>
            </w:tcBorders>
            <w:vAlign w:val="center"/>
          </w:tcPr>
          <w:p w14:paraId="3A6DB54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西华寺河</w:t>
            </w:r>
          </w:p>
        </w:tc>
        <w:tc>
          <w:tcPr>
            <w:tcW w:w="897" w:type="dxa"/>
            <w:tcBorders>
              <w:top w:val="nil"/>
              <w:left w:val="nil"/>
              <w:bottom w:val="single" w:color="auto" w:sz="4" w:space="0"/>
              <w:right w:val="single" w:color="auto" w:sz="4" w:space="0"/>
            </w:tcBorders>
            <w:vAlign w:val="center"/>
          </w:tcPr>
          <w:p w14:paraId="1DD041C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5978591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78FEB37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5E382D4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7.85</w:t>
            </w:r>
          </w:p>
        </w:tc>
        <w:tc>
          <w:tcPr>
            <w:tcW w:w="0" w:type="auto"/>
            <w:tcBorders>
              <w:top w:val="nil"/>
              <w:left w:val="nil"/>
              <w:bottom w:val="single" w:color="auto" w:sz="4" w:space="0"/>
              <w:right w:val="single" w:color="auto" w:sz="4" w:space="0"/>
            </w:tcBorders>
            <w:vAlign w:val="center"/>
          </w:tcPr>
          <w:p w14:paraId="2C2DF49B">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7A0DA2C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西华寺河</w:t>
            </w:r>
          </w:p>
        </w:tc>
        <w:tc>
          <w:tcPr>
            <w:tcW w:w="0" w:type="auto"/>
            <w:tcBorders>
              <w:top w:val="nil"/>
              <w:left w:val="nil"/>
              <w:bottom w:val="single" w:color="auto" w:sz="4" w:space="0"/>
              <w:right w:val="single" w:color="auto" w:sz="4" w:space="0"/>
            </w:tcBorders>
            <w:vAlign w:val="center"/>
          </w:tcPr>
          <w:p w14:paraId="782B205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29844DF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53AF1A8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3C5A938C">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16D995F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24</w:t>
            </w:r>
          </w:p>
        </w:tc>
        <w:tc>
          <w:tcPr>
            <w:tcW w:w="1720" w:type="dxa"/>
            <w:tcBorders>
              <w:top w:val="nil"/>
              <w:left w:val="nil"/>
              <w:bottom w:val="single" w:color="auto" w:sz="4" w:space="0"/>
              <w:right w:val="single" w:color="auto" w:sz="4" w:space="0"/>
            </w:tcBorders>
            <w:vAlign w:val="center"/>
          </w:tcPr>
          <w:p w14:paraId="345A1F9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麦田河马龙源头水保护区</w:t>
            </w:r>
          </w:p>
        </w:tc>
        <w:tc>
          <w:tcPr>
            <w:tcW w:w="2605" w:type="dxa"/>
            <w:tcBorders>
              <w:top w:val="nil"/>
              <w:left w:val="nil"/>
              <w:bottom w:val="single" w:color="auto" w:sz="4" w:space="0"/>
              <w:right w:val="single" w:color="auto" w:sz="4" w:space="0"/>
            </w:tcBorders>
            <w:vAlign w:val="center"/>
          </w:tcPr>
          <w:p w14:paraId="007A7997">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75973CE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麦田河</w:t>
            </w:r>
          </w:p>
        </w:tc>
        <w:tc>
          <w:tcPr>
            <w:tcW w:w="897" w:type="dxa"/>
            <w:tcBorders>
              <w:top w:val="nil"/>
              <w:left w:val="nil"/>
              <w:bottom w:val="single" w:color="auto" w:sz="4" w:space="0"/>
              <w:right w:val="single" w:color="auto" w:sz="4" w:space="0"/>
            </w:tcBorders>
            <w:vAlign w:val="center"/>
          </w:tcPr>
          <w:p w14:paraId="4607E90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3883434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1EB9BCB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黄草坪水库坝址</w:t>
            </w:r>
          </w:p>
        </w:tc>
        <w:tc>
          <w:tcPr>
            <w:tcW w:w="0" w:type="auto"/>
            <w:tcBorders>
              <w:top w:val="nil"/>
              <w:left w:val="nil"/>
              <w:bottom w:val="single" w:color="auto" w:sz="4" w:space="0"/>
              <w:right w:val="single" w:color="auto" w:sz="4" w:space="0"/>
            </w:tcBorders>
            <w:vAlign w:val="center"/>
          </w:tcPr>
          <w:p w14:paraId="56886C0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6.2</w:t>
            </w:r>
          </w:p>
        </w:tc>
        <w:tc>
          <w:tcPr>
            <w:tcW w:w="0" w:type="auto"/>
            <w:tcBorders>
              <w:top w:val="nil"/>
              <w:left w:val="nil"/>
              <w:bottom w:val="single" w:color="auto" w:sz="4" w:space="0"/>
              <w:right w:val="single" w:color="auto" w:sz="4" w:space="0"/>
            </w:tcBorders>
            <w:vAlign w:val="center"/>
          </w:tcPr>
          <w:p w14:paraId="4AA4217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0.6</w:t>
            </w:r>
          </w:p>
        </w:tc>
        <w:tc>
          <w:tcPr>
            <w:tcW w:w="0" w:type="auto"/>
            <w:tcBorders>
              <w:top w:val="nil"/>
              <w:left w:val="nil"/>
              <w:bottom w:val="single" w:color="auto" w:sz="4" w:space="0"/>
              <w:right w:val="single" w:color="auto" w:sz="4" w:space="0"/>
            </w:tcBorders>
            <w:vAlign w:val="center"/>
          </w:tcPr>
          <w:p w14:paraId="15A436B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黄草坪水库</w:t>
            </w:r>
          </w:p>
        </w:tc>
        <w:tc>
          <w:tcPr>
            <w:tcW w:w="0" w:type="auto"/>
            <w:tcBorders>
              <w:top w:val="nil"/>
              <w:left w:val="nil"/>
              <w:bottom w:val="single" w:color="auto" w:sz="4" w:space="0"/>
              <w:right w:val="single" w:color="auto" w:sz="4" w:space="0"/>
            </w:tcBorders>
            <w:vAlign w:val="center"/>
          </w:tcPr>
          <w:p w14:paraId="57D48AB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FDB303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66D60A6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5BB8C370">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79DB322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25</w:t>
            </w:r>
          </w:p>
        </w:tc>
        <w:tc>
          <w:tcPr>
            <w:tcW w:w="1720" w:type="dxa"/>
            <w:tcBorders>
              <w:top w:val="nil"/>
              <w:left w:val="nil"/>
              <w:bottom w:val="single" w:color="auto" w:sz="4" w:space="0"/>
              <w:right w:val="single" w:color="auto" w:sz="4" w:space="0"/>
            </w:tcBorders>
            <w:vAlign w:val="center"/>
          </w:tcPr>
          <w:p w14:paraId="6921041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麦田河马龙保留区</w:t>
            </w:r>
          </w:p>
        </w:tc>
        <w:tc>
          <w:tcPr>
            <w:tcW w:w="2605" w:type="dxa"/>
            <w:tcBorders>
              <w:top w:val="nil"/>
              <w:left w:val="nil"/>
              <w:bottom w:val="single" w:color="auto" w:sz="4" w:space="0"/>
              <w:right w:val="single" w:color="auto" w:sz="4" w:space="0"/>
            </w:tcBorders>
            <w:vAlign w:val="center"/>
          </w:tcPr>
          <w:p w14:paraId="32A80B61">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73C9543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麦田河</w:t>
            </w:r>
          </w:p>
        </w:tc>
        <w:tc>
          <w:tcPr>
            <w:tcW w:w="897" w:type="dxa"/>
            <w:tcBorders>
              <w:top w:val="nil"/>
              <w:left w:val="nil"/>
              <w:bottom w:val="single" w:color="auto" w:sz="4" w:space="0"/>
              <w:right w:val="single" w:color="auto" w:sz="4" w:space="0"/>
            </w:tcBorders>
            <w:vAlign w:val="center"/>
          </w:tcPr>
          <w:p w14:paraId="0DB0A2D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马龙段</w:t>
            </w:r>
          </w:p>
        </w:tc>
        <w:tc>
          <w:tcPr>
            <w:tcW w:w="0" w:type="auto"/>
            <w:tcBorders>
              <w:top w:val="nil"/>
              <w:left w:val="nil"/>
              <w:bottom w:val="single" w:color="auto" w:sz="4" w:space="0"/>
              <w:right w:val="single" w:color="auto" w:sz="4" w:space="0"/>
            </w:tcBorders>
            <w:vAlign w:val="center"/>
          </w:tcPr>
          <w:p w14:paraId="4C64CCE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黄草坪水库坝址</w:t>
            </w:r>
          </w:p>
        </w:tc>
        <w:tc>
          <w:tcPr>
            <w:tcW w:w="0" w:type="auto"/>
            <w:tcBorders>
              <w:top w:val="nil"/>
              <w:left w:val="nil"/>
              <w:bottom w:val="single" w:color="auto" w:sz="4" w:space="0"/>
              <w:right w:val="single" w:color="auto" w:sz="4" w:space="0"/>
            </w:tcBorders>
            <w:vAlign w:val="center"/>
          </w:tcPr>
          <w:p w14:paraId="5214B05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出市境口</w:t>
            </w:r>
          </w:p>
        </w:tc>
        <w:tc>
          <w:tcPr>
            <w:tcW w:w="0" w:type="auto"/>
            <w:tcBorders>
              <w:top w:val="nil"/>
              <w:left w:val="nil"/>
              <w:bottom w:val="single" w:color="auto" w:sz="4" w:space="0"/>
              <w:right w:val="single" w:color="auto" w:sz="4" w:space="0"/>
            </w:tcBorders>
            <w:vAlign w:val="center"/>
          </w:tcPr>
          <w:p w14:paraId="7EBE33A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33</w:t>
            </w:r>
          </w:p>
        </w:tc>
        <w:tc>
          <w:tcPr>
            <w:tcW w:w="0" w:type="auto"/>
            <w:tcBorders>
              <w:top w:val="nil"/>
              <w:left w:val="nil"/>
              <w:bottom w:val="single" w:color="auto" w:sz="4" w:space="0"/>
              <w:right w:val="single" w:color="auto" w:sz="4" w:space="0"/>
            </w:tcBorders>
            <w:vAlign w:val="center"/>
          </w:tcPr>
          <w:p w14:paraId="61D06808">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1333D72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大庄</w:t>
            </w:r>
          </w:p>
        </w:tc>
        <w:tc>
          <w:tcPr>
            <w:tcW w:w="0" w:type="auto"/>
            <w:tcBorders>
              <w:top w:val="nil"/>
              <w:left w:val="nil"/>
              <w:bottom w:val="single" w:color="auto" w:sz="4" w:space="0"/>
              <w:right w:val="single" w:color="auto" w:sz="4" w:space="0"/>
            </w:tcBorders>
            <w:vAlign w:val="center"/>
          </w:tcPr>
          <w:p w14:paraId="46D170E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6BE5D65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6B5CA1D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3D77AB21">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5A2E8AE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26</w:t>
            </w:r>
          </w:p>
        </w:tc>
        <w:tc>
          <w:tcPr>
            <w:tcW w:w="1720" w:type="dxa"/>
            <w:tcBorders>
              <w:top w:val="nil"/>
              <w:left w:val="nil"/>
              <w:bottom w:val="single" w:color="auto" w:sz="4" w:space="0"/>
              <w:right w:val="single" w:color="auto" w:sz="4" w:space="0"/>
            </w:tcBorders>
            <w:vAlign w:val="center"/>
          </w:tcPr>
          <w:p w14:paraId="4693E3B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獐子坝河马龙保留区</w:t>
            </w:r>
          </w:p>
        </w:tc>
        <w:tc>
          <w:tcPr>
            <w:tcW w:w="2605" w:type="dxa"/>
            <w:tcBorders>
              <w:top w:val="nil"/>
              <w:left w:val="nil"/>
              <w:bottom w:val="single" w:color="auto" w:sz="4" w:space="0"/>
              <w:right w:val="single" w:color="auto" w:sz="4" w:space="0"/>
            </w:tcBorders>
            <w:vAlign w:val="center"/>
          </w:tcPr>
          <w:p w14:paraId="32939981">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6374C24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獐子坝河</w:t>
            </w:r>
          </w:p>
        </w:tc>
        <w:tc>
          <w:tcPr>
            <w:tcW w:w="897" w:type="dxa"/>
            <w:tcBorders>
              <w:top w:val="nil"/>
              <w:left w:val="nil"/>
              <w:bottom w:val="single" w:color="auto" w:sz="4" w:space="0"/>
              <w:right w:val="single" w:color="auto" w:sz="4" w:space="0"/>
            </w:tcBorders>
            <w:vAlign w:val="center"/>
          </w:tcPr>
          <w:p w14:paraId="114E048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马龙段</w:t>
            </w:r>
          </w:p>
        </w:tc>
        <w:tc>
          <w:tcPr>
            <w:tcW w:w="0" w:type="auto"/>
            <w:tcBorders>
              <w:top w:val="nil"/>
              <w:left w:val="nil"/>
              <w:bottom w:val="single" w:color="auto" w:sz="4" w:space="0"/>
              <w:right w:val="single" w:color="auto" w:sz="4" w:space="0"/>
            </w:tcBorders>
            <w:vAlign w:val="center"/>
          </w:tcPr>
          <w:p w14:paraId="79103D4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7F0BBA4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出市境口</w:t>
            </w:r>
          </w:p>
        </w:tc>
        <w:tc>
          <w:tcPr>
            <w:tcW w:w="0" w:type="auto"/>
            <w:tcBorders>
              <w:top w:val="nil"/>
              <w:left w:val="nil"/>
              <w:bottom w:val="single" w:color="auto" w:sz="4" w:space="0"/>
              <w:right w:val="single" w:color="auto" w:sz="4" w:space="0"/>
            </w:tcBorders>
            <w:vAlign w:val="center"/>
          </w:tcPr>
          <w:p w14:paraId="7FF584B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49.9</w:t>
            </w:r>
          </w:p>
        </w:tc>
        <w:tc>
          <w:tcPr>
            <w:tcW w:w="0" w:type="auto"/>
            <w:tcBorders>
              <w:top w:val="nil"/>
              <w:left w:val="nil"/>
              <w:bottom w:val="single" w:color="auto" w:sz="4" w:space="0"/>
              <w:right w:val="single" w:color="auto" w:sz="4" w:space="0"/>
            </w:tcBorders>
            <w:vAlign w:val="center"/>
          </w:tcPr>
          <w:p w14:paraId="08F13B5F">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297F6BB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獐子坝河</w:t>
            </w:r>
          </w:p>
        </w:tc>
        <w:tc>
          <w:tcPr>
            <w:tcW w:w="0" w:type="auto"/>
            <w:tcBorders>
              <w:top w:val="nil"/>
              <w:left w:val="nil"/>
              <w:bottom w:val="single" w:color="auto" w:sz="4" w:space="0"/>
              <w:right w:val="single" w:color="auto" w:sz="4" w:space="0"/>
            </w:tcBorders>
            <w:vAlign w:val="center"/>
          </w:tcPr>
          <w:p w14:paraId="18548B9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E7C3BE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F14010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37D8B0BB">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32ECDF2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27</w:t>
            </w:r>
          </w:p>
        </w:tc>
        <w:tc>
          <w:tcPr>
            <w:tcW w:w="1720" w:type="dxa"/>
            <w:tcBorders>
              <w:top w:val="nil"/>
              <w:left w:val="nil"/>
              <w:bottom w:val="single" w:color="auto" w:sz="4" w:space="0"/>
              <w:right w:val="single" w:color="auto" w:sz="4" w:space="0"/>
            </w:tcBorders>
            <w:vAlign w:val="center"/>
          </w:tcPr>
          <w:p w14:paraId="44392CD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甸溪河师宗源头水保护</w:t>
            </w:r>
          </w:p>
        </w:tc>
        <w:tc>
          <w:tcPr>
            <w:tcW w:w="2605" w:type="dxa"/>
            <w:tcBorders>
              <w:top w:val="nil"/>
              <w:left w:val="nil"/>
              <w:bottom w:val="single" w:color="auto" w:sz="4" w:space="0"/>
              <w:right w:val="single" w:color="auto" w:sz="4" w:space="0"/>
            </w:tcBorders>
            <w:vAlign w:val="center"/>
          </w:tcPr>
          <w:p w14:paraId="607AEA62">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667E921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甸溪河</w:t>
            </w:r>
          </w:p>
        </w:tc>
        <w:tc>
          <w:tcPr>
            <w:tcW w:w="897" w:type="dxa"/>
            <w:tcBorders>
              <w:top w:val="nil"/>
              <w:left w:val="nil"/>
              <w:bottom w:val="single" w:color="auto" w:sz="4" w:space="0"/>
              <w:right w:val="single" w:color="auto" w:sz="4" w:space="0"/>
            </w:tcBorders>
            <w:vAlign w:val="center"/>
          </w:tcPr>
          <w:p w14:paraId="20B8143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师宗段</w:t>
            </w:r>
          </w:p>
        </w:tc>
        <w:tc>
          <w:tcPr>
            <w:tcW w:w="0" w:type="auto"/>
            <w:tcBorders>
              <w:top w:val="nil"/>
              <w:left w:val="nil"/>
              <w:bottom w:val="single" w:color="auto" w:sz="4" w:space="0"/>
              <w:right w:val="single" w:color="auto" w:sz="4" w:space="0"/>
            </w:tcBorders>
            <w:vAlign w:val="center"/>
          </w:tcPr>
          <w:p w14:paraId="50EC45D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13411ED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出市境口</w:t>
            </w:r>
          </w:p>
        </w:tc>
        <w:tc>
          <w:tcPr>
            <w:tcW w:w="0" w:type="auto"/>
            <w:tcBorders>
              <w:top w:val="nil"/>
              <w:left w:val="nil"/>
              <w:bottom w:val="single" w:color="auto" w:sz="4" w:space="0"/>
              <w:right w:val="single" w:color="auto" w:sz="4" w:space="0"/>
            </w:tcBorders>
            <w:vAlign w:val="center"/>
          </w:tcPr>
          <w:p w14:paraId="44497CC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18.7</w:t>
            </w:r>
          </w:p>
        </w:tc>
        <w:tc>
          <w:tcPr>
            <w:tcW w:w="0" w:type="auto"/>
            <w:tcBorders>
              <w:top w:val="nil"/>
              <w:left w:val="nil"/>
              <w:bottom w:val="single" w:color="auto" w:sz="4" w:space="0"/>
              <w:right w:val="single" w:color="auto" w:sz="4" w:space="0"/>
            </w:tcBorders>
            <w:vAlign w:val="center"/>
          </w:tcPr>
          <w:p w14:paraId="52454B4A">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4766440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湾腰</w:t>
            </w:r>
          </w:p>
        </w:tc>
        <w:tc>
          <w:tcPr>
            <w:tcW w:w="0" w:type="auto"/>
            <w:tcBorders>
              <w:top w:val="nil"/>
              <w:left w:val="nil"/>
              <w:bottom w:val="single" w:color="auto" w:sz="4" w:space="0"/>
              <w:right w:val="single" w:color="auto" w:sz="4" w:space="0"/>
            </w:tcBorders>
            <w:vAlign w:val="center"/>
          </w:tcPr>
          <w:p w14:paraId="394C9AD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4ADCB27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FB8992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136ED9D2">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0F00D2E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28</w:t>
            </w:r>
          </w:p>
        </w:tc>
        <w:tc>
          <w:tcPr>
            <w:tcW w:w="1720" w:type="dxa"/>
            <w:tcBorders>
              <w:top w:val="nil"/>
              <w:left w:val="nil"/>
              <w:bottom w:val="single" w:color="auto" w:sz="4" w:space="0"/>
              <w:right w:val="single" w:color="auto" w:sz="4" w:space="0"/>
            </w:tcBorders>
            <w:vAlign w:val="center"/>
          </w:tcPr>
          <w:p w14:paraId="2DA86B2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五洛河师宗保留区</w:t>
            </w:r>
          </w:p>
        </w:tc>
        <w:tc>
          <w:tcPr>
            <w:tcW w:w="2605" w:type="dxa"/>
            <w:tcBorders>
              <w:top w:val="nil"/>
              <w:left w:val="nil"/>
              <w:bottom w:val="single" w:color="auto" w:sz="4" w:space="0"/>
              <w:right w:val="single" w:color="auto" w:sz="4" w:space="0"/>
            </w:tcBorders>
            <w:vAlign w:val="center"/>
          </w:tcPr>
          <w:p w14:paraId="31243CBE">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563B22F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五洛河</w:t>
            </w:r>
          </w:p>
        </w:tc>
        <w:tc>
          <w:tcPr>
            <w:tcW w:w="897" w:type="dxa"/>
            <w:tcBorders>
              <w:top w:val="nil"/>
              <w:left w:val="nil"/>
              <w:bottom w:val="single" w:color="auto" w:sz="4" w:space="0"/>
              <w:right w:val="single" w:color="auto" w:sz="4" w:space="0"/>
            </w:tcBorders>
            <w:vAlign w:val="center"/>
          </w:tcPr>
          <w:p w14:paraId="35B9EED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390CB16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6FDB91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w:t>
            </w:r>
          </w:p>
        </w:tc>
        <w:tc>
          <w:tcPr>
            <w:tcW w:w="0" w:type="auto"/>
            <w:tcBorders>
              <w:top w:val="nil"/>
              <w:left w:val="nil"/>
              <w:bottom w:val="single" w:color="auto" w:sz="4" w:space="0"/>
              <w:right w:val="single" w:color="auto" w:sz="4" w:space="0"/>
            </w:tcBorders>
            <w:vAlign w:val="center"/>
          </w:tcPr>
          <w:p w14:paraId="3EB1B16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22,8</w:t>
            </w:r>
          </w:p>
        </w:tc>
        <w:tc>
          <w:tcPr>
            <w:tcW w:w="0" w:type="auto"/>
            <w:tcBorders>
              <w:top w:val="nil"/>
              <w:left w:val="nil"/>
              <w:bottom w:val="single" w:color="auto" w:sz="4" w:space="0"/>
              <w:right w:val="single" w:color="auto" w:sz="4" w:space="0"/>
            </w:tcBorders>
            <w:vAlign w:val="center"/>
          </w:tcPr>
          <w:p w14:paraId="41F03375">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36F2E45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五洛河</w:t>
            </w:r>
          </w:p>
        </w:tc>
        <w:tc>
          <w:tcPr>
            <w:tcW w:w="0" w:type="auto"/>
            <w:tcBorders>
              <w:top w:val="nil"/>
              <w:left w:val="nil"/>
              <w:bottom w:val="single" w:color="auto" w:sz="4" w:space="0"/>
              <w:right w:val="single" w:color="auto" w:sz="4" w:space="0"/>
            </w:tcBorders>
            <w:vAlign w:val="center"/>
          </w:tcPr>
          <w:p w14:paraId="1F2E0F4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450E044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45C78CB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01A5134D">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1EA718B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29</w:t>
            </w:r>
          </w:p>
        </w:tc>
        <w:tc>
          <w:tcPr>
            <w:tcW w:w="1720" w:type="dxa"/>
            <w:tcBorders>
              <w:top w:val="nil"/>
              <w:left w:val="nil"/>
              <w:bottom w:val="single" w:color="auto" w:sz="4" w:space="0"/>
              <w:right w:val="single" w:color="auto" w:sz="4" w:space="0"/>
            </w:tcBorders>
            <w:vAlign w:val="center"/>
          </w:tcPr>
          <w:p w14:paraId="0B6D077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设里河师宗保留区</w:t>
            </w:r>
          </w:p>
        </w:tc>
        <w:tc>
          <w:tcPr>
            <w:tcW w:w="2605" w:type="dxa"/>
            <w:tcBorders>
              <w:top w:val="nil"/>
              <w:left w:val="nil"/>
              <w:bottom w:val="single" w:color="auto" w:sz="4" w:space="0"/>
              <w:right w:val="single" w:color="auto" w:sz="4" w:space="0"/>
            </w:tcBorders>
            <w:vAlign w:val="center"/>
          </w:tcPr>
          <w:p w14:paraId="70C537C6">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58F9A05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设里河</w:t>
            </w:r>
          </w:p>
        </w:tc>
        <w:tc>
          <w:tcPr>
            <w:tcW w:w="897" w:type="dxa"/>
            <w:tcBorders>
              <w:top w:val="nil"/>
              <w:left w:val="nil"/>
              <w:bottom w:val="single" w:color="auto" w:sz="4" w:space="0"/>
              <w:right w:val="single" w:color="auto" w:sz="4" w:space="0"/>
            </w:tcBorders>
            <w:vAlign w:val="center"/>
          </w:tcPr>
          <w:p w14:paraId="7B8800C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师宗段</w:t>
            </w:r>
          </w:p>
        </w:tc>
        <w:tc>
          <w:tcPr>
            <w:tcW w:w="0" w:type="auto"/>
            <w:tcBorders>
              <w:top w:val="nil"/>
              <w:left w:val="nil"/>
              <w:bottom w:val="single" w:color="auto" w:sz="4" w:space="0"/>
              <w:right w:val="single" w:color="auto" w:sz="4" w:space="0"/>
            </w:tcBorders>
            <w:vAlign w:val="center"/>
          </w:tcPr>
          <w:p w14:paraId="2B933C8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入市境口</w:t>
            </w:r>
          </w:p>
        </w:tc>
        <w:tc>
          <w:tcPr>
            <w:tcW w:w="0" w:type="auto"/>
            <w:tcBorders>
              <w:top w:val="nil"/>
              <w:left w:val="nil"/>
              <w:bottom w:val="single" w:color="auto" w:sz="4" w:space="0"/>
              <w:right w:val="single" w:color="auto" w:sz="4" w:space="0"/>
            </w:tcBorders>
            <w:vAlign w:val="center"/>
          </w:tcPr>
          <w:p w14:paraId="4A858CF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007DA09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34.4</w:t>
            </w:r>
          </w:p>
        </w:tc>
        <w:tc>
          <w:tcPr>
            <w:tcW w:w="0" w:type="auto"/>
            <w:tcBorders>
              <w:top w:val="nil"/>
              <w:left w:val="nil"/>
              <w:bottom w:val="single" w:color="auto" w:sz="4" w:space="0"/>
              <w:right w:val="single" w:color="auto" w:sz="4" w:space="0"/>
            </w:tcBorders>
            <w:vAlign w:val="center"/>
          </w:tcPr>
          <w:p w14:paraId="6E87B2C6">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66E24CE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设里大桥</w:t>
            </w:r>
          </w:p>
        </w:tc>
        <w:tc>
          <w:tcPr>
            <w:tcW w:w="0" w:type="auto"/>
            <w:tcBorders>
              <w:top w:val="nil"/>
              <w:left w:val="nil"/>
              <w:bottom w:val="single" w:color="auto" w:sz="4" w:space="0"/>
              <w:right w:val="single" w:color="auto" w:sz="4" w:space="0"/>
            </w:tcBorders>
            <w:vAlign w:val="center"/>
          </w:tcPr>
          <w:p w14:paraId="12ADA37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2A65131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029AA47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691EFD02">
        <w:tblPrEx>
          <w:tblCellMar>
            <w:top w:w="0" w:type="dxa"/>
            <w:left w:w="108" w:type="dxa"/>
            <w:bottom w:w="0" w:type="dxa"/>
            <w:right w:w="108" w:type="dxa"/>
          </w:tblCellMar>
        </w:tblPrEx>
        <w:trPr>
          <w:trHeight w:val="336" w:hRule="atLeast"/>
        </w:trPr>
        <w:tc>
          <w:tcPr>
            <w:tcW w:w="0" w:type="auto"/>
            <w:tcBorders>
              <w:top w:val="nil"/>
              <w:left w:val="single" w:color="auto" w:sz="4" w:space="0"/>
              <w:bottom w:val="single" w:color="auto" w:sz="4" w:space="0"/>
              <w:right w:val="single" w:color="auto" w:sz="4" w:space="0"/>
            </w:tcBorders>
            <w:vAlign w:val="center"/>
          </w:tcPr>
          <w:p w14:paraId="34E213D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30</w:t>
            </w:r>
          </w:p>
        </w:tc>
        <w:tc>
          <w:tcPr>
            <w:tcW w:w="1720" w:type="dxa"/>
            <w:tcBorders>
              <w:top w:val="nil"/>
              <w:left w:val="nil"/>
              <w:bottom w:val="single" w:color="auto" w:sz="4" w:space="0"/>
              <w:right w:val="single" w:color="auto" w:sz="4" w:space="0"/>
            </w:tcBorders>
            <w:vAlign w:val="center"/>
          </w:tcPr>
          <w:p w14:paraId="601F152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便柳河师宗-罗平保留区</w:t>
            </w:r>
          </w:p>
        </w:tc>
        <w:tc>
          <w:tcPr>
            <w:tcW w:w="2605" w:type="dxa"/>
            <w:tcBorders>
              <w:top w:val="nil"/>
              <w:left w:val="nil"/>
              <w:bottom w:val="single" w:color="auto" w:sz="4" w:space="0"/>
              <w:right w:val="single" w:color="auto" w:sz="4" w:space="0"/>
            </w:tcBorders>
            <w:vAlign w:val="center"/>
          </w:tcPr>
          <w:p w14:paraId="237B7D3B">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53800C8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便柳河</w:t>
            </w:r>
          </w:p>
        </w:tc>
        <w:tc>
          <w:tcPr>
            <w:tcW w:w="897" w:type="dxa"/>
            <w:tcBorders>
              <w:top w:val="nil"/>
              <w:left w:val="nil"/>
              <w:bottom w:val="single" w:color="auto" w:sz="4" w:space="0"/>
              <w:right w:val="single" w:color="auto" w:sz="4" w:space="0"/>
            </w:tcBorders>
            <w:vAlign w:val="center"/>
          </w:tcPr>
          <w:p w14:paraId="726EB8C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师宗-罗平段</w:t>
            </w:r>
          </w:p>
        </w:tc>
        <w:tc>
          <w:tcPr>
            <w:tcW w:w="0" w:type="auto"/>
            <w:tcBorders>
              <w:top w:val="nil"/>
              <w:left w:val="nil"/>
              <w:bottom w:val="single" w:color="auto" w:sz="4" w:space="0"/>
              <w:right w:val="single" w:color="auto" w:sz="4" w:space="0"/>
            </w:tcBorders>
            <w:vAlign w:val="center"/>
          </w:tcPr>
          <w:p w14:paraId="1CB329D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20591A0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1547B71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17.6</w:t>
            </w:r>
          </w:p>
        </w:tc>
        <w:tc>
          <w:tcPr>
            <w:tcW w:w="0" w:type="auto"/>
            <w:tcBorders>
              <w:top w:val="nil"/>
              <w:left w:val="nil"/>
              <w:bottom w:val="single" w:color="auto" w:sz="4" w:space="0"/>
              <w:right w:val="single" w:color="auto" w:sz="4" w:space="0"/>
            </w:tcBorders>
            <w:vAlign w:val="center"/>
          </w:tcPr>
          <w:p w14:paraId="7B46AFB5">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61CFBD3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便柳河</w:t>
            </w:r>
          </w:p>
        </w:tc>
        <w:tc>
          <w:tcPr>
            <w:tcW w:w="0" w:type="auto"/>
            <w:tcBorders>
              <w:top w:val="nil"/>
              <w:left w:val="nil"/>
              <w:bottom w:val="single" w:color="auto" w:sz="4" w:space="0"/>
              <w:right w:val="single" w:color="auto" w:sz="4" w:space="0"/>
            </w:tcBorders>
            <w:vAlign w:val="center"/>
          </w:tcPr>
          <w:p w14:paraId="799B00F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4A809B4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42D10E5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7ED3360C">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64DD2FC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31</w:t>
            </w:r>
          </w:p>
        </w:tc>
        <w:tc>
          <w:tcPr>
            <w:tcW w:w="1720" w:type="dxa"/>
            <w:tcBorders>
              <w:top w:val="nil"/>
              <w:left w:val="nil"/>
              <w:bottom w:val="single" w:color="auto" w:sz="4" w:space="0"/>
              <w:right w:val="single" w:color="auto" w:sz="4" w:space="0"/>
            </w:tcBorders>
            <w:vAlign w:val="center"/>
          </w:tcPr>
          <w:p w14:paraId="147F07B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多依河罗平源头水保护区</w:t>
            </w:r>
          </w:p>
        </w:tc>
        <w:tc>
          <w:tcPr>
            <w:tcW w:w="2605" w:type="dxa"/>
            <w:tcBorders>
              <w:top w:val="nil"/>
              <w:left w:val="nil"/>
              <w:bottom w:val="single" w:color="auto" w:sz="4" w:space="0"/>
              <w:right w:val="single" w:color="auto" w:sz="4" w:space="0"/>
            </w:tcBorders>
            <w:vAlign w:val="center"/>
          </w:tcPr>
          <w:p w14:paraId="6858AFB4">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2D5988A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多依河</w:t>
            </w:r>
          </w:p>
        </w:tc>
        <w:tc>
          <w:tcPr>
            <w:tcW w:w="897" w:type="dxa"/>
            <w:tcBorders>
              <w:top w:val="nil"/>
              <w:left w:val="nil"/>
              <w:bottom w:val="single" w:color="auto" w:sz="4" w:space="0"/>
              <w:right w:val="single" w:color="auto" w:sz="4" w:space="0"/>
            </w:tcBorders>
            <w:vAlign w:val="center"/>
          </w:tcPr>
          <w:p w14:paraId="5EDB1BB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16C43C0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013F1FD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湾子水库坝址</w:t>
            </w:r>
          </w:p>
        </w:tc>
        <w:tc>
          <w:tcPr>
            <w:tcW w:w="0" w:type="auto"/>
            <w:tcBorders>
              <w:top w:val="nil"/>
              <w:left w:val="nil"/>
              <w:bottom w:val="single" w:color="auto" w:sz="4" w:space="0"/>
              <w:right w:val="single" w:color="auto" w:sz="4" w:space="0"/>
            </w:tcBorders>
            <w:vAlign w:val="center"/>
          </w:tcPr>
          <w:p w14:paraId="6DB4A83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20.9</w:t>
            </w:r>
          </w:p>
        </w:tc>
        <w:tc>
          <w:tcPr>
            <w:tcW w:w="0" w:type="auto"/>
            <w:tcBorders>
              <w:top w:val="nil"/>
              <w:left w:val="nil"/>
              <w:bottom w:val="single" w:color="auto" w:sz="4" w:space="0"/>
              <w:right w:val="single" w:color="auto" w:sz="4" w:space="0"/>
            </w:tcBorders>
            <w:vAlign w:val="center"/>
          </w:tcPr>
          <w:p w14:paraId="46A6E3A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0.45</w:t>
            </w:r>
          </w:p>
        </w:tc>
        <w:tc>
          <w:tcPr>
            <w:tcW w:w="0" w:type="auto"/>
            <w:tcBorders>
              <w:top w:val="nil"/>
              <w:left w:val="nil"/>
              <w:bottom w:val="single" w:color="auto" w:sz="4" w:space="0"/>
              <w:right w:val="single" w:color="auto" w:sz="4" w:space="0"/>
            </w:tcBorders>
            <w:vAlign w:val="center"/>
          </w:tcPr>
          <w:p w14:paraId="0B79868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湾子水库</w:t>
            </w:r>
          </w:p>
        </w:tc>
        <w:tc>
          <w:tcPr>
            <w:tcW w:w="0" w:type="auto"/>
            <w:tcBorders>
              <w:top w:val="nil"/>
              <w:left w:val="nil"/>
              <w:bottom w:val="single" w:color="auto" w:sz="4" w:space="0"/>
              <w:right w:val="single" w:color="auto" w:sz="4" w:space="0"/>
            </w:tcBorders>
            <w:vAlign w:val="center"/>
          </w:tcPr>
          <w:p w14:paraId="502A5CE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043AF9C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658D752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7F6C65DC">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07CD5A0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32</w:t>
            </w:r>
          </w:p>
        </w:tc>
        <w:tc>
          <w:tcPr>
            <w:tcW w:w="1720" w:type="dxa"/>
            <w:tcBorders>
              <w:top w:val="nil"/>
              <w:left w:val="nil"/>
              <w:bottom w:val="single" w:color="auto" w:sz="4" w:space="0"/>
              <w:right w:val="single" w:color="auto" w:sz="4" w:space="0"/>
            </w:tcBorders>
            <w:vAlign w:val="center"/>
          </w:tcPr>
          <w:p w14:paraId="6C02A4B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多依河罗平保留区</w:t>
            </w:r>
          </w:p>
        </w:tc>
        <w:tc>
          <w:tcPr>
            <w:tcW w:w="2605" w:type="dxa"/>
            <w:tcBorders>
              <w:top w:val="nil"/>
              <w:left w:val="nil"/>
              <w:bottom w:val="single" w:color="auto" w:sz="4" w:space="0"/>
              <w:right w:val="single" w:color="auto" w:sz="4" w:space="0"/>
            </w:tcBorders>
            <w:vAlign w:val="center"/>
          </w:tcPr>
          <w:p w14:paraId="3C75DDD7">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10CC678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多依河</w:t>
            </w:r>
          </w:p>
        </w:tc>
        <w:tc>
          <w:tcPr>
            <w:tcW w:w="897" w:type="dxa"/>
            <w:tcBorders>
              <w:top w:val="nil"/>
              <w:left w:val="nil"/>
              <w:bottom w:val="single" w:color="auto" w:sz="4" w:space="0"/>
              <w:right w:val="single" w:color="auto" w:sz="4" w:space="0"/>
            </w:tcBorders>
            <w:vAlign w:val="center"/>
          </w:tcPr>
          <w:p w14:paraId="0CACB1D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罗平中段</w:t>
            </w:r>
          </w:p>
        </w:tc>
        <w:tc>
          <w:tcPr>
            <w:tcW w:w="0" w:type="auto"/>
            <w:tcBorders>
              <w:top w:val="nil"/>
              <w:left w:val="nil"/>
              <w:bottom w:val="single" w:color="auto" w:sz="4" w:space="0"/>
              <w:right w:val="single" w:color="auto" w:sz="4" w:space="0"/>
            </w:tcBorders>
            <w:vAlign w:val="center"/>
          </w:tcPr>
          <w:p w14:paraId="58301C8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湾子水库坝址</w:t>
            </w:r>
          </w:p>
        </w:tc>
        <w:tc>
          <w:tcPr>
            <w:tcW w:w="0" w:type="auto"/>
            <w:tcBorders>
              <w:top w:val="nil"/>
              <w:left w:val="nil"/>
              <w:bottom w:val="single" w:color="auto" w:sz="4" w:space="0"/>
              <w:right w:val="single" w:color="auto" w:sz="4" w:space="0"/>
            </w:tcBorders>
            <w:vAlign w:val="center"/>
          </w:tcPr>
          <w:p w14:paraId="48C2B46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革来</w:t>
            </w:r>
          </w:p>
        </w:tc>
        <w:tc>
          <w:tcPr>
            <w:tcW w:w="0" w:type="auto"/>
            <w:tcBorders>
              <w:top w:val="nil"/>
              <w:left w:val="nil"/>
              <w:bottom w:val="single" w:color="auto" w:sz="4" w:space="0"/>
              <w:right w:val="single" w:color="auto" w:sz="4" w:space="0"/>
            </w:tcBorders>
            <w:vAlign w:val="center"/>
          </w:tcPr>
          <w:p w14:paraId="708F424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46.3</w:t>
            </w:r>
          </w:p>
        </w:tc>
        <w:tc>
          <w:tcPr>
            <w:tcW w:w="0" w:type="auto"/>
            <w:tcBorders>
              <w:top w:val="nil"/>
              <w:left w:val="nil"/>
              <w:bottom w:val="single" w:color="auto" w:sz="4" w:space="0"/>
              <w:right w:val="single" w:color="auto" w:sz="4" w:space="0"/>
            </w:tcBorders>
            <w:vAlign w:val="center"/>
          </w:tcPr>
          <w:p w14:paraId="42EDC753">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3704A3F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罗雄</w:t>
            </w:r>
          </w:p>
        </w:tc>
        <w:tc>
          <w:tcPr>
            <w:tcW w:w="0" w:type="auto"/>
            <w:tcBorders>
              <w:top w:val="nil"/>
              <w:left w:val="nil"/>
              <w:bottom w:val="single" w:color="auto" w:sz="4" w:space="0"/>
              <w:right w:val="single" w:color="auto" w:sz="4" w:space="0"/>
            </w:tcBorders>
            <w:vAlign w:val="center"/>
          </w:tcPr>
          <w:p w14:paraId="48138C1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0F1C87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46A33D1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4C401935">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7C8CB17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33</w:t>
            </w:r>
          </w:p>
        </w:tc>
        <w:tc>
          <w:tcPr>
            <w:tcW w:w="1720" w:type="dxa"/>
            <w:tcBorders>
              <w:top w:val="nil"/>
              <w:left w:val="nil"/>
              <w:bottom w:val="single" w:color="auto" w:sz="4" w:space="0"/>
              <w:right w:val="single" w:color="auto" w:sz="4" w:space="0"/>
            </w:tcBorders>
            <w:vAlign w:val="center"/>
          </w:tcPr>
          <w:p w14:paraId="3C80141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多依河罗平保护区</w:t>
            </w:r>
          </w:p>
        </w:tc>
        <w:tc>
          <w:tcPr>
            <w:tcW w:w="2605" w:type="dxa"/>
            <w:tcBorders>
              <w:top w:val="nil"/>
              <w:left w:val="nil"/>
              <w:bottom w:val="single" w:color="auto" w:sz="4" w:space="0"/>
              <w:right w:val="single" w:color="auto" w:sz="4" w:space="0"/>
            </w:tcBorders>
            <w:vAlign w:val="center"/>
          </w:tcPr>
          <w:p w14:paraId="188FA0AE">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5914036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多依河</w:t>
            </w:r>
          </w:p>
        </w:tc>
        <w:tc>
          <w:tcPr>
            <w:tcW w:w="897" w:type="dxa"/>
            <w:tcBorders>
              <w:top w:val="nil"/>
              <w:left w:val="nil"/>
              <w:bottom w:val="single" w:color="auto" w:sz="4" w:space="0"/>
              <w:right w:val="single" w:color="auto" w:sz="4" w:space="0"/>
            </w:tcBorders>
            <w:vAlign w:val="center"/>
          </w:tcPr>
          <w:p w14:paraId="6FD2AE1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罗平下段</w:t>
            </w:r>
          </w:p>
        </w:tc>
        <w:tc>
          <w:tcPr>
            <w:tcW w:w="0" w:type="auto"/>
            <w:tcBorders>
              <w:top w:val="nil"/>
              <w:left w:val="nil"/>
              <w:bottom w:val="single" w:color="auto" w:sz="4" w:space="0"/>
              <w:right w:val="single" w:color="auto" w:sz="4" w:space="0"/>
            </w:tcBorders>
            <w:vAlign w:val="center"/>
          </w:tcPr>
          <w:p w14:paraId="006D093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腊者</w:t>
            </w:r>
          </w:p>
        </w:tc>
        <w:tc>
          <w:tcPr>
            <w:tcW w:w="0" w:type="auto"/>
            <w:tcBorders>
              <w:top w:val="nil"/>
              <w:left w:val="nil"/>
              <w:bottom w:val="single" w:color="auto" w:sz="4" w:space="0"/>
              <w:right w:val="single" w:color="auto" w:sz="4" w:space="0"/>
            </w:tcBorders>
            <w:vAlign w:val="center"/>
          </w:tcPr>
          <w:p w14:paraId="72063AB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7406AAB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13.9</w:t>
            </w:r>
          </w:p>
        </w:tc>
        <w:tc>
          <w:tcPr>
            <w:tcW w:w="0" w:type="auto"/>
            <w:tcBorders>
              <w:top w:val="nil"/>
              <w:left w:val="nil"/>
              <w:bottom w:val="single" w:color="auto" w:sz="4" w:space="0"/>
              <w:right w:val="single" w:color="auto" w:sz="4" w:space="0"/>
            </w:tcBorders>
            <w:vAlign w:val="center"/>
          </w:tcPr>
          <w:p w14:paraId="3ECFEAA6">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4969B6C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多依河风景区</w:t>
            </w:r>
          </w:p>
        </w:tc>
        <w:tc>
          <w:tcPr>
            <w:tcW w:w="0" w:type="auto"/>
            <w:tcBorders>
              <w:top w:val="nil"/>
              <w:left w:val="nil"/>
              <w:bottom w:val="single" w:color="auto" w:sz="4" w:space="0"/>
              <w:right w:val="single" w:color="auto" w:sz="4" w:space="0"/>
            </w:tcBorders>
            <w:vAlign w:val="center"/>
          </w:tcPr>
          <w:p w14:paraId="7794B26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1E8DCEC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414341C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26EF60FC">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5213E7E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34</w:t>
            </w:r>
          </w:p>
        </w:tc>
        <w:tc>
          <w:tcPr>
            <w:tcW w:w="1720" w:type="dxa"/>
            <w:tcBorders>
              <w:top w:val="nil"/>
              <w:left w:val="nil"/>
              <w:bottom w:val="single" w:color="auto" w:sz="4" w:space="0"/>
              <w:right w:val="single" w:color="auto" w:sz="4" w:space="0"/>
            </w:tcBorders>
            <w:vAlign w:val="center"/>
          </w:tcPr>
          <w:p w14:paraId="60B3BCF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黄泥河沾益-富源源头水保护区</w:t>
            </w:r>
          </w:p>
        </w:tc>
        <w:tc>
          <w:tcPr>
            <w:tcW w:w="2605" w:type="dxa"/>
            <w:tcBorders>
              <w:top w:val="nil"/>
              <w:left w:val="nil"/>
              <w:bottom w:val="single" w:color="auto" w:sz="4" w:space="0"/>
              <w:right w:val="single" w:color="auto" w:sz="4" w:space="0"/>
            </w:tcBorders>
            <w:vAlign w:val="center"/>
          </w:tcPr>
          <w:p w14:paraId="6A643C58">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226BF12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w:t>
            </w:r>
          </w:p>
        </w:tc>
        <w:tc>
          <w:tcPr>
            <w:tcW w:w="897" w:type="dxa"/>
            <w:tcBorders>
              <w:top w:val="nil"/>
              <w:left w:val="nil"/>
              <w:bottom w:val="single" w:color="auto" w:sz="4" w:space="0"/>
              <w:right w:val="single" w:color="auto" w:sz="4" w:space="0"/>
            </w:tcBorders>
            <w:vAlign w:val="center"/>
          </w:tcPr>
          <w:p w14:paraId="220F68A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rPr>
              <w:t>富源段</w:t>
            </w:r>
          </w:p>
        </w:tc>
        <w:tc>
          <w:tcPr>
            <w:tcW w:w="0" w:type="auto"/>
            <w:tcBorders>
              <w:top w:val="nil"/>
              <w:left w:val="nil"/>
              <w:bottom w:val="single" w:color="auto" w:sz="4" w:space="0"/>
              <w:right w:val="single" w:color="auto" w:sz="4" w:space="0"/>
            </w:tcBorders>
            <w:vAlign w:val="center"/>
          </w:tcPr>
          <w:p w14:paraId="442F397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62BD7AA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石坝水库坝址</w:t>
            </w:r>
          </w:p>
        </w:tc>
        <w:tc>
          <w:tcPr>
            <w:tcW w:w="0" w:type="auto"/>
            <w:tcBorders>
              <w:top w:val="nil"/>
              <w:left w:val="nil"/>
              <w:bottom w:val="single" w:color="auto" w:sz="4" w:space="0"/>
              <w:right w:val="single" w:color="auto" w:sz="4" w:space="0"/>
            </w:tcBorders>
            <w:vAlign w:val="center"/>
          </w:tcPr>
          <w:p w14:paraId="1A17376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17.2</w:t>
            </w:r>
          </w:p>
        </w:tc>
        <w:tc>
          <w:tcPr>
            <w:tcW w:w="0" w:type="auto"/>
            <w:tcBorders>
              <w:top w:val="nil"/>
              <w:left w:val="nil"/>
              <w:bottom w:val="single" w:color="auto" w:sz="4" w:space="0"/>
              <w:right w:val="single" w:color="auto" w:sz="4" w:space="0"/>
            </w:tcBorders>
            <w:vAlign w:val="center"/>
          </w:tcPr>
          <w:p w14:paraId="07B44E7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3.95</w:t>
            </w:r>
          </w:p>
        </w:tc>
        <w:tc>
          <w:tcPr>
            <w:tcW w:w="0" w:type="auto"/>
            <w:tcBorders>
              <w:top w:val="nil"/>
              <w:left w:val="nil"/>
              <w:bottom w:val="single" w:color="auto" w:sz="4" w:space="0"/>
              <w:right w:val="single" w:color="auto" w:sz="4" w:space="0"/>
            </w:tcBorders>
            <w:vAlign w:val="center"/>
          </w:tcPr>
          <w:p w14:paraId="2B3411D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石坝水库</w:t>
            </w:r>
          </w:p>
        </w:tc>
        <w:tc>
          <w:tcPr>
            <w:tcW w:w="0" w:type="auto"/>
            <w:tcBorders>
              <w:top w:val="nil"/>
              <w:left w:val="nil"/>
              <w:bottom w:val="single" w:color="auto" w:sz="4" w:space="0"/>
              <w:right w:val="single" w:color="auto" w:sz="4" w:space="0"/>
            </w:tcBorders>
            <w:vAlign w:val="center"/>
          </w:tcPr>
          <w:p w14:paraId="079D255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2AD87D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46402C4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311B68EE">
        <w:tblPrEx>
          <w:tblCellMar>
            <w:top w:w="0" w:type="dxa"/>
            <w:left w:w="108" w:type="dxa"/>
            <w:bottom w:w="0" w:type="dxa"/>
            <w:right w:w="108" w:type="dxa"/>
          </w:tblCellMar>
        </w:tblPrEx>
        <w:trPr>
          <w:trHeight w:val="408" w:hRule="atLeast"/>
        </w:trPr>
        <w:tc>
          <w:tcPr>
            <w:tcW w:w="0" w:type="auto"/>
            <w:vMerge w:val="restart"/>
            <w:tcBorders>
              <w:top w:val="nil"/>
              <w:left w:val="single" w:color="auto" w:sz="4" w:space="0"/>
              <w:bottom w:val="single" w:color="000000" w:sz="4" w:space="0"/>
              <w:right w:val="single" w:color="auto" w:sz="4" w:space="0"/>
            </w:tcBorders>
            <w:vAlign w:val="center"/>
          </w:tcPr>
          <w:p w14:paraId="4868581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35</w:t>
            </w:r>
          </w:p>
        </w:tc>
        <w:tc>
          <w:tcPr>
            <w:tcW w:w="1720" w:type="dxa"/>
            <w:vMerge w:val="restart"/>
            <w:tcBorders>
              <w:top w:val="nil"/>
              <w:left w:val="single" w:color="auto" w:sz="4" w:space="0"/>
              <w:bottom w:val="single" w:color="000000" w:sz="4" w:space="0"/>
              <w:right w:val="single" w:color="auto" w:sz="4" w:space="0"/>
            </w:tcBorders>
            <w:vAlign w:val="center"/>
          </w:tcPr>
          <w:p w14:paraId="6607910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黄泥河富源开发利用区</w:t>
            </w:r>
          </w:p>
        </w:tc>
        <w:tc>
          <w:tcPr>
            <w:tcW w:w="2605" w:type="dxa"/>
            <w:tcBorders>
              <w:top w:val="nil"/>
              <w:left w:val="nil"/>
              <w:bottom w:val="single" w:color="auto" w:sz="4" w:space="0"/>
              <w:right w:val="single" w:color="auto" w:sz="4" w:space="0"/>
            </w:tcBorders>
            <w:vAlign w:val="center"/>
          </w:tcPr>
          <w:p w14:paraId="4B54190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黄泥河富源饮用水源区</w:t>
            </w:r>
          </w:p>
        </w:tc>
        <w:tc>
          <w:tcPr>
            <w:tcW w:w="691" w:type="dxa"/>
            <w:tcBorders>
              <w:top w:val="nil"/>
              <w:left w:val="nil"/>
              <w:bottom w:val="single" w:color="auto" w:sz="4" w:space="0"/>
              <w:right w:val="single" w:color="auto" w:sz="4" w:space="0"/>
            </w:tcBorders>
            <w:vAlign w:val="center"/>
          </w:tcPr>
          <w:p w14:paraId="7452018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w:t>
            </w:r>
          </w:p>
        </w:tc>
        <w:tc>
          <w:tcPr>
            <w:tcW w:w="897" w:type="dxa"/>
            <w:tcBorders>
              <w:top w:val="nil"/>
              <w:left w:val="nil"/>
              <w:bottom w:val="single" w:color="auto" w:sz="4" w:space="0"/>
              <w:right w:val="single" w:color="auto" w:sz="4" w:space="0"/>
            </w:tcBorders>
            <w:vAlign w:val="center"/>
          </w:tcPr>
          <w:p w14:paraId="09128BC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富源段</w:t>
            </w:r>
          </w:p>
        </w:tc>
        <w:tc>
          <w:tcPr>
            <w:tcW w:w="0" w:type="auto"/>
            <w:tcBorders>
              <w:top w:val="nil"/>
              <w:left w:val="nil"/>
              <w:bottom w:val="single" w:color="auto" w:sz="4" w:space="0"/>
              <w:right w:val="single" w:color="auto" w:sz="4" w:space="0"/>
            </w:tcBorders>
            <w:vAlign w:val="center"/>
          </w:tcPr>
          <w:p w14:paraId="2788965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石坝水库坝址</w:t>
            </w:r>
          </w:p>
        </w:tc>
        <w:tc>
          <w:tcPr>
            <w:tcW w:w="0" w:type="auto"/>
            <w:tcBorders>
              <w:top w:val="nil"/>
              <w:left w:val="nil"/>
              <w:bottom w:val="single" w:color="auto" w:sz="4" w:space="0"/>
              <w:right w:val="single" w:color="auto" w:sz="4" w:space="0"/>
            </w:tcBorders>
            <w:vAlign w:val="center"/>
          </w:tcPr>
          <w:p w14:paraId="3DFBC9D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响水河水库坝址</w:t>
            </w:r>
          </w:p>
        </w:tc>
        <w:tc>
          <w:tcPr>
            <w:tcW w:w="0" w:type="auto"/>
            <w:tcBorders>
              <w:top w:val="nil"/>
              <w:left w:val="nil"/>
              <w:bottom w:val="single" w:color="auto" w:sz="4" w:space="0"/>
              <w:right w:val="single" w:color="auto" w:sz="4" w:space="0"/>
            </w:tcBorders>
            <w:vAlign w:val="center"/>
          </w:tcPr>
          <w:p w14:paraId="7F7C09B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12</w:t>
            </w:r>
          </w:p>
        </w:tc>
        <w:tc>
          <w:tcPr>
            <w:tcW w:w="0" w:type="auto"/>
            <w:tcBorders>
              <w:top w:val="nil"/>
              <w:left w:val="nil"/>
              <w:bottom w:val="single" w:color="auto" w:sz="4" w:space="0"/>
              <w:right w:val="single" w:color="auto" w:sz="4" w:space="0"/>
            </w:tcBorders>
            <w:vAlign w:val="center"/>
          </w:tcPr>
          <w:p w14:paraId="548D709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1.16</w:t>
            </w:r>
          </w:p>
        </w:tc>
        <w:tc>
          <w:tcPr>
            <w:tcW w:w="0" w:type="auto"/>
            <w:tcBorders>
              <w:top w:val="nil"/>
              <w:left w:val="nil"/>
              <w:bottom w:val="single" w:color="auto" w:sz="4" w:space="0"/>
              <w:right w:val="single" w:color="auto" w:sz="4" w:space="0"/>
            </w:tcBorders>
            <w:vAlign w:val="center"/>
          </w:tcPr>
          <w:p w14:paraId="512468C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响水河水库</w:t>
            </w:r>
          </w:p>
        </w:tc>
        <w:tc>
          <w:tcPr>
            <w:tcW w:w="0" w:type="auto"/>
            <w:tcBorders>
              <w:top w:val="nil"/>
              <w:left w:val="nil"/>
              <w:bottom w:val="single" w:color="auto" w:sz="4" w:space="0"/>
              <w:right w:val="single" w:color="auto" w:sz="4" w:space="0"/>
            </w:tcBorders>
            <w:vAlign w:val="center"/>
          </w:tcPr>
          <w:p w14:paraId="7CD48F0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17FFF9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267D546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2A4C4723">
        <w:tblPrEx>
          <w:tblCellMar>
            <w:top w:w="0" w:type="dxa"/>
            <w:left w:w="108" w:type="dxa"/>
            <w:bottom w:w="0" w:type="dxa"/>
            <w:right w:w="108" w:type="dxa"/>
          </w:tblCellMar>
        </w:tblPrEx>
        <w:trPr>
          <w:trHeight w:val="408" w:hRule="atLeast"/>
        </w:trPr>
        <w:tc>
          <w:tcPr>
            <w:tcW w:w="0" w:type="auto"/>
            <w:vMerge w:val="continue"/>
            <w:tcBorders>
              <w:top w:val="nil"/>
              <w:left w:val="single" w:color="auto" w:sz="4" w:space="0"/>
              <w:bottom w:val="single" w:color="000000" w:sz="4" w:space="0"/>
              <w:right w:val="single" w:color="auto" w:sz="4" w:space="0"/>
            </w:tcBorders>
            <w:vAlign w:val="center"/>
          </w:tcPr>
          <w:p w14:paraId="03954752">
            <w:pPr>
              <w:widowControl/>
              <w:spacing w:line="240" w:lineRule="auto"/>
              <w:jc w:val="center"/>
              <w:rPr>
                <w:rFonts w:hint="default" w:ascii="Times New Roman" w:hAnsi="Times New Roman" w:cs="Times New Roman"/>
                <w:color w:val="auto"/>
                <w:kern w:val="0"/>
                <w:sz w:val="21"/>
                <w:szCs w:val="21"/>
                <w:highlight w:val="none"/>
              </w:rPr>
            </w:pPr>
          </w:p>
        </w:tc>
        <w:tc>
          <w:tcPr>
            <w:tcW w:w="1720" w:type="dxa"/>
            <w:vMerge w:val="continue"/>
            <w:tcBorders>
              <w:top w:val="nil"/>
              <w:left w:val="single" w:color="auto" w:sz="4" w:space="0"/>
              <w:bottom w:val="single" w:color="000000" w:sz="4" w:space="0"/>
              <w:right w:val="single" w:color="auto" w:sz="4" w:space="0"/>
            </w:tcBorders>
            <w:vAlign w:val="center"/>
          </w:tcPr>
          <w:p w14:paraId="10DDD03F">
            <w:pPr>
              <w:widowControl/>
              <w:spacing w:line="240" w:lineRule="auto"/>
              <w:jc w:val="center"/>
              <w:rPr>
                <w:rFonts w:hint="default" w:ascii="Times New Roman" w:hAnsi="Times New Roman" w:cs="Times New Roman"/>
                <w:color w:val="auto"/>
                <w:kern w:val="0"/>
                <w:sz w:val="21"/>
                <w:szCs w:val="21"/>
                <w:highlight w:val="none"/>
              </w:rPr>
            </w:pPr>
          </w:p>
        </w:tc>
        <w:tc>
          <w:tcPr>
            <w:tcW w:w="2605" w:type="dxa"/>
            <w:tcBorders>
              <w:top w:val="nil"/>
              <w:left w:val="nil"/>
              <w:bottom w:val="single" w:color="auto" w:sz="4" w:space="0"/>
              <w:right w:val="single" w:color="auto" w:sz="4" w:space="0"/>
            </w:tcBorders>
            <w:vAlign w:val="center"/>
          </w:tcPr>
          <w:p w14:paraId="288ACC9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黄泥河富源工业、农业、景观用水区</w:t>
            </w:r>
          </w:p>
        </w:tc>
        <w:tc>
          <w:tcPr>
            <w:tcW w:w="691" w:type="dxa"/>
            <w:tcBorders>
              <w:top w:val="nil"/>
              <w:left w:val="nil"/>
              <w:bottom w:val="single" w:color="auto" w:sz="4" w:space="0"/>
              <w:right w:val="single" w:color="auto" w:sz="4" w:space="0"/>
            </w:tcBorders>
            <w:vAlign w:val="center"/>
          </w:tcPr>
          <w:p w14:paraId="6FD80B9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w:t>
            </w:r>
          </w:p>
        </w:tc>
        <w:tc>
          <w:tcPr>
            <w:tcW w:w="897" w:type="dxa"/>
            <w:tcBorders>
              <w:top w:val="nil"/>
              <w:left w:val="nil"/>
              <w:bottom w:val="single" w:color="auto" w:sz="4" w:space="0"/>
              <w:right w:val="single" w:color="auto" w:sz="4" w:space="0"/>
            </w:tcBorders>
            <w:vAlign w:val="center"/>
          </w:tcPr>
          <w:p w14:paraId="4E42A28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富源段</w:t>
            </w:r>
          </w:p>
        </w:tc>
        <w:tc>
          <w:tcPr>
            <w:tcW w:w="0" w:type="auto"/>
            <w:tcBorders>
              <w:top w:val="nil"/>
              <w:left w:val="nil"/>
              <w:bottom w:val="single" w:color="auto" w:sz="4" w:space="0"/>
              <w:right w:val="single" w:color="auto" w:sz="4" w:space="0"/>
            </w:tcBorders>
            <w:vAlign w:val="center"/>
          </w:tcPr>
          <w:p w14:paraId="6D61C31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响水河水库坝址</w:t>
            </w:r>
          </w:p>
        </w:tc>
        <w:tc>
          <w:tcPr>
            <w:tcW w:w="0" w:type="auto"/>
            <w:tcBorders>
              <w:top w:val="nil"/>
              <w:left w:val="nil"/>
              <w:bottom w:val="single" w:color="auto" w:sz="4" w:space="0"/>
              <w:right w:val="single" w:color="auto" w:sz="4" w:space="0"/>
            </w:tcBorders>
            <w:vAlign w:val="center"/>
          </w:tcPr>
          <w:p w14:paraId="5A87714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龙海</w:t>
            </w:r>
          </w:p>
        </w:tc>
        <w:tc>
          <w:tcPr>
            <w:tcW w:w="0" w:type="auto"/>
            <w:tcBorders>
              <w:top w:val="nil"/>
              <w:left w:val="nil"/>
              <w:bottom w:val="single" w:color="auto" w:sz="4" w:space="0"/>
              <w:right w:val="single" w:color="auto" w:sz="4" w:space="0"/>
            </w:tcBorders>
            <w:vAlign w:val="center"/>
          </w:tcPr>
          <w:p w14:paraId="1912665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12</w:t>
            </w:r>
          </w:p>
        </w:tc>
        <w:tc>
          <w:tcPr>
            <w:tcW w:w="0" w:type="auto"/>
            <w:tcBorders>
              <w:top w:val="nil"/>
              <w:left w:val="nil"/>
              <w:bottom w:val="single" w:color="auto" w:sz="4" w:space="0"/>
              <w:right w:val="single" w:color="auto" w:sz="4" w:space="0"/>
            </w:tcBorders>
            <w:vAlign w:val="center"/>
          </w:tcPr>
          <w:p w14:paraId="71EC3F56">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0F46C77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龙海</w:t>
            </w:r>
          </w:p>
        </w:tc>
        <w:tc>
          <w:tcPr>
            <w:tcW w:w="0" w:type="auto"/>
            <w:tcBorders>
              <w:top w:val="nil"/>
              <w:left w:val="nil"/>
              <w:bottom w:val="single" w:color="auto" w:sz="4" w:space="0"/>
              <w:right w:val="single" w:color="auto" w:sz="4" w:space="0"/>
            </w:tcBorders>
            <w:vAlign w:val="center"/>
          </w:tcPr>
          <w:p w14:paraId="2960135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65D330B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200F88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22353BE0">
        <w:tblPrEx>
          <w:tblCellMar>
            <w:top w:w="0" w:type="dxa"/>
            <w:left w:w="108" w:type="dxa"/>
            <w:bottom w:w="0" w:type="dxa"/>
            <w:right w:w="108" w:type="dxa"/>
          </w:tblCellMar>
        </w:tblPrEx>
        <w:trPr>
          <w:trHeight w:val="336" w:hRule="atLeast"/>
        </w:trPr>
        <w:tc>
          <w:tcPr>
            <w:tcW w:w="0" w:type="auto"/>
            <w:tcBorders>
              <w:top w:val="nil"/>
              <w:left w:val="single" w:color="auto" w:sz="4" w:space="0"/>
              <w:bottom w:val="single" w:color="auto" w:sz="4" w:space="0"/>
              <w:right w:val="single" w:color="auto" w:sz="4" w:space="0"/>
            </w:tcBorders>
            <w:vAlign w:val="center"/>
          </w:tcPr>
          <w:p w14:paraId="4B51E4C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36</w:t>
            </w:r>
          </w:p>
        </w:tc>
        <w:tc>
          <w:tcPr>
            <w:tcW w:w="1720" w:type="dxa"/>
            <w:tcBorders>
              <w:top w:val="nil"/>
              <w:left w:val="nil"/>
              <w:bottom w:val="single" w:color="auto" w:sz="4" w:space="0"/>
              <w:right w:val="single" w:color="auto" w:sz="4" w:space="0"/>
            </w:tcBorders>
            <w:vAlign w:val="center"/>
          </w:tcPr>
          <w:p w14:paraId="1FC18E3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黄泥河富源-罗平保留区</w:t>
            </w:r>
          </w:p>
        </w:tc>
        <w:tc>
          <w:tcPr>
            <w:tcW w:w="2605" w:type="dxa"/>
            <w:tcBorders>
              <w:top w:val="nil"/>
              <w:left w:val="nil"/>
              <w:bottom w:val="single" w:color="auto" w:sz="4" w:space="0"/>
              <w:right w:val="single" w:color="auto" w:sz="4" w:space="0"/>
            </w:tcBorders>
            <w:vAlign w:val="center"/>
          </w:tcPr>
          <w:p w14:paraId="5F78AB9D">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335CA09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w:t>
            </w:r>
          </w:p>
        </w:tc>
        <w:tc>
          <w:tcPr>
            <w:tcW w:w="897" w:type="dxa"/>
            <w:tcBorders>
              <w:top w:val="nil"/>
              <w:left w:val="nil"/>
              <w:bottom w:val="single" w:color="auto" w:sz="4" w:space="0"/>
              <w:right w:val="single" w:color="auto" w:sz="4" w:space="0"/>
            </w:tcBorders>
            <w:vAlign w:val="center"/>
          </w:tcPr>
          <w:p w14:paraId="038AAD8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富源-罗平段</w:t>
            </w:r>
          </w:p>
        </w:tc>
        <w:tc>
          <w:tcPr>
            <w:tcW w:w="0" w:type="auto"/>
            <w:tcBorders>
              <w:top w:val="nil"/>
              <w:left w:val="nil"/>
              <w:bottom w:val="single" w:color="auto" w:sz="4" w:space="0"/>
              <w:right w:val="single" w:color="auto" w:sz="4" w:space="0"/>
            </w:tcBorders>
            <w:vAlign w:val="center"/>
          </w:tcPr>
          <w:p w14:paraId="7A3015F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龙海</w:t>
            </w:r>
          </w:p>
        </w:tc>
        <w:tc>
          <w:tcPr>
            <w:tcW w:w="0" w:type="auto"/>
            <w:tcBorders>
              <w:top w:val="nil"/>
              <w:left w:val="nil"/>
              <w:bottom w:val="single" w:color="auto" w:sz="4" w:space="0"/>
              <w:right w:val="single" w:color="auto" w:sz="4" w:space="0"/>
            </w:tcBorders>
            <w:vAlign w:val="center"/>
          </w:tcPr>
          <w:p w14:paraId="21C7A39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小黄泥河入黄泥河</w:t>
            </w:r>
          </w:p>
        </w:tc>
        <w:tc>
          <w:tcPr>
            <w:tcW w:w="0" w:type="auto"/>
            <w:tcBorders>
              <w:top w:val="nil"/>
              <w:left w:val="nil"/>
              <w:bottom w:val="single" w:color="auto" w:sz="4" w:space="0"/>
              <w:right w:val="single" w:color="auto" w:sz="4" w:space="0"/>
            </w:tcBorders>
            <w:vAlign w:val="center"/>
          </w:tcPr>
          <w:p w14:paraId="02DB78E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147.9</w:t>
            </w:r>
          </w:p>
        </w:tc>
        <w:tc>
          <w:tcPr>
            <w:tcW w:w="0" w:type="auto"/>
            <w:tcBorders>
              <w:top w:val="nil"/>
              <w:left w:val="nil"/>
              <w:bottom w:val="single" w:color="auto" w:sz="4" w:space="0"/>
              <w:right w:val="single" w:color="auto" w:sz="4" w:space="0"/>
            </w:tcBorders>
            <w:vAlign w:val="center"/>
          </w:tcPr>
          <w:p w14:paraId="38B9ED5E">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4FD3F28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长底</w:t>
            </w:r>
          </w:p>
        </w:tc>
        <w:tc>
          <w:tcPr>
            <w:tcW w:w="0" w:type="auto"/>
            <w:tcBorders>
              <w:top w:val="nil"/>
              <w:left w:val="nil"/>
              <w:bottom w:val="single" w:color="auto" w:sz="4" w:space="0"/>
              <w:right w:val="single" w:color="auto" w:sz="4" w:space="0"/>
            </w:tcBorders>
            <w:vAlign w:val="center"/>
          </w:tcPr>
          <w:p w14:paraId="110B616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7CA3C59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31E1102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56EF5F4A">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6F46D17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37</w:t>
            </w:r>
          </w:p>
        </w:tc>
        <w:tc>
          <w:tcPr>
            <w:tcW w:w="1720" w:type="dxa"/>
            <w:tcBorders>
              <w:top w:val="nil"/>
              <w:left w:val="nil"/>
              <w:bottom w:val="single" w:color="auto" w:sz="4" w:space="0"/>
              <w:right w:val="single" w:color="auto" w:sz="4" w:space="0"/>
            </w:tcBorders>
            <w:vAlign w:val="center"/>
          </w:tcPr>
          <w:p w14:paraId="0ADDF0C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黄泥河滇黔缓冲区</w:t>
            </w:r>
          </w:p>
        </w:tc>
        <w:tc>
          <w:tcPr>
            <w:tcW w:w="2605" w:type="dxa"/>
            <w:tcBorders>
              <w:top w:val="nil"/>
              <w:left w:val="nil"/>
              <w:bottom w:val="single" w:color="auto" w:sz="4" w:space="0"/>
              <w:right w:val="single" w:color="auto" w:sz="4" w:space="0"/>
            </w:tcBorders>
            <w:vAlign w:val="center"/>
          </w:tcPr>
          <w:p w14:paraId="7F6B17EC">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4A81AED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黄泥河</w:t>
            </w:r>
          </w:p>
        </w:tc>
        <w:tc>
          <w:tcPr>
            <w:tcW w:w="897" w:type="dxa"/>
            <w:tcBorders>
              <w:top w:val="nil"/>
              <w:left w:val="nil"/>
              <w:bottom w:val="single" w:color="auto" w:sz="4" w:space="0"/>
              <w:right w:val="single" w:color="auto" w:sz="4" w:space="0"/>
            </w:tcBorders>
            <w:vAlign w:val="center"/>
          </w:tcPr>
          <w:p w14:paraId="6C1C925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界河段</w:t>
            </w:r>
          </w:p>
        </w:tc>
        <w:tc>
          <w:tcPr>
            <w:tcW w:w="0" w:type="auto"/>
            <w:tcBorders>
              <w:top w:val="nil"/>
              <w:left w:val="nil"/>
              <w:bottom w:val="single" w:color="auto" w:sz="4" w:space="0"/>
              <w:right w:val="single" w:color="auto" w:sz="4" w:space="0"/>
            </w:tcBorders>
            <w:vAlign w:val="center"/>
          </w:tcPr>
          <w:p w14:paraId="1F261A1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小黄泥河入口</w:t>
            </w:r>
          </w:p>
        </w:tc>
        <w:tc>
          <w:tcPr>
            <w:tcW w:w="0" w:type="auto"/>
            <w:tcBorders>
              <w:top w:val="nil"/>
              <w:left w:val="nil"/>
              <w:bottom w:val="single" w:color="auto" w:sz="4" w:space="0"/>
              <w:right w:val="single" w:color="auto" w:sz="4" w:space="0"/>
            </w:tcBorders>
            <w:vAlign w:val="center"/>
          </w:tcPr>
          <w:p w14:paraId="13C30D1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入南盘江口</w:t>
            </w:r>
          </w:p>
        </w:tc>
        <w:tc>
          <w:tcPr>
            <w:tcW w:w="0" w:type="auto"/>
            <w:tcBorders>
              <w:top w:val="nil"/>
              <w:left w:val="nil"/>
              <w:bottom w:val="single" w:color="auto" w:sz="4" w:space="0"/>
              <w:right w:val="single" w:color="auto" w:sz="4" w:space="0"/>
            </w:tcBorders>
            <w:vAlign w:val="center"/>
          </w:tcPr>
          <w:p w14:paraId="3CD9079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85</w:t>
            </w:r>
          </w:p>
        </w:tc>
        <w:tc>
          <w:tcPr>
            <w:tcW w:w="0" w:type="auto"/>
            <w:tcBorders>
              <w:top w:val="nil"/>
              <w:left w:val="nil"/>
              <w:bottom w:val="single" w:color="auto" w:sz="4" w:space="0"/>
              <w:right w:val="single" w:color="auto" w:sz="4" w:space="0"/>
            </w:tcBorders>
            <w:vAlign w:val="center"/>
          </w:tcPr>
          <w:p w14:paraId="6D03F69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4.12</w:t>
            </w:r>
          </w:p>
        </w:tc>
        <w:tc>
          <w:tcPr>
            <w:tcW w:w="0" w:type="auto"/>
            <w:tcBorders>
              <w:top w:val="nil"/>
              <w:left w:val="nil"/>
              <w:bottom w:val="single" w:color="auto" w:sz="4" w:space="0"/>
              <w:right w:val="single" w:color="auto" w:sz="4" w:space="0"/>
            </w:tcBorders>
            <w:vAlign w:val="center"/>
          </w:tcPr>
          <w:p w14:paraId="4C18633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鲁布革</w:t>
            </w:r>
          </w:p>
        </w:tc>
        <w:tc>
          <w:tcPr>
            <w:tcW w:w="0" w:type="auto"/>
            <w:tcBorders>
              <w:top w:val="nil"/>
              <w:left w:val="nil"/>
              <w:bottom w:val="single" w:color="auto" w:sz="4" w:space="0"/>
              <w:right w:val="single" w:color="auto" w:sz="4" w:space="0"/>
            </w:tcBorders>
            <w:vAlign w:val="center"/>
          </w:tcPr>
          <w:p w14:paraId="5EA3E73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50E9EA7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38D4CDF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5468DC5A">
        <w:tblPrEx>
          <w:tblCellMar>
            <w:top w:w="0" w:type="dxa"/>
            <w:left w:w="108" w:type="dxa"/>
            <w:bottom w:w="0" w:type="dxa"/>
            <w:right w:w="108" w:type="dxa"/>
          </w:tblCellMar>
        </w:tblPrEx>
        <w:trPr>
          <w:trHeight w:val="504" w:hRule="atLeast"/>
        </w:trPr>
        <w:tc>
          <w:tcPr>
            <w:tcW w:w="0" w:type="auto"/>
            <w:tcBorders>
              <w:top w:val="nil"/>
              <w:left w:val="single" w:color="auto" w:sz="4" w:space="0"/>
              <w:bottom w:val="single" w:color="auto" w:sz="4" w:space="0"/>
              <w:right w:val="single" w:color="auto" w:sz="4" w:space="0"/>
            </w:tcBorders>
            <w:vAlign w:val="center"/>
          </w:tcPr>
          <w:p w14:paraId="382787C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38</w:t>
            </w:r>
          </w:p>
        </w:tc>
        <w:tc>
          <w:tcPr>
            <w:tcW w:w="1720" w:type="dxa"/>
            <w:tcBorders>
              <w:top w:val="nil"/>
              <w:left w:val="nil"/>
              <w:bottom w:val="single" w:color="auto" w:sz="4" w:space="0"/>
              <w:right w:val="single" w:color="auto" w:sz="4" w:space="0"/>
            </w:tcBorders>
            <w:vAlign w:val="center"/>
          </w:tcPr>
          <w:p w14:paraId="5F91AF3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响水河马龙-经济技术开发区源头水保护区</w:t>
            </w:r>
          </w:p>
        </w:tc>
        <w:tc>
          <w:tcPr>
            <w:tcW w:w="2605" w:type="dxa"/>
            <w:tcBorders>
              <w:top w:val="nil"/>
              <w:left w:val="nil"/>
              <w:bottom w:val="single" w:color="auto" w:sz="4" w:space="0"/>
              <w:right w:val="single" w:color="auto" w:sz="4" w:space="0"/>
            </w:tcBorders>
            <w:vAlign w:val="center"/>
          </w:tcPr>
          <w:p w14:paraId="72FBD8D3">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42B9FC8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w:t>
            </w:r>
          </w:p>
        </w:tc>
        <w:tc>
          <w:tcPr>
            <w:tcW w:w="897" w:type="dxa"/>
            <w:tcBorders>
              <w:top w:val="nil"/>
              <w:left w:val="nil"/>
              <w:bottom w:val="single" w:color="auto" w:sz="4" w:space="0"/>
              <w:right w:val="single" w:color="auto" w:sz="4" w:space="0"/>
            </w:tcBorders>
            <w:vAlign w:val="center"/>
          </w:tcPr>
          <w:p w14:paraId="741AAE9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马龙-开发区段</w:t>
            </w:r>
          </w:p>
        </w:tc>
        <w:tc>
          <w:tcPr>
            <w:tcW w:w="0" w:type="auto"/>
            <w:tcBorders>
              <w:top w:val="nil"/>
              <w:left w:val="nil"/>
              <w:bottom w:val="single" w:color="auto" w:sz="4" w:space="0"/>
              <w:right w:val="single" w:color="auto" w:sz="4" w:space="0"/>
            </w:tcBorders>
            <w:vAlign w:val="center"/>
          </w:tcPr>
          <w:p w14:paraId="3EA9FE3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1A89CED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面店水库坝址</w:t>
            </w:r>
          </w:p>
        </w:tc>
        <w:tc>
          <w:tcPr>
            <w:tcW w:w="0" w:type="auto"/>
            <w:tcBorders>
              <w:top w:val="nil"/>
              <w:left w:val="nil"/>
              <w:bottom w:val="single" w:color="auto" w:sz="4" w:space="0"/>
              <w:right w:val="single" w:color="auto" w:sz="4" w:space="0"/>
            </w:tcBorders>
            <w:vAlign w:val="center"/>
          </w:tcPr>
          <w:p w14:paraId="33D189B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8.9</w:t>
            </w:r>
          </w:p>
        </w:tc>
        <w:tc>
          <w:tcPr>
            <w:tcW w:w="0" w:type="auto"/>
            <w:tcBorders>
              <w:top w:val="nil"/>
              <w:left w:val="nil"/>
              <w:bottom w:val="single" w:color="auto" w:sz="4" w:space="0"/>
              <w:right w:val="single" w:color="auto" w:sz="4" w:space="0"/>
            </w:tcBorders>
            <w:vAlign w:val="center"/>
          </w:tcPr>
          <w:p w14:paraId="089D096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0.15</w:t>
            </w:r>
          </w:p>
        </w:tc>
        <w:tc>
          <w:tcPr>
            <w:tcW w:w="0" w:type="auto"/>
            <w:tcBorders>
              <w:top w:val="nil"/>
              <w:left w:val="nil"/>
              <w:bottom w:val="single" w:color="auto" w:sz="4" w:space="0"/>
              <w:right w:val="single" w:color="auto" w:sz="4" w:space="0"/>
            </w:tcBorders>
            <w:vAlign w:val="center"/>
          </w:tcPr>
          <w:p w14:paraId="0B7D5DD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面店水库</w:t>
            </w:r>
          </w:p>
        </w:tc>
        <w:tc>
          <w:tcPr>
            <w:tcW w:w="0" w:type="auto"/>
            <w:tcBorders>
              <w:top w:val="nil"/>
              <w:left w:val="nil"/>
              <w:bottom w:val="single" w:color="auto" w:sz="4" w:space="0"/>
              <w:right w:val="single" w:color="auto" w:sz="4" w:space="0"/>
            </w:tcBorders>
            <w:vAlign w:val="center"/>
          </w:tcPr>
          <w:p w14:paraId="6385391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08EC5EE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6F02AB0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6188501C">
        <w:tblPrEx>
          <w:tblCellMar>
            <w:top w:w="0" w:type="dxa"/>
            <w:left w:w="108" w:type="dxa"/>
            <w:bottom w:w="0" w:type="dxa"/>
            <w:right w:w="108" w:type="dxa"/>
          </w:tblCellMar>
        </w:tblPrEx>
        <w:trPr>
          <w:trHeight w:val="612" w:hRule="atLeast"/>
        </w:trPr>
        <w:tc>
          <w:tcPr>
            <w:tcW w:w="0" w:type="auto"/>
            <w:tcBorders>
              <w:top w:val="nil"/>
              <w:left w:val="single" w:color="auto" w:sz="4" w:space="0"/>
              <w:bottom w:val="single" w:color="auto" w:sz="4" w:space="0"/>
              <w:right w:val="single" w:color="auto" w:sz="4" w:space="0"/>
            </w:tcBorders>
            <w:vAlign w:val="center"/>
          </w:tcPr>
          <w:p w14:paraId="55DA3F3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39</w:t>
            </w:r>
          </w:p>
        </w:tc>
        <w:tc>
          <w:tcPr>
            <w:tcW w:w="1720" w:type="dxa"/>
            <w:tcBorders>
              <w:top w:val="nil"/>
              <w:left w:val="nil"/>
              <w:bottom w:val="single" w:color="auto" w:sz="4" w:space="0"/>
              <w:right w:val="single" w:color="auto" w:sz="4" w:space="0"/>
            </w:tcBorders>
            <w:vAlign w:val="center"/>
          </w:tcPr>
          <w:p w14:paraId="30B8D92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西山河马龙-经济技术开发区源头水保护区</w:t>
            </w:r>
          </w:p>
        </w:tc>
        <w:tc>
          <w:tcPr>
            <w:tcW w:w="2605" w:type="dxa"/>
            <w:tcBorders>
              <w:top w:val="nil"/>
              <w:left w:val="nil"/>
              <w:bottom w:val="single" w:color="auto" w:sz="4" w:space="0"/>
              <w:right w:val="single" w:color="auto" w:sz="4" w:space="0"/>
            </w:tcBorders>
            <w:vAlign w:val="center"/>
          </w:tcPr>
          <w:p w14:paraId="3E6EBC40">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3938C75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西山河</w:t>
            </w:r>
          </w:p>
        </w:tc>
        <w:tc>
          <w:tcPr>
            <w:tcW w:w="897" w:type="dxa"/>
            <w:tcBorders>
              <w:top w:val="nil"/>
              <w:left w:val="nil"/>
              <w:bottom w:val="single" w:color="auto" w:sz="4" w:space="0"/>
              <w:right w:val="single" w:color="auto" w:sz="4" w:space="0"/>
            </w:tcBorders>
            <w:vAlign w:val="center"/>
          </w:tcPr>
          <w:p w14:paraId="5244BB4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马龙-开发区段</w:t>
            </w:r>
          </w:p>
        </w:tc>
        <w:tc>
          <w:tcPr>
            <w:tcW w:w="0" w:type="auto"/>
            <w:tcBorders>
              <w:top w:val="nil"/>
              <w:left w:val="nil"/>
              <w:bottom w:val="single" w:color="auto" w:sz="4" w:space="0"/>
              <w:right w:val="single" w:color="auto" w:sz="4" w:space="0"/>
            </w:tcBorders>
            <w:vAlign w:val="center"/>
          </w:tcPr>
          <w:p w14:paraId="31D2A9F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79CED0D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上西山水库坝址</w:t>
            </w:r>
          </w:p>
        </w:tc>
        <w:tc>
          <w:tcPr>
            <w:tcW w:w="0" w:type="auto"/>
            <w:tcBorders>
              <w:top w:val="nil"/>
              <w:left w:val="nil"/>
              <w:bottom w:val="single" w:color="auto" w:sz="4" w:space="0"/>
              <w:right w:val="single" w:color="auto" w:sz="4" w:space="0"/>
            </w:tcBorders>
            <w:vAlign w:val="center"/>
          </w:tcPr>
          <w:p w14:paraId="0E2E310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6.9</w:t>
            </w:r>
          </w:p>
        </w:tc>
        <w:tc>
          <w:tcPr>
            <w:tcW w:w="0" w:type="auto"/>
            <w:tcBorders>
              <w:top w:val="nil"/>
              <w:left w:val="nil"/>
              <w:bottom w:val="single" w:color="auto" w:sz="4" w:space="0"/>
              <w:right w:val="single" w:color="auto" w:sz="4" w:space="0"/>
            </w:tcBorders>
            <w:vAlign w:val="center"/>
          </w:tcPr>
          <w:p w14:paraId="1D1BB57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0.06</w:t>
            </w:r>
          </w:p>
        </w:tc>
        <w:tc>
          <w:tcPr>
            <w:tcW w:w="0" w:type="auto"/>
            <w:tcBorders>
              <w:top w:val="nil"/>
              <w:left w:val="nil"/>
              <w:bottom w:val="single" w:color="auto" w:sz="4" w:space="0"/>
              <w:right w:val="single" w:color="auto" w:sz="4" w:space="0"/>
            </w:tcBorders>
            <w:vAlign w:val="center"/>
          </w:tcPr>
          <w:p w14:paraId="4B0E04A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上西山水库</w:t>
            </w:r>
          </w:p>
        </w:tc>
        <w:tc>
          <w:tcPr>
            <w:tcW w:w="0" w:type="auto"/>
            <w:tcBorders>
              <w:top w:val="nil"/>
              <w:left w:val="nil"/>
              <w:bottom w:val="single" w:color="auto" w:sz="4" w:space="0"/>
              <w:right w:val="single" w:color="auto" w:sz="4" w:space="0"/>
            </w:tcBorders>
            <w:vAlign w:val="center"/>
          </w:tcPr>
          <w:p w14:paraId="73D553C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59FB123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FF5BE0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1F6AA963">
        <w:tblPrEx>
          <w:tblCellMar>
            <w:top w:w="0" w:type="dxa"/>
            <w:left w:w="108" w:type="dxa"/>
            <w:bottom w:w="0" w:type="dxa"/>
            <w:right w:w="108" w:type="dxa"/>
          </w:tblCellMar>
        </w:tblPrEx>
        <w:trPr>
          <w:trHeight w:val="528" w:hRule="atLeast"/>
        </w:trPr>
        <w:tc>
          <w:tcPr>
            <w:tcW w:w="0" w:type="auto"/>
            <w:tcBorders>
              <w:top w:val="nil"/>
              <w:left w:val="single" w:color="auto" w:sz="4" w:space="0"/>
              <w:bottom w:val="single" w:color="auto" w:sz="4" w:space="0"/>
              <w:right w:val="single" w:color="auto" w:sz="4" w:space="0"/>
            </w:tcBorders>
            <w:vAlign w:val="center"/>
          </w:tcPr>
          <w:p w14:paraId="4576312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40</w:t>
            </w:r>
          </w:p>
        </w:tc>
        <w:tc>
          <w:tcPr>
            <w:tcW w:w="1720" w:type="dxa"/>
            <w:tcBorders>
              <w:top w:val="nil"/>
              <w:left w:val="nil"/>
              <w:bottom w:val="single" w:color="auto" w:sz="4" w:space="0"/>
              <w:right w:val="single" w:color="auto" w:sz="4" w:space="0"/>
            </w:tcBorders>
            <w:vAlign w:val="center"/>
          </w:tcPr>
          <w:p w14:paraId="62480C4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白石江经济技术开发区-麒麟开发利用区</w:t>
            </w:r>
          </w:p>
        </w:tc>
        <w:tc>
          <w:tcPr>
            <w:tcW w:w="2605" w:type="dxa"/>
            <w:tcBorders>
              <w:top w:val="nil"/>
              <w:left w:val="nil"/>
              <w:bottom w:val="single" w:color="auto" w:sz="4" w:space="0"/>
              <w:right w:val="single" w:color="auto" w:sz="4" w:space="0"/>
            </w:tcBorders>
            <w:vAlign w:val="center"/>
          </w:tcPr>
          <w:p w14:paraId="010C676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白石江麒麟景观、工业用水区</w:t>
            </w:r>
          </w:p>
        </w:tc>
        <w:tc>
          <w:tcPr>
            <w:tcW w:w="691" w:type="dxa"/>
            <w:tcBorders>
              <w:top w:val="nil"/>
              <w:left w:val="nil"/>
              <w:bottom w:val="single" w:color="auto" w:sz="4" w:space="0"/>
              <w:right w:val="single" w:color="auto" w:sz="4" w:space="0"/>
            </w:tcBorders>
            <w:vAlign w:val="center"/>
          </w:tcPr>
          <w:p w14:paraId="53E778D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白石江</w:t>
            </w:r>
          </w:p>
        </w:tc>
        <w:tc>
          <w:tcPr>
            <w:tcW w:w="897" w:type="dxa"/>
            <w:tcBorders>
              <w:top w:val="nil"/>
              <w:left w:val="nil"/>
              <w:bottom w:val="single" w:color="auto" w:sz="4" w:space="0"/>
              <w:right w:val="single" w:color="auto" w:sz="4" w:space="0"/>
            </w:tcBorders>
            <w:vAlign w:val="center"/>
          </w:tcPr>
          <w:p w14:paraId="7213A03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75F5D6D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7340AC6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入潇湘江口</w:t>
            </w:r>
          </w:p>
        </w:tc>
        <w:tc>
          <w:tcPr>
            <w:tcW w:w="0" w:type="auto"/>
            <w:tcBorders>
              <w:top w:val="nil"/>
              <w:left w:val="nil"/>
              <w:bottom w:val="single" w:color="auto" w:sz="4" w:space="0"/>
              <w:right w:val="single" w:color="auto" w:sz="4" w:space="0"/>
            </w:tcBorders>
            <w:vAlign w:val="center"/>
          </w:tcPr>
          <w:p w14:paraId="13220C3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25.4</w:t>
            </w:r>
          </w:p>
        </w:tc>
        <w:tc>
          <w:tcPr>
            <w:tcW w:w="0" w:type="auto"/>
            <w:tcBorders>
              <w:top w:val="nil"/>
              <w:left w:val="nil"/>
              <w:bottom w:val="single" w:color="auto" w:sz="4" w:space="0"/>
              <w:right w:val="single" w:color="auto" w:sz="4" w:space="0"/>
            </w:tcBorders>
            <w:vAlign w:val="center"/>
          </w:tcPr>
          <w:p w14:paraId="1C3A4629">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02A259A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中河桥</w:t>
            </w:r>
          </w:p>
        </w:tc>
        <w:tc>
          <w:tcPr>
            <w:tcW w:w="0" w:type="auto"/>
            <w:tcBorders>
              <w:top w:val="nil"/>
              <w:left w:val="nil"/>
              <w:bottom w:val="single" w:color="auto" w:sz="4" w:space="0"/>
              <w:right w:val="single" w:color="auto" w:sz="4" w:space="0"/>
            </w:tcBorders>
            <w:vAlign w:val="center"/>
          </w:tcPr>
          <w:p w14:paraId="29553AF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劣V</w:t>
            </w:r>
          </w:p>
        </w:tc>
        <w:tc>
          <w:tcPr>
            <w:tcW w:w="0" w:type="auto"/>
            <w:tcBorders>
              <w:top w:val="nil"/>
              <w:left w:val="nil"/>
              <w:bottom w:val="single" w:color="auto" w:sz="4" w:space="0"/>
              <w:right w:val="single" w:color="auto" w:sz="4" w:space="0"/>
            </w:tcBorders>
            <w:vAlign w:val="center"/>
          </w:tcPr>
          <w:p w14:paraId="45C33E5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6E3C6E9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45986102">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59F1066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41</w:t>
            </w:r>
          </w:p>
        </w:tc>
        <w:tc>
          <w:tcPr>
            <w:tcW w:w="1720" w:type="dxa"/>
            <w:tcBorders>
              <w:top w:val="nil"/>
              <w:left w:val="nil"/>
              <w:bottom w:val="single" w:color="auto" w:sz="4" w:space="0"/>
              <w:right w:val="single" w:color="auto" w:sz="4" w:space="0"/>
            </w:tcBorders>
            <w:vAlign w:val="center"/>
          </w:tcPr>
          <w:p w14:paraId="0E900D5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水城河麒麟源头水保护区</w:t>
            </w:r>
          </w:p>
        </w:tc>
        <w:tc>
          <w:tcPr>
            <w:tcW w:w="2605" w:type="dxa"/>
            <w:tcBorders>
              <w:top w:val="nil"/>
              <w:left w:val="nil"/>
              <w:bottom w:val="single" w:color="auto" w:sz="4" w:space="0"/>
              <w:right w:val="single" w:color="auto" w:sz="4" w:space="0"/>
            </w:tcBorders>
            <w:vAlign w:val="center"/>
          </w:tcPr>
          <w:p w14:paraId="475C8D9C">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44B16CB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水城河</w:t>
            </w:r>
          </w:p>
        </w:tc>
        <w:tc>
          <w:tcPr>
            <w:tcW w:w="897" w:type="dxa"/>
            <w:tcBorders>
              <w:top w:val="nil"/>
              <w:left w:val="nil"/>
              <w:bottom w:val="single" w:color="auto" w:sz="4" w:space="0"/>
              <w:right w:val="single" w:color="auto" w:sz="4" w:space="0"/>
            </w:tcBorders>
            <w:vAlign w:val="center"/>
          </w:tcPr>
          <w:p w14:paraId="65A3A60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522551A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7CBB52B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水城水库坝址</w:t>
            </w:r>
          </w:p>
        </w:tc>
        <w:tc>
          <w:tcPr>
            <w:tcW w:w="0" w:type="auto"/>
            <w:tcBorders>
              <w:top w:val="nil"/>
              <w:left w:val="nil"/>
              <w:bottom w:val="single" w:color="auto" w:sz="4" w:space="0"/>
              <w:right w:val="single" w:color="auto" w:sz="4" w:space="0"/>
            </w:tcBorders>
            <w:vAlign w:val="center"/>
          </w:tcPr>
          <w:p w14:paraId="3960C31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9.9</w:t>
            </w:r>
          </w:p>
        </w:tc>
        <w:tc>
          <w:tcPr>
            <w:tcW w:w="0" w:type="auto"/>
            <w:tcBorders>
              <w:top w:val="nil"/>
              <w:left w:val="nil"/>
              <w:bottom w:val="single" w:color="auto" w:sz="4" w:space="0"/>
              <w:right w:val="single" w:color="auto" w:sz="4" w:space="0"/>
            </w:tcBorders>
            <w:vAlign w:val="center"/>
          </w:tcPr>
          <w:p w14:paraId="502850C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3.34</w:t>
            </w:r>
          </w:p>
        </w:tc>
        <w:tc>
          <w:tcPr>
            <w:tcW w:w="0" w:type="auto"/>
            <w:tcBorders>
              <w:top w:val="nil"/>
              <w:left w:val="nil"/>
              <w:bottom w:val="single" w:color="auto" w:sz="4" w:space="0"/>
              <w:right w:val="single" w:color="auto" w:sz="4" w:space="0"/>
            </w:tcBorders>
            <w:vAlign w:val="center"/>
          </w:tcPr>
          <w:p w14:paraId="35B071F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水城水库</w:t>
            </w:r>
          </w:p>
        </w:tc>
        <w:tc>
          <w:tcPr>
            <w:tcW w:w="0" w:type="auto"/>
            <w:tcBorders>
              <w:top w:val="nil"/>
              <w:left w:val="nil"/>
              <w:bottom w:val="single" w:color="auto" w:sz="4" w:space="0"/>
              <w:right w:val="single" w:color="auto" w:sz="4" w:space="0"/>
            </w:tcBorders>
            <w:vAlign w:val="center"/>
          </w:tcPr>
          <w:p w14:paraId="4D119C2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7A0423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1A18D46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63194C13">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01CE666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42</w:t>
            </w:r>
          </w:p>
        </w:tc>
        <w:tc>
          <w:tcPr>
            <w:tcW w:w="1720" w:type="dxa"/>
            <w:tcBorders>
              <w:top w:val="nil"/>
              <w:left w:val="nil"/>
              <w:bottom w:val="single" w:color="auto" w:sz="4" w:space="0"/>
              <w:right w:val="single" w:color="auto" w:sz="4" w:space="0"/>
            </w:tcBorders>
            <w:vAlign w:val="center"/>
          </w:tcPr>
          <w:p w14:paraId="663BBE6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麦子河陆良保留区</w:t>
            </w:r>
          </w:p>
        </w:tc>
        <w:tc>
          <w:tcPr>
            <w:tcW w:w="2605" w:type="dxa"/>
            <w:tcBorders>
              <w:top w:val="nil"/>
              <w:left w:val="nil"/>
              <w:bottom w:val="single" w:color="auto" w:sz="4" w:space="0"/>
              <w:right w:val="single" w:color="auto" w:sz="4" w:space="0"/>
            </w:tcBorders>
            <w:vAlign w:val="center"/>
          </w:tcPr>
          <w:p w14:paraId="1D057E92">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76D5742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麦子河</w:t>
            </w:r>
          </w:p>
        </w:tc>
        <w:tc>
          <w:tcPr>
            <w:tcW w:w="897" w:type="dxa"/>
            <w:tcBorders>
              <w:top w:val="nil"/>
              <w:left w:val="nil"/>
              <w:bottom w:val="single" w:color="auto" w:sz="4" w:space="0"/>
              <w:right w:val="single" w:color="auto" w:sz="4" w:space="0"/>
            </w:tcBorders>
            <w:vAlign w:val="center"/>
          </w:tcPr>
          <w:p w14:paraId="75D55F6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15B9892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09CE459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入杜公河口</w:t>
            </w:r>
          </w:p>
        </w:tc>
        <w:tc>
          <w:tcPr>
            <w:tcW w:w="0" w:type="auto"/>
            <w:tcBorders>
              <w:top w:val="nil"/>
              <w:left w:val="nil"/>
              <w:bottom w:val="single" w:color="auto" w:sz="4" w:space="0"/>
              <w:right w:val="single" w:color="auto" w:sz="4" w:space="0"/>
            </w:tcBorders>
            <w:vAlign w:val="center"/>
          </w:tcPr>
          <w:p w14:paraId="4950E88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20.7</w:t>
            </w:r>
          </w:p>
        </w:tc>
        <w:tc>
          <w:tcPr>
            <w:tcW w:w="0" w:type="auto"/>
            <w:tcBorders>
              <w:top w:val="nil"/>
              <w:left w:val="nil"/>
              <w:bottom w:val="single" w:color="auto" w:sz="4" w:space="0"/>
              <w:right w:val="single" w:color="auto" w:sz="4" w:space="0"/>
            </w:tcBorders>
            <w:vAlign w:val="center"/>
          </w:tcPr>
          <w:p w14:paraId="3FF57D1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3.92</w:t>
            </w:r>
          </w:p>
        </w:tc>
        <w:tc>
          <w:tcPr>
            <w:tcW w:w="0" w:type="auto"/>
            <w:tcBorders>
              <w:top w:val="nil"/>
              <w:left w:val="nil"/>
              <w:bottom w:val="single" w:color="auto" w:sz="4" w:space="0"/>
              <w:right w:val="single" w:color="auto" w:sz="4" w:space="0"/>
            </w:tcBorders>
            <w:vAlign w:val="center"/>
          </w:tcPr>
          <w:p w14:paraId="47CD242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麦子河水库</w:t>
            </w:r>
          </w:p>
        </w:tc>
        <w:tc>
          <w:tcPr>
            <w:tcW w:w="0" w:type="auto"/>
            <w:tcBorders>
              <w:top w:val="nil"/>
              <w:left w:val="nil"/>
              <w:bottom w:val="single" w:color="auto" w:sz="4" w:space="0"/>
              <w:right w:val="single" w:color="auto" w:sz="4" w:space="0"/>
            </w:tcBorders>
            <w:vAlign w:val="center"/>
          </w:tcPr>
          <w:p w14:paraId="23F1314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6FD533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6F6DD1D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71011BA4">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5C885CA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43</w:t>
            </w:r>
          </w:p>
        </w:tc>
        <w:tc>
          <w:tcPr>
            <w:tcW w:w="1720" w:type="dxa"/>
            <w:tcBorders>
              <w:top w:val="nil"/>
              <w:left w:val="nil"/>
              <w:bottom w:val="single" w:color="auto" w:sz="4" w:space="0"/>
              <w:right w:val="single" w:color="auto" w:sz="4" w:space="0"/>
            </w:tcBorders>
            <w:vAlign w:val="center"/>
          </w:tcPr>
          <w:p w14:paraId="765848A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石坝河罗平开发利用区</w:t>
            </w:r>
          </w:p>
        </w:tc>
        <w:tc>
          <w:tcPr>
            <w:tcW w:w="2605" w:type="dxa"/>
            <w:tcBorders>
              <w:top w:val="nil"/>
              <w:left w:val="nil"/>
              <w:bottom w:val="single" w:color="auto" w:sz="4" w:space="0"/>
              <w:right w:val="single" w:color="auto" w:sz="4" w:space="0"/>
            </w:tcBorders>
            <w:vAlign w:val="center"/>
          </w:tcPr>
          <w:p w14:paraId="33E795B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石坝河罗平景观、农业用水区</w:t>
            </w:r>
          </w:p>
        </w:tc>
        <w:tc>
          <w:tcPr>
            <w:tcW w:w="691" w:type="dxa"/>
            <w:tcBorders>
              <w:top w:val="nil"/>
              <w:left w:val="nil"/>
              <w:bottom w:val="single" w:color="auto" w:sz="4" w:space="0"/>
              <w:right w:val="single" w:color="auto" w:sz="4" w:space="0"/>
            </w:tcBorders>
            <w:vAlign w:val="center"/>
          </w:tcPr>
          <w:p w14:paraId="56677B1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石坝河</w:t>
            </w:r>
          </w:p>
        </w:tc>
        <w:tc>
          <w:tcPr>
            <w:tcW w:w="897" w:type="dxa"/>
            <w:tcBorders>
              <w:top w:val="nil"/>
              <w:left w:val="nil"/>
              <w:bottom w:val="single" w:color="auto" w:sz="4" w:space="0"/>
              <w:right w:val="single" w:color="auto" w:sz="4" w:space="0"/>
            </w:tcBorders>
            <w:vAlign w:val="center"/>
          </w:tcPr>
          <w:p w14:paraId="5AEA645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6D17696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63305B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入大干河口</w:t>
            </w:r>
          </w:p>
        </w:tc>
        <w:tc>
          <w:tcPr>
            <w:tcW w:w="0" w:type="auto"/>
            <w:tcBorders>
              <w:top w:val="nil"/>
              <w:left w:val="nil"/>
              <w:bottom w:val="single" w:color="auto" w:sz="4" w:space="0"/>
              <w:right w:val="single" w:color="auto" w:sz="4" w:space="0"/>
            </w:tcBorders>
            <w:vAlign w:val="center"/>
          </w:tcPr>
          <w:p w14:paraId="5E6FC00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8.6</w:t>
            </w:r>
          </w:p>
        </w:tc>
        <w:tc>
          <w:tcPr>
            <w:tcW w:w="0" w:type="auto"/>
            <w:tcBorders>
              <w:top w:val="nil"/>
              <w:left w:val="nil"/>
              <w:bottom w:val="single" w:color="auto" w:sz="4" w:space="0"/>
              <w:right w:val="single" w:color="auto" w:sz="4" w:space="0"/>
            </w:tcBorders>
            <w:vAlign w:val="center"/>
          </w:tcPr>
          <w:p w14:paraId="0027D339">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12DEE80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石坝河</w:t>
            </w:r>
          </w:p>
        </w:tc>
        <w:tc>
          <w:tcPr>
            <w:tcW w:w="0" w:type="auto"/>
            <w:tcBorders>
              <w:top w:val="nil"/>
              <w:left w:val="nil"/>
              <w:bottom w:val="single" w:color="auto" w:sz="4" w:space="0"/>
              <w:right w:val="single" w:color="auto" w:sz="4" w:space="0"/>
            </w:tcBorders>
            <w:vAlign w:val="center"/>
          </w:tcPr>
          <w:p w14:paraId="0C7848D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D8EF7F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0CC846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4322C1B3">
        <w:tblPrEx>
          <w:tblCellMar>
            <w:top w:w="0" w:type="dxa"/>
            <w:left w:w="108" w:type="dxa"/>
            <w:bottom w:w="0" w:type="dxa"/>
            <w:right w:w="108" w:type="dxa"/>
          </w:tblCellMar>
        </w:tblPrEx>
        <w:trPr>
          <w:trHeight w:val="336" w:hRule="atLeast"/>
        </w:trPr>
        <w:tc>
          <w:tcPr>
            <w:tcW w:w="0" w:type="auto"/>
            <w:tcBorders>
              <w:top w:val="nil"/>
              <w:left w:val="single" w:color="auto" w:sz="4" w:space="0"/>
              <w:bottom w:val="single" w:color="auto" w:sz="4" w:space="0"/>
              <w:right w:val="single" w:color="auto" w:sz="4" w:space="0"/>
            </w:tcBorders>
            <w:vAlign w:val="center"/>
          </w:tcPr>
          <w:p w14:paraId="528E5EE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44</w:t>
            </w:r>
          </w:p>
        </w:tc>
        <w:tc>
          <w:tcPr>
            <w:tcW w:w="1720" w:type="dxa"/>
            <w:tcBorders>
              <w:top w:val="nil"/>
              <w:left w:val="nil"/>
              <w:bottom w:val="single" w:color="auto" w:sz="4" w:space="0"/>
              <w:right w:val="single" w:color="auto" w:sz="4" w:space="0"/>
            </w:tcBorders>
            <w:vAlign w:val="center"/>
          </w:tcPr>
          <w:p w14:paraId="3ADAEB2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洞上河沾益-富源源头水保护区</w:t>
            </w:r>
          </w:p>
        </w:tc>
        <w:tc>
          <w:tcPr>
            <w:tcW w:w="2605" w:type="dxa"/>
            <w:tcBorders>
              <w:top w:val="nil"/>
              <w:left w:val="nil"/>
              <w:bottom w:val="single" w:color="auto" w:sz="4" w:space="0"/>
              <w:right w:val="single" w:color="auto" w:sz="4" w:space="0"/>
            </w:tcBorders>
            <w:vAlign w:val="center"/>
          </w:tcPr>
          <w:p w14:paraId="7B7B2175">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3DBF88D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洞上河</w:t>
            </w:r>
          </w:p>
        </w:tc>
        <w:tc>
          <w:tcPr>
            <w:tcW w:w="897" w:type="dxa"/>
            <w:tcBorders>
              <w:top w:val="nil"/>
              <w:left w:val="nil"/>
              <w:bottom w:val="single" w:color="auto" w:sz="4" w:space="0"/>
              <w:right w:val="single" w:color="auto" w:sz="4" w:space="0"/>
            </w:tcBorders>
            <w:vAlign w:val="center"/>
          </w:tcPr>
          <w:p w14:paraId="77F1FD1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沾益</w:t>
            </w:r>
            <w:r>
              <w:rPr>
                <w:rFonts w:hint="default" w:ascii="Times New Roman" w:hAnsi="Times New Roman" w:cs="Times New Roman"/>
                <w:color w:val="auto"/>
                <w:kern w:val="0"/>
                <w:sz w:val="21"/>
                <w:szCs w:val="21"/>
                <w:highlight w:val="none"/>
                <w:lang w:eastAsia="zh-CN"/>
              </w:rPr>
              <w:t>－</w:t>
            </w:r>
            <w:r>
              <w:rPr>
                <w:rFonts w:hint="default" w:ascii="Times New Roman" w:hAnsi="Times New Roman" w:cs="Times New Roman"/>
                <w:color w:val="auto"/>
                <w:kern w:val="0"/>
                <w:sz w:val="21"/>
                <w:szCs w:val="21"/>
                <w:highlight w:val="none"/>
              </w:rPr>
              <w:t>富源段</w:t>
            </w:r>
          </w:p>
        </w:tc>
        <w:tc>
          <w:tcPr>
            <w:tcW w:w="0" w:type="auto"/>
            <w:tcBorders>
              <w:top w:val="nil"/>
              <w:left w:val="nil"/>
              <w:bottom w:val="single" w:color="auto" w:sz="4" w:space="0"/>
              <w:right w:val="single" w:color="auto" w:sz="4" w:space="0"/>
            </w:tcBorders>
            <w:vAlign w:val="center"/>
          </w:tcPr>
          <w:p w14:paraId="1986684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545AD28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洞上水库坝址</w:t>
            </w:r>
          </w:p>
        </w:tc>
        <w:tc>
          <w:tcPr>
            <w:tcW w:w="0" w:type="auto"/>
            <w:tcBorders>
              <w:top w:val="nil"/>
              <w:left w:val="nil"/>
              <w:bottom w:val="single" w:color="auto" w:sz="4" w:space="0"/>
              <w:right w:val="single" w:color="auto" w:sz="4" w:space="0"/>
            </w:tcBorders>
            <w:vAlign w:val="center"/>
          </w:tcPr>
          <w:p w14:paraId="3B4BF02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27</w:t>
            </w:r>
          </w:p>
        </w:tc>
        <w:tc>
          <w:tcPr>
            <w:tcW w:w="0" w:type="auto"/>
            <w:tcBorders>
              <w:top w:val="nil"/>
              <w:left w:val="nil"/>
              <w:bottom w:val="single" w:color="auto" w:sz="4" w:space="0"/>
              <w:right w:val="single" w:color="auto" w:sz="4" w:space="0"/>
            </w:tcBorders>
            <w:vAlign w:val="center"/>
          </w:tcPr>
          <w:p w14:paraId="6B497B0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1.4</w:t>
            </w:r>
          </w:p>
        </w:tc>
        <w:tc>
          <w:tcPr>
            <w:tcW w:w="0" w:type="auto"/>
            <w:tcBorders>
              <w:top w:val="nil"/>
              <w:left w:val="nil"/>
              <w:bottom w:val="single" w:color="auto" w:sz="4" w:space="0"/>
              <w:right w:val="single" w:color="auto" w:sz="4" w:space="0"/>
            </w:tcBorders>
            <w:vAlign w:val="center"/>
          </w:tcPr>
          <w:p w14:paraId="7D00F05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洞上水库</w:t>
            </w:r>
          </w:p>
        </w:tc>
        <w:tc>
          <w:tcPr>
            <w:tcW w:w="0" w:type="auto"/>
            <w:tcBorders>
              <w:top w:val="nil"/>
              <w:left w:val="nil"/>
              <w:bottom w:val="single" w:color="auto" w:sz="4" w:space="0"/>
              <w:right w:val="single" w:color="auto" w:sz="4" w:space="0"/>
            </w:tcBorders>
            <w:vAlign w:val="center"/>
          </w:tcPr>
          <w:p w14:paraId="28101F2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D88F3C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59FC67B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2A7894B2">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276DC60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45</w:t>
            </w:r>
          </w:p>
        </w:tc>
        <w:tc>
          <w:tcPr>
            <w:tcW w:w="1720" w:type="dxa"/>
            <w:tcBorders>
              <w:top w:val="nil"/>
              <w:left w:val="nil"/>
              <w:bottom w:val="single" w:color="auto" w:sz="4" w:space="0"/>
              <w:right w:val="single" w:color="auto" w:sz="4" w:space="0"/>
            </w:tcBorders>
            <w:vAlign w:val="center"/>
          </w:tcPr>
          <w:p w14:paraId="395381E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洞上河富源保留区</w:t>
            </w:r>
          </w:p>
        </w:tc>
        <w:tc>
          <w:tcPr>
            <w:tcW w:w="2605" w:type="dxa"/>
            <w:tcBorders>
              <w:top w:val="nil"/>
              <w:left w:val="nil"/>
              <w:bottom w:val="single" w:color="auto" w:sz="4" w:space="0"/>
              <w:right w:val="single" w:color="auto" w:sz="4" w:space="0"/>
            </w:tcBorders>
            <w:vAlign w:val="center"/>
          </w:tcPr>
          <w:p w14:paraId="53ABD9C1">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02CDA29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洞上河</w:t>
            </w:r>
          </w:p>
        </w:tc>
        <w:tc>
          <w:tcPr>
            <w:tcW w:w="897" w:type="dxa"/>
            <w:tcBorders>
              <w:top w:val="nil"/>
              <w:left w:val="nil"/>
              <w:bottom w:val="single" w:color="auto" w:sz="4" w:space="0"/>
              <w:right w:val="single" w:color="auto" w:sz="4" w:space="0"/>
            </w:tcBorders>
            <w:vAlign w:val="center"/>
          </w:tcPr>
          <w:p w14:paraId="25E3872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富源段</w:t>
            </w:r>
          </w:p>
        </w:tc>
        <w:tc>
          <w:tcPr>
            <w:tcW w:w="0" w:type="auto"/>
            <w:tcBorders>
              <w:top w:val="nil"/>
              <w:left w:val="nil"/>
              <w:bottom w:val="single" w:color="auto" w:sz="4" w:space="0"/>
              <w:right w:val="single" w:color="auto" w:sz="4" w:space="0"/>
            </w:tcBorders>
            <w:vAlign w:val="center"/>
          </w:tcPr>
          <w:p w14:paraId="24C38B4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洞上水库坝址</w:t>
            </w:r>
          </w:p>
        </w:tc>
        <w:tc>
          <w:tcPr>
            <w:tcW w:w="0" w:type="auto"/>
            <w:tcBorders>
              <w:top w:val="nil"/>
              <w:left w:val="nil"/>
              <w:bottom w:val="single" w:color="auto" w:sz="4" w:space="0"/>
              <w:right w:val="single" w:color="auto" w:sz="4" w:space="0"/>
            </w:tcBorders>
            <w:vAlign w:val="center"/>
          </w:tcPr>
          <w:p w14:paraId="7CC3EE0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入黄泥河口</w:t>
            </w:r>
          </w:p>
        </w:tc>
        <w:tc>
          <w:tcPr>
            <w:tcW w:w="0" w:type="auto"/>
            <w:tcBorders>
              <w:top w:val="nil"/>
              <w:left w:val="nil"/>
              <w:bottom w:val="single" w:color="auto" w:sz="4" w:space="0"/>
              <w:right w:val="single" w:color="auto" w:sz="4" w:space="0"/>
            </w:tcBorders>
            <w:vAlign w:val="center"/>
          </w:tcPr>
          <w:p w14:paraId="039043D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10.9</w:t>
            </w:r>
          </w:p>
        </w:tc>
        <w:tc>
          <w:tcPr>
            <w:tcW w:w="0" w:type="auto"/>
            <w:tcBorders>
              <w:top w:val="nil"/>
              <w:left w:val="nil"/>
              <w:bottom w:val="single" w:color="auto" w:sz="4" w:space="0"/>
              <w:right w:val="single" w:color="auto" w:sz="4" w:space="0"/>
            </w:tcBorders>
            <w:vAlign w:val="center"/>
          </w:tcPr>
          <w:p w14:paraId="50873DC9">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6F5A281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洞上河</w:t>
            </w:r>
          </w:p>
        </w:tc>
        <w:tc>
          <w:tcPr>
            <w:tcW w:w="0" w:type="auto"/>
            <w:tcBorders>
              <w:top w:val="nil"/>
              <w:left w:val="nil"/>
              <w:bottom w:val="single" w:color="auto" w:sz="4" w:space="0"/>
              <w:right w:val="single" w:color="auto" w:sz="4" w:space="0"/>
            </w:tcBorders>
            <w:vAlign w:val="center"/>
          </w:tcPr>
          <w:p w14:paraId="70C05BD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1E90E39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778A5A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5BCDB9F3">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6EED490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46</w:t>
            </w:r>
          </w:p>
        </w:tc>
        <w:tc>
          <w:tcPr>
            <w:tcW w:w="1720" w:type="dxa"/>
            <w:tcBorders>
              <w:top w:val="nil"/>
              <w:left w:val="nil"/>
              <w:bottom w:val="single" w:color="auto" w:sz="4" w:space="0"/>
              <w:right w:val="single" w:color="auto" w:sz="4" w:space="0"/>
            </w:tcBorders>
            <w:vAlign w:val="center"/>
          </w:tcPr>
          <w:p w14:paraId="20168B2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西门河富源开发利用区</w:t>
            </w:r>
          </w:p>
        </w:tc>
        <w:tc>
          <w:tcPr>
            <w:tcW w:w="2605" w:type="dxa"/>
            <w:tcBorders>
              <w:top w:val="nil"/>
              <w:left w:val="nil"/>
              <w:bottom w:val="single" w:color="auto" w:sz="4" w:space="0"/>
              <w:right w:val="single" w:color="auto" w:sz="4" w:space="0"/>
            </w:tcBorders>
            <w:vAlign w:val="center"/>
          </w:tcPr>
          <w:p w14:paraId="1BE4038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西门河富源景观、农业用水区</w:t>
            </w:r>
          </w:p>
        </w:tc>
        <w:tc>
          <w:tcPr>
            <w:tcW w:w="691" w:type="dxa"/>
            <w:tcBorders>
              <w:top w:val="nil"/>
              <w:left w:val="nil"/>
              <w:bottom w:val="single" w:color="auto" w:sz="4" w:space="0"/>
              <w:right w:val="single" w:color="auto" w:sz="4" w:space="0"/>
            </w:tcBorders>
            <w:vAlign w:val="center"/>
          </w:tcPr>
          <w:p w14:paraId="1566F3C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西门河</w:t>
            </w:r>
          </w:p>
        </w:tc>
        <w:tc>
          <w:tcPr>
            <w:tcW w:w="897" w:type="dxa"/>
            <w:tcBorders>
              <w:top w:val="nil"/>
              <w:left w:val="nil"/>
              <w:bottom w:val="single" w:color="auto" w:sz="4" w:space="0"/>
              <w:right w:val="single" w:color="auto" w:sz="4" w:space="0"/>
            </w:tcBorders>
            <w:vAlign w:val="center"/>
          </w:tcPr>
          <w:p w14:paraId="29A4096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150A10B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E2FCA7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入黄泥河口</w:t>
            </w:r>
          </w:p>
        </w:tc>
        <w:tc>
          <w:tcPr>
            <w:tcW w:w="0" w:type="auto"/>
            <w:tcBorders>
              <w:top w:val="nil"/>
              <w:left w:val="nil"/>
              <w:bottom w:val="single" w:color="auto" w:sz="4" w:space="0"/>
              <w:right w:val="single" w:color="auto" w:sz="4" w:space="0"/>
            </w:tcBorders>
            <w:vAlign w:val="center"/>
          </w:tcPr>
          <w:p w14:paraId="4A781C5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10.9</w:t>
            </w:r>
          </w:p>
        </w:tc>
        <w:tc>
          <w:tcPr>
            <w:tcW w:w="0" w:type="auto"/>
            <w:tcBorders>
              <w:top w:val="nil"/>
              <w:left w:val="nil"/>
              <w:bottom w:val="single" w:color="auto" w:sz="4" w:space="0"/>
              <w:right w:val="single" w:color="auto" w:sz="4" w:space="0"/>
            </w:tcBorders>
            <w:vAlign w:val="center"/>
          </w:tcPr>
          <w:p w14:paraId="7CE403E7">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5276AE0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西门河</w:t>
            </w:r>
          </w:p>
        </w:tc>
        <w:tc>
          <w:tcPr>
            <w:tcW w:w="0" w:type="auto"/>
            <w:tcBorders>
              <w:top w:val="nil"/>
              <w:left w:val="nil"/>
              <w:bottom w:val="single" w:color="auto" w:sz="4" w:space="0"/>
              <w:right w:val="single" w:color="auto" w:sz="4" w:space="0"/>
            </w:tcBorders>
            <w:vAlign w:val="center"/>
          </w:tcPr>
          <w:p w14:paraId="2DFE243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09C0599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333A39F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0EB93A74">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7E63929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47</w:t>
            </w:r>
          </w:p>
        </w:tc>
        <w:tc>
          <w:tcPr>
            <w:tcW w:w="1720" w:type="dxa"/>
            <w:tcBorders>
              <w:top w:val="nil"/>
              <w:left w:val="nil"/>
              <w:bottom w:val="single" w:color="auto" w:sz="4" w:space="0"/>
              <w:right w:val="single" w:color="auto" w:sz="4" w:space="0"/>
            </w:tcBorders>
            <w:vAlign w:val="center"/>
          </w:tcPr>
          <w:p w14:paraId="4CFB999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补木河富源保留区</w:t>
            </w:r>
          </w:p>
        </w:tc>
        <w:tc>
          <w:tcPr>
            <w:tcW w:w="2605" w:type="dxa"/>
            <w:tcBorders>
              <w:top w:val="nil"/>
              <w:left w:val="nil"/>
              <w:bottom w:val="single" w:color="auto" w:sz="4" w:space="0"/>
              <w:right w:val="single" w:color="auto" w:sz="4" w:space="0"/>
            </w:tcBorders>
            <w:vAlign w:val="center"/>
          </w:tcPr>
          <w:p w14:paraId="6B406E67">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21D84DD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补木河</w:t>
            </w:r>
          </w:p>
        </w:tc>
        <w:tc>
          <w:tcPr>
            <w:tcW w:w="897" w:type="dxa"/>
            <w:tcBorders>
              <w:top w:val="nil"/>
              <w:left w:val="nil"/>
              <w:bottom w:val="single" w:color="auto" w:sz="4" w:space="0"/>
              <w:right w:val="single" w:color="auto" w:sz="4" w:space="0"/>
            </w:tcBorders>
            <w:vAlign w:val="center"/>
          </w:tcPr>
          <w:p w14:paraId="02301F9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0B385A1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0BE5F33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入黄泥河口</w:t>
            </w:r>
          </w:p>
        </w:tc>
        <w:tc>
          <w:tcPr>
            <w:tcW w:w="0" w:type="auto"/>
            <w:tcBorders>
              <w:top w:val="nil"/>
              <w:left w:val="nil"/>
              <w:bottom w:val="single" w:color="auto" w:sz="4" w:space="0"/>
              <w:right w:val="single" w:color="auto" w:sz="4" w:space="0"/>
            </w:tcBorders>
            <w:vAlign w:val="center"/>
          </w:tcPr>
          <w:p w14:paraId="0FB045F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40</w:t>
            </w:r>
          </w:p>
        </w:tc>
        <w:tc>
          <w:tcPr>
            <w:tcW w:w="0" w:type="auto"/>
            <w:tcBorders>
              <w:top w:val="nil"/>
              <w:left w:val="nil"/>
              <w:bottom w:val="single" w:color="auto" w:sz="4" w:space="0"/>
              <w:right w:val="single" w:color="auto" w:sz="4" w:space="0"/>
            </w:tcBorders>
            <w:vAlign w:val="center"/>
          </w:tcPr>
          <w:p w14:paraId="7877BEE9">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24E3E8D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补木河</w:t>
            </w:r>
          </w:p>
        </w:tc>
        <w:tc>
          <w:tcPr>
            <w:tcW w:w="0" w:type="auto"/>
            <w:tcBorders>
              <w:top w:val="nil"/>
              <w:left w:val="nil"/>
              <w:bottom w:val="single" w:color="auto" w:sz="4" w:space="0"/>
              <w:right w:val="single" w:color="auto" w:sz="4" w:space="0"/>
            </w:tcBorders>
            <w:vAlign w:val="center"/>
          </w:tcPr>
          <w:p w14:paraId="5667F45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6D1599F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0BFF22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4B33DC36">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730432D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48</w:t>
            </w:r>
          </w:p>
        </w:tc>
        <w:tc>
          <w:tcPr>
            <w:tcW w:w="1720" w:type="dxa"/>
            <w:tcBorders>
              <w:top w:val="nil"/>
              <w:left w:val="nil"/>
              <w:bottom w:val="single" w:color="auto" w:sz="4" w:space="0"/>
              <w:right w:val="single" w:color="auto" w:sz="4" w:space="0"/>
            </w:tcBorders>
            <w:vAlign w:val="center"/>
          </w:tcPr>
          <w:p w14:paraId="031FD6A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础娜河罗平保留区</w:t>
            </w:r>
          </w:p>
        </w:tc>
        <w:tc>
          <w:tcPr>
            <w:tcW w:w="2605" w:type="dxa"/>
            <w:tcBorders>
              <w:top w:val="nil"/>
              <w:left w:val="nil"/>
              <w:bottom w:val="single" w:color="auto" w:sz="4" w:space="0"/>
              <w:right w:val="single" w:color="auto" w:sz="4" w:space="0"/>
            </w:tcBorders>
            <w:vAlign w:val="center"/>
          </w:tcPr>
          <w:p w14:paraId="777B5986">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5226701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础娜河</w:t>
            </w:r>
          </w:p>
        </w:tc>
        <w:tc>
          <w:tcPr>
            <w:tcW w:w="897" w:type="dxa"/>
            <w:tcBorders>
              <w:top w:val="nil"/>
              <w:left w:val="nil"/>
              <w:bottom w:val="single" w:color="auto" w:sz="4" w:space="0"/>
              <w:right w:val="single" w:color="auto" w:sz="4" w:space="0"/>
            </w:tcBorders>
            <w:vAlign w:val="center"/>
          </w:tcPr>
          <w:p w14:paraId="27A7811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6011366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0F61442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入黄泥河口</w:t>
            </w:r>
          </w:p>
        </w:tc>
        <w:tc>
          <w:tcPr>
            <w:tcW w:w="0" w:type="auto"/>
            <w:tcBorders>
              <w:top w:val="nil"/>
              <w:left w:val="nil"/>
              <w:bottom w:val="single" w:color="auto" w:sz="4" w:space="0"/>
              <w:right w:val="single" w:color="auto" w:sz="4" w:space="0"/>
            </w:tcBorders>
            <w:vAlign w:val="center"/>
          </w:tcPr>
          <w:p w14:paraId="2181004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31.2</w:t>
            </w:r>
          </w:p>
        </w:tc>
        <w:tc>
          <w:tcPr>
            <w:tcW w:w="0" w:type="auto"/>
            <w:tcBorders>
              <w:top w:val="nil"/>
              <w:left w:val="nil"/>
              <w:bottom w:val="single" w:color="auto" w:sz="4" w:space="0"/>
              <w:right w:val="single" w:color="auto" w:sz="4" w:space="0"/>
            </w:tcBorders>
            <w:vAlign w:val="center"/>
          </w:tcPr>
          <w:p w14:paraId="6CF4C21D">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04C7CB5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础娜河</w:t>
            </w:r>
          </w:p>
        </w:tc>
        <w:tc>
          <w:tcPr>
            <w:tcW w:w="0" w:type="auto"/>
            <w:tcBorders>
              <w:top w:val="nil"/>
              <w:left w:val="nil"/>
              <w:bottom w:val="single" w:color="auto" w:sz="4" w:space="0"/>
              <w:right w:val="single" w:color="auto" w:sz="4" w:space="0"/>
            </w:tcBorders>
            <w:vAlign w:val="center"/>
          </w:tcPr>
          <w:p w14:paraId="7FCFDB2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6416991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51FBFD5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138AAEB8">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1F93CE0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49</w:t>
            </w:r>
          </w:p>
        </w:tc>
        <w:tc>
          <w:tcPr>
            <w:tcW w:w="1720" w:type="dxa"/>
            <w:tcBorders>
              <w:top w:val="nil"/>
              <w:left w:val="nil"/>
              <w:bottom w:val="single" w:color="auto" w:sz="4" w:space="0"/>
              <w:right w:val="single" w:color="auto" w:sz="4" w:space="0"/>
            </w:tcBorders>
            <w:vAlign w:val="center"/>
          </w:tcPr>
          <w:p w14:paraId="04537DD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九龙河富源-麒麟源头水保护区</w:t>
            </w:r>
          </w:p>
        </w:tc>
        <w:tc>
          <w:tcPr>
            <w:tcW w:w="2605" w:type="dxa"/>
            <w:tcBorders>
              <w:top w:val="nil"/>
              <w:left w:val="nil"/>
              <w:bottom w:val="single" w:color="auto" w:sz="4" w:space="0"/>
              <w:right w:val="single" w:color="auto" w:sz="4" w:space="0"/>
            </w:tcBorders>
            <w:vAlign w:val="center"/>
          </w:tcPr>
          <w:p w14:paraId="120E9943">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551A6D1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九龙河</w:t>
            </w:r>
          </w:p>
        </w:tc>
        <w:tc>
          <w:tcPr>
            <w:tcW w:w="897" w:type="dxa"/>
            <w:tcBorders>
              <w:top w:val="nil"/>
              <w:left w:val="nil"/>
              <w:bottom w:val="single" w:color="auto" w:sz="4" w:space="0"/>
              <w:right w:val="single" w:color="auto" w:sz="4" w:space="0"/>
            </w:tcBorders>
            <w:vAlign w:val="center"/>
          </w:tcPr>
          <w:p w14:paraId="71D8E03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富源-麒麟段</w:t>
            </w:r>
          </w:p>
        </w:tc>
        <w:tc>
          <w:tcPr>
            <w:tcW w:w="0" w:type="auto"/>
            <w:tcBorders>
              <w:top w:val="nil"/>
              <w:left w:val="nil"/>
              <w:bottom w:val="single" w:color="auto" w:sz="4" w:space="0"/>
              <w:right w:val="single" w:color="auto" w:sz="4" w:space="0"/>
            </w:tcBorders>
            <w:vAlign w:val="center"/>
          </w:tcPr>
          <w:p w14:paraId="281E0F9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244918D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独木水库坝址</w:t>
            </w:r>
          </w:p>
        </w:tc>
        <w:tc>
          <w:tcPr>
            <w:tcW w:w="0" w:type="auto"/>
            <w:tcBorders>
              <w:top w:val="nil"/>
              <w:left w:val="nil"/>
              <w:bottom w:val="single" w:color="auto" w:sz="4" w:space="0"/>
              <w:right w:val="single" w:color="auto" w:sz="4" w:space="0"/>
            </w:tcBorders>
            <w:vAlign w:val="center"/>
          </w:tcPr>
          <w:p w14:paraId="234B4CD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22.4</w:t>
            </w:r>
          </w:p>
        </w:tc>
        <w:tc>
          <w:tcPr>
            <w:tcW w:w="0" w:type="auto"/>
            <w:tcBorders>
              <w:top w:val="nil"/>
              <w:left w:val="nil"/>
              <w:bottom w:val="single" w:color="auto" w:sz="4" w:space="0"/>
              <w:right w:val="single" w:color="auto" w:sz="4" w:space="0"/>
            </w:tcBorders>
            <w:vAlign w:val="center"/>
          </w:tcPr>
          <w:p w14:paraId="1ACFD8A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10</w:t>
            </w:r>
          </w:p>
        </w:tc>
        <w:tc>
          <w:tcPr>
            <w:tcW w:w="0" w:type="auto"/>
            <w:tcBorders>
              <w:top w:val="nil"/>
              <w:left w:val="nil"/>
              <w:bottom w:val="single" w:color="auto" w:sz="4" w:space="0"/>
              <w:right w:val="single" w:color="auto" w:sz="4" w:space="0"/>
            </w:tcBorders>
            <w:vAlign w:val="center"/>
          </w:tcPr>
          <w:p w14:paraId="32B764D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独木水库</w:t>
            </w:r>
          </w:p>
        </w:tc>
        <w:tc>
          <w:tcPr>
            <w:tcW w:w="0" w:type="auto"/>
            <w:tcBorders>
              <w:top w:val="nil"/>
              <w:left w:val="nil"/>
              <w:bottom w:val="single" w:color="auto" w:sz="4" w:space="0"/>
              <w:right w:val="single" w:color="auto" w:sz="4" w:space="0"/>
            </w:tcBorders>
            <w:vAlign w:val="center"/>
          </w:tcPr>
          <w:p w14:paraId="40A58F8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2A8144E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C3D379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20CB686B">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4A5D7CE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50</w:t>
            </w:r>
          </w:p>
        </w:tc>
        <w:tc>
          <w:tcPr>
            <w:tcW w:w="1720" w:type="dxa"/>
            <w:tcBorders>
              <w:top w:val="nil"/>
              <w:left w:val="nil"/>
              <w:bottom w:val="single" w:color="auto" w:sz="4" w:space="0"/>
              <w:right w:val="single" w:color="auto" w:sz="4" w:space="0"/>
            </w:tcBorders>
            <w:vAlign w:val="center"/>
          </w:tcPr>
          <w:p w14:paraId="7F8E266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九龙河麒麟-罗平保留区</w:t>
            </w:r>
          </w:p>
        </w:tc>
        <w:tc>
          <w:tcPr>
            <w:tcW w:w="2605" w:type="dxa"/>
            <w:tcBorders>
              <w:top w:val="nil"/>
              <w:left w:val="nil"/>
              <w:bottom w:val="single" w:color="auto" w:sz="4" w:space="0"/>
              <w:right w:val="single" w:color="auto" w:sz="4" w:space="0"/>
            </w:tcBorders>
            <w:vAlign w:val="center"/>
          </w:tcPr>
          <w:p w14:paraId="0B650263">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3D193AE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九龙河</w:t>
            </w:r>
          </w:p>
        </w:tc>
        <w:tc>
          <w:tcPr>
            <w:tcW w:w="897" w:type="dxa"/>
            <w:tcBorders>
              <w:top w:val="nil"/>
              <w:left w:val="nil"/>
              <w:bottom w:val="single" w:color="auto" w:sz="4" w:space="0"/>
              <w:right w:val="single" w:color="auto" w:sz="4" w:space="0"/>
            </w:tcBorders>
            <w:vAlign w:val="center"/>
          </w:tcPr>
          <w:p w14:paraId="0BF5667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麒麟-罗平段</w:t>
            </w:r>
          </w:p>
        </w:tc>
        <w:tc>
          <w:tcPr>
            <w:tcW w:w="0" w:type="auto"/>
            <w:tcBorders>
              <w:top w:val="nil"/>
              <w:left w:val="nil"/>
              <w:bottom w:val="single" w:color="auto" w:sz="4" w:space="0"/>
              <w:right w:val="single" w:color="auto" w:sz="4" w:space="0"/>
            </w:tcBorders>
            <w:vAlign w:val="center"/>
          </w:tcPr>
          <w:p w14:paraId="6068C60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独木水库坝址</w:t>
            </w:r>
          </w:p>
        </w:tc>
        <w:tc>
          <w:tcPr>
            <w:tcW w:w="0" w:type="auto"/>
            <w:tcBorders>
              <w:top w:val="nil"/>
              <w:left w:val="nil"/>
              <w:bottom w:val="single" w:color="auto" w:sz="4" w:space="0"/>
              <w:right w:val="single" w:color="auto" w:sz="4" w:space="0"/>
            </w:tcBorders>
            <w:vAlign w:val="center"/>
          </w:tcPr>
          <w:p w14:paraId="2E831DB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入黄泥河口</w:t>
            </w:r>
          </w:p>
        </w:tc>
        <w:tc>
          <w:tcPr>
            <w:tcW w:w="0" w:type="auto"/>
            <w:tcBorders>
              <w:top w:val="nil"/>
              <w:left w:val="nil"/>
              <w:bottom w:val="single" w:color="auto" w:sz="4" w:space="0"/>
              <w:right w:val="single" w:color="auto" w:sz="4" w:space="0"/>
            </w:tcBorders>
            <w:vAlign w:val="center"/>
          </w:tcPr>
          <w:p w14:paraId="7716ECE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146</w:t>
            </w:r>
          </w:p>
        </w:tc>
        <w:tc>
          <w:tcPr>
            <w:tcW w:w="0" w:type="auto"/>
            <w:tcBorders>
              <w:top w:val="nil"/>
              <w:left w:val="nil"/>
              <w:bottom w:val="single" w:color="auto" w:sz="4" w:space="0"/>
              <w:right w:val="single" w:color="auto" w:sz="4" w:space="0"/>
            </w:tcBorders>
            <w:vAlign w:val="center"/>
          </w:tcPr>
          <w:p w14:paraId="458A9549">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708DDCA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他谷</w:t>
            </w:r>
          </w:p>
        </w:tc>
        <w:tc>
          <w:tcPr>
            <w:tcW w:w="0" w:type="auto"/>
            <w:tcBorders>
              <w:top w:val="nil"/>
              <w:left w:val="nil"/>
              <w:bottom w:val="single" w:color="auto" w:sz="4" w:space="0"/>
              <w:right w:val="single" w:color="auto" w:sz="4" w:space="0"/>
            </w:tcBorders>
            <w:vAlign w:val="center"/>
          </w:tcPr>
          <w:p w14:paraId="0D57937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3C031A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2F3F0C6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7BBD9C80">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36718FA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51</w:t>
            </w:r>
          </w:p>
        </w:tc>
        <w:tc>
          <w:tcPr>
            <w:tcW w:w="1720" w:type="dxa"/>
            <w:tcBorders>
              <w:top w:val="nil"/>
              <w:left w:val="nil"/>
              <w:bottom w:val="single" w:color="auto" w:sz="4" w:space="0"/>
              <w:right w:val="single" w:color="auto" w:sz="4" w:space="0"/>
            </w:tcBorders>
            <w:vAlign w:val="center"/>
          </w:tcPr>
          <w:p w14:paraId="3DA1287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龙王庙水库保护区</w:t>
            </w:r>
          </w:p>
        </w:tc>
        <w:tc>
          <w:tcPr>
            <w:tcW w:w="2605" w:type="dxa"/>
            <w:tcBorders>
              <w:top w:val="nil"/>
              <w:left w:val="nil"/>
              <w:bottom w:val="single" w:color="auto" w:sz="4" w:space="0"/>
              <w:right w:val="single" w:color="auto" w:sz="4" w:space="0"/>
            </w:tcBorders>
            <w:vAlign w:val="center"/>
          </w:tcPr>
          <w:p w14:paraId="6A9AA13E">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4928A7F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九龙河</w:t>
            </w:r>
          </w:p>
        </w:tc>
        <w:tc>
          <w:tcPr>
            <w:tcW w:w="897" w:type="dxa"/>
            <w:tcBorders>
              <w:top w:val="nil"/>
              <w:left w:val="nil"/>
              <w:bottom w:val="single" w:color="auto" w:sz="4" w:space="0"/>
              <w:right w:val="single" w:color="auto" w:sz="4" w:space="0"/>
            </w:tcBorders>
            <w:vAlign w:val="center"/>
          </w:tcPr>
          <w:p w14:paraId="37C0331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全库</w:t>
            </w:r>
          </w:p>
        </w:tc>
        <w:tc>
          <w:tcPr>
            <w:tcW w:w="0" w:type="auto"/>
            <w:tcBorders>
              <w:top w:val="nil"/>
              <w:left w:val="nil"/>
              <w:bottom w:val="single" w:color="auto" w:sz="4" w:space="0"/>
              <w:right w:val="single" w:color="auto" w:sz="4" w:space="0"/>
            </w:tcBorders>
            <w:vAlign w:val="center"/>
          </w:tcPr>
          <w:p w14:paraId="63744E4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库区起始</w:t>
            </w:r>
          </w:p>
        </w:tc>
        <w:tc>
          <w:tcPr>
            <w:tcW w:w="0" w:type="auto"/>
            <w:tcBorders>
              <w:top w:val="nil"/>
              <w:left w:val="nil"/>
              <w:bottom w:val="single" w:color="auto" w:sz="4" w:space="0"/>
              <w:right w:val="single" w:color="auto" w:sz="4" w:space="0"/>
            </w:tcBorders>
            <w:vAlign w:val="center"/>
          </w:tcPr>
          <w:p w14:paraId="7FEB9C4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水库坝址</w:t>
            </w:r>
          </w:p>
        </w:tc>
        <w:tc>
          <w:tcPr>
            <w:tcW w:w="0" w:type="auto"/>
            <w:tcBorders>
              <w:top w:val="nil"/>
              <w:left w:val="nil"/>
              <w:bottom w:val="single" w:color="auto" w:sz="4" w:space="0"/>
              <w:right w:val="single" w:color="auto" w:sz="4" w:space="0"/>
            </w:tcBorders>
            <w:vAlign w:val="center"/>
          </w:tcPr>
          <w:p w14:paraId="0CD67F19">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1BD6A3F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0.62</w:t>
            </w:r>
          </w:p>
        </w:tc>
        <w:tc>
          <w:tcPr>
            <w:tcW w:w="0" w:type="auto"/>
            <w:tcBorders>
              <w:top w:val="nil"/>
              <w:left w:val="nil"/>
              <w:bottom w:val="single" w:color="auto" w:sz="4" w:space="0"/>
              <w:right w:val="single" w:color="auto" w:sz="4" w:space="0"/>
            </w:tcBorders>
            <w:vAlign w:val="center"/>
          </w:tcPr>
          <w:p w14:paraId="145C47C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龙王庙水库</w:t>
            </w:r>
          </w:p>
        </w:tc>
        <w:tc>
          <w:tcPr>
            <w:tcW w:w="0" w:type="auto"/>
            <w:tcBorders>
              <w:top w:val="nil"/>
              <w:left w:val="nil"/>
              <w:bottom w:val="single" w:color="auto" w:sz="4" w:space="0"/>
              <w:right w:val="single" w:color="auto" w:sz="4" w:space="0"/>
            </w:tcBorders>
            <w:vAlign w:val="center"/>
          </w:tcPr>
          <w:p w14:paraId="333AF82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IV</w:t>
            </w:r>
          </w:p>
        </w:tc>
        <w:tc>
          <w:tcPr>
            <w:tcW w:w="0" w:type="auto"/>
            <w:tcBorders>
              <w:top w:val="nil"/>
              <w:left w:val="nil"/>
              <w:bottom w:val="single" w:color="auto" w:sz="4" w:space="0"/>
              <w:right w:val="single" w:color="auto" w:sz="4" w:space="0"/>
            </w:tcBorders>
            <w:vAlign w:val="center"/>
          </w:tcPr>
          <w:p w14:paraId="784F065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0AB2784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2193246E">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3429D0B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52</w:t>
            </w:r>
          </w:p>
        </w:tc>
        <w:tc>
          <w:tcPr>
            <w:tcW w:w="1720" w:type="dxa"/>
            <w:tcBorders>
              <w:top w:val="nil"/>
              <w:left w:val="nil"/>
              <w:bottom w:val="single" w:color="auto" w:sz="4" w:space="0"/>
              <w:right w:val="single" w:color="auto" w:sz="4" w:space="0"/>
            </w:tcBorders>
            <w:vAlign w:val="center"/>
          </w:tcPr>
          <w:p w14:paraId="4339AE6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丕德河富源保留区</w:t>
            </w:r>
          </w:p>
        </w:tc>
        <w:tc>
          <w:tcPr>
            <w:tcW w:w="2605" w:type="dxa"/>
            <w:tcBorders>
              <w:top w:val="nil"/>
              <w:left w:val="nil"/>
              <w:bottom w:val="single" w:color="auto" w:sz="4" w:space="0"/>
              <w:right w:val="single" w:color="auto" w:sz="4" w:space="0"/>
            </w:tcBorders>
            <w:vAlign w:val="center"/>
          </w:tcPr>
          <w:p w14:paraId="16E4E47D">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661E49E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丕德河</w:t>
            </w:r>
          </w:p>
        </w:tc>
        <w:tc>
          <w:tcPr>
            <w:tcW w:w="897" w:type="dxa"/>
            <w:tcBorders>
              <w:top w:val="nil"/>
              <w:left w:val="nil"/>
              <w:bottom w:val="single" w:color="auto" w:sz="4" w:space="0"/>
              <w:right w:val="single" w:color="auto" w:sz="4" w:space="0"/>
            </w:tcBorders>
            <w:vAlign w:val="center"/>
          </w:tcPr>
          <w:p w14:paraId="330703F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2F3089D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7424551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入黄泥河</w:t>
            </w:r>
          </w:p>
        </w:tc>
        <w:tc>
          <w:tcPr>
            <w:tcW w:w="0" w:type="auto"/>
            <w:tcBorders>
              <w:top w:val="nil"/>
              <w:left w:val="nil"/>
              <w:bottom w:val="single" w:color="auto" w:sz="4" w:space="0"/>
              <w:right w:val="single" w:color="auto" w:sz="4" w:space="0"/>
            </w:tcBorders>
            <w:vAlign w:val="center"/>
          </w:tcPr>
          <w:p w14:paraId="30E153B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16.3</w:t>
            </w:r>
          </w:p>
        </w:tc>
        <w:tc>
          <w:tcPr>
            <w:tcW w:w="0" w:type="auto"/>
            <w:tcBorders>
              <w:top w:val="nil"/>
              <w:left w:val="nil"/>
              <w:bottom w:val="single" w:color="auto" w:sz="4" w:space="0"/>
              <w:right w:val="single" w:color="auto" w:sz="4" w:space="0"/>
            </w:tcBorders>
            <w:vAlign w:val="center"/>
          </w:tcPr>
          <w:p w14:paraId="4F552670">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10B06EC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丕德河</w:t>
            </w:r>
          </w:p>
        </w:tc>
        <w:tc>
          <w:tcPr>
            <w:tcW w:w="0" w:type="auto"/>
            <w:tcBorders>
              <w:top w:val="nil"/>
              <w:left w:val="nil"/>
              <w:bottom w:val="single" w:color="auto" w:sz="4" w:space="0"/>
              <w:right w:val="single" w:color="auto" w:sz="4" w:space="0"/>
            </w:tcBorders>
            <w:vAlign w:val="center"/>
          </w:tcPr>
          <w:p w14:paraId="5B979FB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62D60E6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48F2B19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1B70C601">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24E9432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53</w:t>
            </w:r>
          </w:p>
        </w:tc>
        <w:tc>
          <w:tcPr>
            <w:tcW w:w="1720" w:type="dxa"/>
            <w:tcBorders>
              <w:top w:val="nil"/>
              <w:left w:val="nil"/>
              <w:bottom w:val="single" w:color="auto" w:sz="4" w:space="0"/>
              <w:right w:val="single" w:color="auto" w:sz="4" w:space="0"/>
            </w:tcBorders>
            <w:vAlign w:val="center"/>
          </w:tcPr>
          <w:p w14:paraId="23C171E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岔河富源保留区</w:t>
            </w:r>
          </w:p>
        </w:tc>
        <w:tc>
          <w:tcPr>
            <w:tcW w:w="2605" w:type="dxa"/>
            <w:tcBorders>
              <w:top w:val="nil"/>
              <w:left w:val="nil"/>
              <w:bottom w:val="single" w:color="auto" w:sz="4" w:space="0"/>
              <w:right w:val="single" w:color="auto" w:sz="4" w:space="0"/>
            </w:tcBorders>
            <w:vAlign w:val="center"/>
          </w:tcPr>
          <w:p w14:paraId="4F3A8840">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1389CBF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岔河</w:t>
            </w:r>
          </w:p>
        </w:tc>
        <w:tc>
          <w:tcPr>
            <w:tcW w:w="897" w:type="dxa"/>
            <w:tcBorders>
              <w:top w:val="nil"/>
              <w:left w:val="nil"/>
              <w:bottom w:val="single" w:color="auto" w:sz="4" w:space="0"/>
              <w:right w:val="single" w:color="auto" w:sz="4" w:space="0"/>
            </w:tcBorders>
            <w:vAlign w:val="center"/>
          </w:tcPr>
          <w:p w14:paraId="28630FA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7B5C981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2A429D9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入黄泥河</w:t>
            </w:r>
          </w:p>
        </w:tc>
        <w:tc>
          <w:tcPr>
            <w:tcW w:w="0" w:type="auto"/>
            <w:tcBorders>
              <w:top w:val="nil"/>
              <w:left w:val="nil"/>
              <w:bottom w:val="single" w:color="auto" w:sz="4" w:space="0"/>
              <w:right w:val="single" w:color="auto" w:sz="4" w:space="0"/>
            </w:tcBorders>
            <w:vAlign w:val="center"/>
          </w:tcPr>
          <w:p w14:paraId="58A391F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10</w:t>
            </w:r>
          </w:p>
        </w:tc>
        <w:tc>
          <w:tcPr>
            <w:tcW w:w="0" w:type="auto"/>
            <w:tcBorders>
              <w:top w:val="nil"/>
              <w:left w:val="nil"/>
              <w:bottom w:val="single" w:color="auto" w:sz="4" w:space="0"/>
              <w:right w:val="single" w:color="auto" w:sz="4" w:space="0"/>
            </w:tcBorders>
            <w:vAlign w:val="center"/>
          </w:tcPr>
          <w:p w14:paraId="1623F68B">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7CB5FA5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岔河</w:t>
            </w:r>
          </w:p>
        </w:tc>
        <w:tc>
          <w:tcPr>
            <w:tcW w:w="0" w:type="auto"/>
            <w:tcBorders>
              <w:top w:val="nil"/>
              <w:left w:val="nil"/>
              <w:bottom w:val="single" w:color="auto" w:sz="4" w:space="0"/>
              <w:right w:val="single" w:color="auto" w:sz="4" w:space="0"/>
            </w:tcBorders>
            <w:vAlign w:val="center"/>
          </w:tcPr>
          <w:p w14:paraId="6C522FF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280674C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1ABB386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r w14:paraId="58BDA19A">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5068D95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54</w:t>
            </w:r>
          </w:p>
        </w:tc>
        <w:tc>
          <w:tcPr>
            <w:tcW w:w="1720" w:type="dxa"/>
            <w:tcBorders>
              <w:top w:val="nil"/>
              <w:left w:val="nil"/>
              <w:bottom w:val="single" w:color="auto" w:sz="4" w:space="0"/>
              <w:right w:val="single" w:color="auto" w:sz="4" w:space="0"/>
            </w:tcBorders>
            <w:vAlign w:val="center"/>
          </w:tcPr>
          <w:p w14:paraId="6167F68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小黄泥河滇黔缓冲区</w:t>
            </w:r>
          </w:p>
        </w:tc>
        <w:tc>
          <w:tcPr>
            <w:tcW w:w="2605" w:type="dxa"/>
            <w:tcBorders>
              <w:top w:val="nil"/>
              <w:left w:val="nil"/>
              <w:bottom w:val="single" w:color="auto" w:sz="4" w:space="0"/>
              <w:right w:val="single" w:color="auto" w:sz="4" w:space="0"/>
            </w:tcBorders>
            <w:vAlign w:val="center"/>
          </w:tcPr>
          <w:p w14:paraId="6C68FA18">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124F6A4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小黄泥河</w:t>
            </w:r>
          </w:p>
        </w:tc>
        <w:tc>
          <w:tcPr>
            <w:tcW w:w="897" w:type="dxa"/>
            <w:tcBorders>
              <w:top w:val="nil"/>
              <w:left w:val="nil"/>
              <w:bottom w:val="single" w:color="auto" w:sz="4" w:space="0"/>
              <w:right w:val="single" w:color="auto" w:sz="4" w:space="0"/>
            </w:tcBorders>
            <w:vAlign w:val="center"/>
          </w:tcPr>
          <w:p w14:paraId="0BABD2B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59BFC2E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入市境口</w:t>
            </w:r>
          </w:p>
        </w:tc>
        <w:tc>
          <w:tcPr>
            <w:tcW w:w="0" w:type="auto"/>
            <w:tcBorders>
              <w:top w:val="nil"/>
              <w:left w:val="nil"/>
              <w:bottom w:val="single" w:color="auto" w:sz="4" w:space="0"/>
              <w:right w:val="single" w:color="auto" w:sz="4" w:space="0"/>
            </w:tcBorders>
            <w:vAlign w:val="center"/>
          </w:tcPr>
          <w:p w14:paraId="2CA4B42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入黄泥河口</w:t>
            </w:r>
          </w:p>
        </w:tc>
        <w:tc>
          <w:tcPr>
            <w:tcW w:w="0" w:type="auto"/>
            <w:tcBorders>
              <w:top w:val="nil"/>
              <w:left w:val="nil"/>
              <w:bottom w:val="single" w:color="auto" w:sz="4" w:space="0"/>
              <w:right w:val="single" w:color="auto" w:sz="4" w:space="0"/>
            </w:tcBorders>
            <w:vAlign w:val="center"/>
          </w:tcPr>
          <w:p w14:paraId="45A09B7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14</w:t>
            </w:r>
          </w:p>
        </w:tc>
        <w:tc>
          <w:tcPr>
            <w:tcW w:w="0" w:type="auto"/>
            <w:tcBorders>
              <w:top w:val="nil"/>
              <w:left w:val="nil"/>
              <w:bottom w:val="single" w:color="auto" w:sz="4" w:space="0"/>
              <w:right w:val="single" w:color="auto" w:sz="4" w:space="0"/>
            </w:tcBorders>
            <w:vAlign w:val="center"/>
          </w:tcPr>
          <w:p w14:paraId="3D789612">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5621FDB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小黄泥河</w:t>
            </w:r>
          </w:p>
        </w:tc>
        <w:tc>
          <w:tcPr>
            <w:tcW w:w="0" w:type="auto"/>
            <w:tcBorders>
              <w:top w:val="nil"/>
              <w:left w:val="nil"/>
              <w:bottom w:val="single" w:color="auto" w:sz="4" w:space="0"/>
              <w:right w:val="single" w:color="auto" w:sz="4" w:space="0"/>
            </w:tcBorders>
            <w:vAlign w:val="center"/>
          </w:tcPr>
          <w:p w14:paraId="710F32C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6F1B688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0985453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55923411">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vAlign w:val="center"/>
          </w:tcPr>
          <w:p w14:paraId="7DED817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55</w:t>
            </w:r>
          </w:p>
        </w:tc>
        <w:tc>
          <w:tcPr>
            <w:tcW w:w="1720" w:type="dxa"/>
            <w:tcBorders>
              <w:top w:val="nil"/>
              <w:left w:val="nil"/>
              <w:bottom w:val="single" w:color="auto" w:sz="4" w:space="0"/>
              <w:right w:val="single" w:color="auto" w:sz="4" w:space="0"/>
            </w:tcBorders>
            <w:vAlign w:val="center"/>
          </w:tcPr>
          <w:p w14:paraId="1B8D6B8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东门河富源开发利用区</w:t>
            </w:r>
          </w:p>
        </w:tc>
        <w:tc>
          <w:tcPr>
            <w:tcW w:w="2605" w:type="dxa"/>
            <w:tcBorders>
              <w:top w:val="nil"/>
              <w:left w:val="nil"/>
              <w:bottom w:val="single" w:color="auto" w:sz="4" w:space="0"/>
              <w:right w:val="single" w:color="auto" w:sz="4" w:space="0"/>
            </w:tcBorders>
            <w:vAlign w:val="center"/>
          </w:tcPr>
          <w:p w14:paraId="1B621EA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东门河富源景观、农业用水区</w:t>
            </w:r>
          </w:p>
        </w:tc>
        <w:tc>
          <w:tcPr>
            <w:tcW w:w="691" w:type="dxa"/>
            <w:tcBorders>
              <w:top w:val="nil"/>
              <w:left w:val="nil"/>
              <w:bottom w:val="single" w:color="auto" w:sz="4" w:space="0"/>
              <w:right w:val="single" w:color="auto" w:sz="4" w:space="0"/>
            </w:tcBorders>
            <w:vAlign w:val="center"/>
          </w:tcPr>
          <w:p w14:paraId="1E3E26D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东门河</w:t>
            </w:r>
          </w:p>
        </w:tc>
        <w:tc>
          <w:tcPr>
            <w:tcW w:w="897" w:type="dxa"/>
            <w:tcBorders>
              <w:top w:val="nil"/>
              <w:left w:val="nil"/>
              <w:bottom w:val="single" w:color="auto" w:sz="4" w:space="0"/>
              <w:right w:val="single" w:color="auto" w:sz="4" w:space="0"/>
            </w:tcBorders>
            <w:vAlign w:val="center"/>
          </w:tcPr>
          <w:p w14:paraId="5164AE7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1E86EDF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9630C0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入西门河</w:t>
            </w:r>
          </w:p>
        </w:tc>
        <w:tc>
          <w:tcPr>
            <w:tcW w:w="0" w:type="auto"/>
            <w:tcBorders>
              <w:top w:val="nil"/>
              <w:left w:val="nil"/>
              <w:bottom w:val="single" w:color="auto" w:sz="4" w:space="0"/>
              <w:right w:val="single" w:color="auto" w:sz="4" w:space="0"/>
            </w:tcBorders>
            <w:vAlign w:val="center"/>
          </w:tcPr>
          <w:p w14:paraId="27D1E58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10.7</w:t>
            </w:r>
          </w:p>
        </w:tc>
        <w:tc>
          <w:tcPr>
            <w:tcW w:w="0" w:type="auto"/>
            <w:tcBorders>
              <w:top w:val="nil"/>
              <w:left w:val="nil"/>
              <w:bottom w:val="single" w:color="auto" w:sz="4" w:space="0"/>
              <w:right w:val="single" w:color="auto" w:sz="4" w:space="0"/>
            </w:tcBorders>
            <w:vAlign w:val="center"/>
          </w:tcPr>
          <w:p w14:paraId="3A5E41BB">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4D0C81C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东门河</w:t>
            </w:r>
          </w:p>
        </w:tc>
        <w:tc>
          <w:tcPr>
            <w:tcW w:w="0" w:type="auto"/>
            <w:tcBorders>
              <w:top w:val="nil"/>
              <w:left w:val="nil"/>
              <w:bottom w:val="single" w:color="auto" w:sz="4" w:space="0"/>
              <w:right w:val="single" w:color="auto" w:sz="4" w:space="0"/>
            </w:tcBorders>
            <w:vAlign w:val="center"/>
          </w:tcPr>
          <w:p w14:paraId="73DC20E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5EE8690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1511590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6BE6BDAA">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64E4630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56</w:t>
            </w:r>
          </w:p>
        </w:tc>
        <w:tc>
          <w:tcPr>
            <w:tcW w:w="1720" w:type="dxa"/>
            <w:tcBorders>
              <w:top w:val="nil"/>
              <w:left w:val="nil"/>
              <w:bottom w:val="single" w:color="auto" w:sz="4" w:space="0"/>
              <w:right w:val="single" w:color="auto" w:sz="4" w:space="0"/>
            </w:tcBorders>
            <w:vAlign w:val="center"/>
          </w:tcPr>
          <w:p w14:paraId="28B861E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干河罗平保留区</w:t>
            </w:r>
          </w:p>
        </w:tc>
        <w:tc>
          <w:tcPr>
            <w:tcW w:w="2605" w:type="dxa"/>
            <w:tcBorders>
              <w:top w:val="nil"/>
              <w:left w:val="nil"/>
              <w:bottom w:val="single" w:color="auto" w:sz="4" w:space="0"/>
              <w:right w:val="single" w:color="auto" w:sz="4" w:space="0"/>
            </w:tcBorders>
            <w:vAlign w:val="center"/>
          </w:tcPr>
          <w:p w14:paraId="4491C57F">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2752716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干河</w:t>
            </w:r>
          </w:p>
        </w:tc>
        <w:tc>
          <w:tcPr>
            <w:tcW w:w="897" w:type="dxa"/>
            <w:tcBorders>
              <w:top w:val="nil"/>
              <w:left w:val="nil"/>
              <w:bottom w:val="single" w:color="auto" w:sz="4" w:space="0"/>
              <w:right w:val="single" w:color="auto" w:sz="4" w:space="0"/>
            </w:tcBorders>
            <w:vAlign w:val="center"/>
          </w:tcPr>
          <w:p w14:paraId="20D5553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3332B57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B68363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入础娜河</w:t>
            </w:r>
          </w:p>
        </w:tc>
        <w:tc>
          <w:tcPr>
            <w:tcW w:w="0" w:type="auto"/>
            <w:tcBorders>
              <w:top w:val="nil"/>
              <w:left w:val="nil"/>
              <w:bottom w:val="single" w:color="auto" w:sz="4" w:space="0"/>
              <w:right w:val="single" w:color="auto" w:sz="4" w:space="0"/>
            </w:tcBorders>
            <w:vAlign w:val="center"/>
          </w:tcPr>
          <w:p w14:paraId="27F5180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59</w:t>
            </w:r>
          </w:p>
        </w:tc>
        <w:tc>
          <w:tcPr>
            <w:tcW w:w="0" w:type="auto"/>
            <w:tcBorders>
              <w:top w:val="nil"/>
              <w:left w:val="nil"/>
              <w:bottom w:val="single" w:color="auto" w:sz="4" w:space="0"/>
              <w:right w:val="single" w:color="auto" w:sz="4" w:space="0"/>
            </w:tcBorders>
            <w:vAlign w:val="center"/>
          </w:tcPr>
          <w:p w14:paraId="00A8816B">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5B799F6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干河</w:t>
            </w:r>
          </w:p>
        </w:tc>
        <w:tc>
          <w:tcPr>
            <w:tcW w:w="0" w:type="auto"/>
            <w:tcBorders>
              <w:top w:val="nil"/>
              <w:left w:val="nil"/>
              <w:bottom w:val="single" w:color="auto" w:sz="4" w:space="0"/>
              <w:right w:val="single" w:color="auto" w:sz="4" w:space="0"/>
            </w:tcBorders>
            <w:vAlign w:val="center"/>
          </w:tcPr>
          <w:p w14:paraId="63E5928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933355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3C92EEF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0ACC5D44">
        <w:tblPrEx>
          <w:tblCellMar>
            <w:top w:w="0" w:type="dxa"/>
            <w:left w:w="108" w:type="dxa"/>
            <w:bottom w:w="0" w:type="dxa"/>
            <w:right w:w="108" w:type="dxa"/>
          </w:tblCellMar>
        </w:tblPrEx>
        <w:trPr>
          <w:trHeight w:val="408" w:hRule="atLeast"/>
        </w:trPr>
        <w:tc>
          <w:tcPr>
            <w:tcW w:w="0" w:type="auto"/>
            <w:vMerge w:val="restart"/>
            <w:tcBorders>
              <w:top w:val="nil"/>
              <w:left w:val="single" w:color="auto" w:sz="4" w:space="0"/>
              <w:bottom w:val="single" w:color="000000" w:sz="4" w:space="0"/>
              <w:right w:val="single" w:color="auto" w:sz="4" w:space="0"/>
            </w:tcBorders>
            <w:vAlign w:val="center"/>
          </w:tcPr>
          <w:p w14:paraId="0E07229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57</w:t>
            </w:r>
          </w:p>
        </w:tc>
        <w:tc>
          <w:tcPr>
            <w:tcW w:w="1720" w:type="dxa"/>
            <w:tcBorders>
              <w:top w:val="nil"/>
              <w:left w:val="nil"/>
              <w:bottom w:val="single" w:color="auto" w:sz="4" w:space="0"/>
              <w:right w:val="single" w:color="auto" w:sz="4" w:space="0"/>
            </w:tcBorders>
            <w:vAlign w:val="center"/>
          </w:tcPr>
          <w:p w14:paraId="42C6A9D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响水河师宗开发利用区</w:t>
            </w:r>
          </w:p>
        </w:tc>
        <w:tc>
          <w:tcPr>
            <w:tcW w:w="2605" w:type="dxa"/>
            <w:tcBorders>
              <w:top w:val="nil"/>
              <w:left w:val="nil"/>
              <w:bottom w:val="single" w:color="auto" w:sz="4" w:space="0"/>
              <w:right w:val="single" w:color="auto" w:sz="4" w:space="0"/>
            </w:tcBorders>
            <w:vAlign w:val="center"/>
          </w:tcPr>
          <w:p w14:paraId="5A6E4C4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响水河师宗饮用、农业用水区</w:t>
            </w:r>
          </w:p>
        </w:tc>
        <w:tc>
          <w:tcPr>
            <w:tcW w:w="691" w:type="dxa"/>
            <w:tcBorders>
              <w:top w:val="nil"/>
              <w:left w:val="nil"/>
              <w:bottom w:val="single" w:color="auto" w:sz="4" w:space="0"/>
              <w:right w:val="single" w:color="auto" w:sz="4" w:space="0"/>
            </w:tcBorders>
            <w:vAlign w:val="center"/>
          </w:tcPr>
          <w:p w14:paraId="54725D2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w:t>
            </w:r>
          </w:p>
        </w:tc>
        <w:tc>
          <w:tcPr>
            <w:tcW w:w="897" w:type="dxa"/>
            <w:tcBorders>
              <w:top w:val="nil"/>
              <w:left w:val="nil"/>
              <w:bottom w:val="single" w:color="auto" w:sz="4" w:space="0"/>
              <w:right w:val="single" w:color="auto" w:sz="4" w:space="0"/>
            </w:tcBorders>
            <w:vAlign w:val="center"/>
          </w:tcPr>
          <w:p w14:paraId="426D3F1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741A5AF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3220175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溜子田水库坝址</w:t>
            </w:r>
          </w:p>
        </w:tc>
        <w:tc>
          <w:tcPr>
            <w:tcW w:w="0" w:type="auto"/>
            <w:tcBorders>
              <w:top w:val="nil"/>
              <w:left w:val="nil"/>
              <w:bottom w:val="single" w:color="auto" w:sz="4" w:space="0"/>
              <w:right w:val="single" w:color="auto" w:sz="4" w:space="0"/>
            </w:tcBorders>
            <w:vAlign w:val="center"/>
          </w:tcPr>
          <w:p w14:paraId="142B156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20.2</w:t>
            </w:r>
          </w:p>
        </w:tc>
        <w:tc>
          <w:tcPr>
            <w:tcW w:w="0" w:type="auto"/>
            <w:tcBorders>
              <w:top w:val="nil"/>
              <w:left w:val="nil"/>
              <w:bottom w:val="single" w:color="auto" w:sz="4" w:space="0"/>
              <w:right w:val="single" w:color="auto" w:sz="4" w:space="0"/>
            </w:tcBorders>
            <w:vAlign w:val="center"/>
          </w:tcPr>
          <w:p w14:paraId="53E1EDB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0.85</w:t>
            </w:r>
          </w:p>
        </w:tc>
        <w:tc>
          <w:tcPr>
            <w:tcW w:w="0" w:type="auto"/>
            <w:tcBorders>
              <w:top w:val="nil"/>
              <w:left w:val="nil"/>
              <w:bottom w:val="single" w:color="auto" w:sz="4" w:space="0"/>
              <w:right w:val="single" w:color="auto" w:sz="4" w:space="0"/>
            </w:tcBorders>
            <w:vAlign w:val="center"/>
          </w:tcPr>
          <w:p w14:paraId="1D6A17C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溜子田水库</w:t>
            </w:r>
          </w:p>
        </w:tc>
        <w:tc>
          <w:tcPr>
            <w:tcW w:w="0" w:type="auto"/>
            <w:tcBorders>
              <w:top w:val="nil"/>
              <w:left w:val="nil"/>
              <w:bottom w:val="single" w:color="auto" w:sz="4" w:space="0"/>
              <w:right w:val="single" w:color="auto" w:sz="4" w:space="0"/>
            </w:tcBorders>
            <w:vAlign w:val="center"/>
          </w:tcPr>
          <w:p w14:paraId="0A1FA01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7A4C4D1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5C357B6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079372D2">
        <w:tblPrEx>
          <w:tblCellMar>
            <w:top w:w="0" w:type="dxa"/>
            <w:left w:w="108" w:type="dxa"/>
            <w:bottom w:w="0" w:type="dxa"/>
            <w:right w:w="108" w:type="dxa"/>
          </w:tblCellMar>
        </w:tblPrEx>
        <w:trPr>
          <w:trHeight w:val="408" w:hRule="atLeast"/>
        </w:trPr>
        <w:tc>
          <w:tcPr>
            <w:tcW w:w="0" w:type="auto"/>
            <w:vMerge w:val="continue"/>
            <w:tcBorders>
              <w:top w:val="nil"/>
              <w:left w:val="single" w:color="auto" w:sz="4" w:space="0"/>
              <w:bottom w:val="single" w:color="000000" w:sz="4" w:space="0"/>
              <w:right w:val="single" w:color="auto" w:sz="4" w:space="0"/>
            </w:tcBorders>
            <w:vAlign w:val="center"/>
          </w:tcPr>
          <w:p w14:paraId="5D229F51">
            <w:pPr>
              <w:widowControl/>
              <w:spacing w:line="240" w:lineRule="auto"/>
              <w:jc w:val="center"/>
              <w:rPr>
                <w:rFonts w:hint="default" w:ascii="Times New Roman" w:hAnsi="Times New Roman" w:cs="Times New Roman"/>
                <w:color w:val="auto"/>
                <w:kern w:val="0"/>
                <w:sz w:val="21"/>
                <w:szCs w:val="21"/>
                <w:highlight w:val="none"/>
              </w:rPr>
            </w:pPr>
          </w:p>
        </w:tc>
        <w:tc>
          <w:tcPr>
            <w:tcW w:w="1720" w:type="dxa"/>
            <w:tcBorders>
              <w:top w:val="nil"/>
              <w:left w:val="nil"/>
              <w:bottom w:val="single" w:color="auto" w:sz="4" w:space="0"/>
              <w:right w:val="single" w:color="auto" w:sz="4" w:space="0"/>
            </w:tcBorders>
            <w:vAlign w:val="center"/>
          </w:tcPr>
          <w:p w14:paraId="1446C75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响水河师宗开发利用区</w:t>
            </w:r>
          </w:p>
        </w:tc>
        <w:tc>
          <w:tcPr>
            <w:tcW w:w="2605" w:type="dxa"/>
            <w:tcBorders>
              <w:top w:val="nil"/>
              <w:left w:val="nil"/>
              <w:bottom w:val="single" w:color="auto" w:sz="4" w:space="0"/>
              <w:right w:val="single" w:color="auto" w:sz="4" w:space="0"/>
            </w:tcBorders>
            <w:vAlign w:val="center"/>
          </w:tcPr>
          <w:p w14:paraId="7A58F63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响水河师宗景观、农业用水区</w:t>
            </w:r>
          </w:p>
        </w:tc>
        <w:tc>
          <w:tcPr>
            <w:tcW w:w="691" w:type="dxa"/>
            <w:tcBorders>
              <w:top w:val="nil"/>
              <w:left w:val="nil"/>
              <w:bottom w:val="single" w:color="auto" w:sz="4" w:space="0"/>
              <w:right w:val="single" w:color="auto" w:sz="4" w:space="0"/>
            </w:tcBorders>
            <w:vAlign w:val="center"/>
          </w:tcPr>
          <w:p w14:paraId="41EA97F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w:t>
            </w:r>
          </w:p>
        </w:tc>
        <w:tc>
          <w:tcPr>
            <w:tcW w:w="897" w:type="dxa"/>
            <w:tcBorders>
              <w:top w:val="nil"/>
              <w:left w:val="nil"/>
              <w:bottom w:val="single" w:color="auto" w:sz="4" w:space="0"/>
              <w:right w:val="single" w:color="auto" w:sz="4" w:space="0"/>
            </w:tcBorders>
            <w:vAlign w:val="center"/>
          </w:tcPr>
          <w:p w14:paraId="5FD59010">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全河</w:t>
            </w:r>
          </w:p>
        </w:tc>
        <w:tc>
          <w:tcPr>
            <w:tcW w:w="0" w:type="auto"/>
            <w:tcBorders>
              <w:top w:val="nil"/>
              <w:left w:val="nil"/>
              <w:bottom w:val="single" w:color="auto" w:sz="4" w:space="0"/>
              <w:right w:val="single" w:color="auto" w:sz="4" w:space="0"/>
            </w:tcBorders>
            <w:vAlign w:val="center"/>
          </w:tcPr>
          <w:p w14:paraId="1F0496C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溜子田水库坝址</w:t>
            </w:r>
          </w:p>
        </w:tc>
        <w:tc>
          <w:tcPr>
            <w:tcW w:w="0" w:type="auto"/>
            <w:tcBorders>
              <w:top w:val="nil"/>
              <w:left w:val="nil"/>
              <w:bottom w:val="single" w:color="auto" w:sz="4" w:space="0"/>
              <w:right w:val="single" w:color="auto" w:sz="4" w:space="0"/>
            </w:tcBorders>
            <w:vAlign w:val="center"/>
          </w:tcPr>
          <w:p w14:paraId="0E18DF0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入九龙河口</w:t>
            </w:r>
          </w:p>
        </w:tc>
        <w:tc>
          <w:tcPr>
            <w:tcW w:w="0" w:type="auto"/>
            <w:tcBorders>
              <w:top w:val="nil"/>
              <w:left w:val="nil"/>
              <w:bottom w:val="single" w:color="auto" w:sz="4" w:space="0"/>
              <w:right w:val="single" w:color="auto" w:sz="4" w:space="0"/>
            </w:tcBorders>
            <w:vAlign w:val="center"/>
          </w:tcPr>
          <w:p w14:paraId="6B31ED9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11.2</w:t>
            </w:r>
          </w:p>
        </w:tc>
        <w:tc>
          <w:tcPr>
            <w:tcW w:w="0" w:type="auto"/>
            <w:tcBorders>
              <w:top w:val="nil"/>
              <w:left w:val="nil"/>
              <w:bottom w:val="single" w:color="auto" w:sz="4" w:space="0"/>
              <w:right w:val="single" w:color="auto" w:sz="4" w:space="0"/>
            </w:tcBorders>
            <w:vAlign w:val="center"/>
          </w:tcPr>
          <w:p w14:paraId="7575451F">
            <w:pPr>
              <w:widowControl/>
              <w:spacing w:line="240" w:lineRule="auto"/>
              <w:jc w:val="center"/>
              <w:rPr>
                <w:rFonts w:hint="default" w:ascii="Times New Roman" w:hAnsi="Times New Roman" w:cs="Times New Roman"/>
                <w:color w:val="auto"/>
                <w:kern w:val="0"/>
                <w:sz w:val="21"/>
                <w:szCs w:val="21"/>
                <w:highlight w:val="none"/>
              </w:rPr>
            </w:pPr>
          </w:p>
        </w:tc>
        <w:tc>
          <w:tcPr>
            <w:tcW w:w="0" w:type="auto"/>
            <w:tcBorders>
              <w:top w:val="nil"/>
              <w:left w:val="nil"/>
              <w:bottom w:val="single" w:color="auto" w:sz="4" w:space="0"/>
              <w:right w:val="single" w:color="auto" w:sz="4" w:space="0"/>
            </w:tcBorders>
            <w:vAlign w:val="center"/>
          </w:tcPr>
          <w:p w14:paraId="2EE9B32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响水河</w:t>
            </w:r>
          </w:p>
        </w:tc>
        <w:tc>
          <w:tcPr>
            <w:tcW w:w="0" w:type="auto"/>
            <w:tcBorders>
              <w:top w:val="nil"/>
              <w:left w:val="nil"/>
              <w:bottom w:val="single" w:color="auto" w:sz="4" w:space="0"/>
              <w:right w:val="single" w:color="auto" w:sz="4" w:space="0"/>
            </w:tcBorders>
            <w:vAlign w:val="center"/>
          </w:tcPr>
          <w:p w14:paraId="568B4AAB">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38BC57F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0" w:type="auto"/>
            <w:tcBorders>
              <w:top w:val="nil"/>
              <w:left w:val="nil"/>
              <w:bottom w:val="single" w:color="auto" w:sz="4" w:space="0"/>
              <w:right w:val="single" w:color="auto" w:sz="4" w:space="0"/>
            </w:tcBorders>
            <w:vAlign w:val="center"/>
          </w:tcPr>
          <w:p w14:paraId="2C8864E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r>
      <w:tr w14:paraId="0B2492FA">
        <w:tblPrEx>
          <w:tblCellMar>
            <w:top w:w="0" w:type="dxa"/>
            <w:left w:w="108" w:type="dxa"/>
            <w:bottom w:w="0" w:type="dxa"/>
            <w:right w:w="108" w:type="dxa"/>
          </w:tblCellMar>
        </w:tblPrEx>
        <w:trPr>
          <w:trHeight w:val="276" w:hRule="atLeast"/>
        </w:trPr>
        <w:tc>
          <w:tcPr>
            <w:tcW w:w="0" w:type="auto"/>
            <w:tcBorders>
              <w:top w:val="nil"/>
              <w:left w:val="single" w:color="auto" w:sz="4" w:space="0"/>
              <w:bottom w:val="single" w:color="auto" w:sz="4" w:space="0"/>
              <w:right w:val="single" w:color="auto" w:sz="4" w:space="0"/>
            </w:tcBorders>
            <w:vAlign w:val="center"/>
          </w:tcPr>
          <w:p w14:paraId="3EA89CA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58</w:t>
            </w:r>
          </w:p>
        </w:tc>
        <w:tc>
          <w:tcPr>
            <w:tcW w:w="1720" w:type="dxa"/>
            <w:tcBorders>
              <w:top w:val="nil"/>
              <w:left w:val="nil"/>
              <w:bottom w:val="single" w:color="auto" w:sz="4" w:space="0"/>
              <w:right w:val="single" w:color="auto" w:sz="4" w:space="0"/>
            </w:tcBorders>
            <w:vAlign w:val="center"/>
          </w:tcPr>
          <w:p w14:paraId="658EC5F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界桥河师宗源头水保护区</w:t>
            </w:r>
          </w:p>
        </w:tc>
        <w:tc>
          <w:tcPr>
            <w:tcW w:w="2605" w:type="dxa"/>
            <w:tcBorders>
              <w:top w:val="nil"/>
              <w:left w:val="nil"/>
              <w:bottom w:val="single" w:color="auto" w:sz="4" w:space="0"/>
              <w:right w:val="single" w:color="auto" w:sz="4" w:space="0"/>
            </w:tcBorders>
            <w:vAlign w:val="center"/>
          </w:tcPr>
          <w:p w14:paraId="314DE5B5">
            <w:pPr>
              <w:widowControl/>
              <w:spacing w:line="240" w:lineRule="auto"/>
              <w:jc w:val="center"/>
              <w:rPr>
                <w:rFonts w:hint="default" w:ascii="Times New Roman" w:hAnsi="Times New Roman" w:cs="Times New Roman"/>
                <w:color w:val="auto"/>
                <w:kern w:val="0"/>
                <w:sz w:val="21"/>
                <w:szCs w:val="21"/>
                <w:highlight w:val="none"/>
              </w:rPr>
            </w:pPr>
          </w:p>
        </w:tc>
        <w:tc>
          <w:tcPr>
            <w:tcW w:w="691" w:type="dxa"/>
            <w:tcBorders>
              <w:top w:val="nil"/>
              <w:left w:val="nil"/>
              <w:bottom w:val="single" w:color="auto" w:sz="4" w:space="0"/>
              <w:right w:val="single" w:color="auto" w:sz="4" w:space="0"/>
            </w:tcBorders>
            <w:vAlign w:val="center"/>
          </w:tcPr>
          <w:p w14:paraId="14721B1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界桥河</w:t>
            </w:r>
          </w:p>
        </w:tc>
        <w:tc>
          <w:tcPr>
            <w:tcW w:w="897" w:type="dxa"/>
            <w:tcBorders>
              <w:top w:val="nil"/>
              <w:left w:val="nil"/>
              <w:bottom w:val="single" w:color="auto" w:sz="4" w:space="0"/>
              <w:right w:val="single" w:color="auto" w:sz="4" w:space="0"/>
            </w:tcBorders>
            <w:vAlign w:val="center"/>
          </w:tcPr>
          <w:p w14:paraId="7885D5A8">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源头段</w:t>
            </w:r>
          </w:p>
        </w:tc>
        <w:tc>
          <w:tcPr>
            <w:tcW w:w="0" w:type="auto"/>
            <w:tcBorders>
              <w:top w:val="nil"/>
              <w:left w:val="nil"/>
              <w:bottom w:val="single" w:color="auto" w:sz="4" w:space="0"/>
              <w:right w:val="single" w:color="auto" w:sz="4" w:space="0"/>
            </w:tcBorders>
            <w:vAlign w:val="center"/>
          </w:tcPr>
          <w:p w14:paraId="416296D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源头</w:t>
            </w:r>
          </w:p>
        </w:tc>
        <w:tc>
          <w:tcPr>
            <w:tcW w:w="0" w:type="auto"/>
            <w:tcBorders>
              <w:top w:val="nil"/>
              <w:left w:val="nil"/>
              <w:bottom w:val="single" w:color="auto" w:sz="4" w:space="0"/>
              <w:right w:val="single" w:color="auto" w:sz="4" w:space="0"/>
            </w:tcBorders>
            <w:vAlign w:val="center"/>
          </w:tcPr>
          <w:p w14:paraId="7E41F6BE">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东风水库坝址</w:t>
            </w:r>
          </w:p>
        </w:tc>
        <w:tc>
          <w:tcPr>
            <w:tcW w:w="0" w:type="auto"/>
            <w:tcBorders>
              <w:top w:val="nil"/>
              <w:left w:val="nil"/>
              <w:bottom w:val="single" w:color="auto" w:sz="4" w:space="0"/>
              <w:right w:val="single" w:color="auto" w:sz="4" w:space="0"/>
            </w:tcBorders>
            <w:vAlign w:val="center"/>
          </w:tcPr>
          <w:p w14:paraId="43A3D72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12</w:t>
            </w:r>
          </w:p>
        </w:tc>
        <w:tc>
          <w:tcPr>
            <w:tcW w:w="0" w:type="auto"/>
            <w:tcBorders>
              <w:top w:val="nil"/>
              <w:left w:val="nil"/>
              <w:bottom w:val="single" w:color="auto" w:sz="4" w:space="0"/>
              <w:right w:val="single" w:color="auto" w:sz="4" w:space="0"/>
            </w:tcBorders>
            <w:vAlign w:val="center"/>
          </w:tcPr>
          <w:p w14:paraId="7F81BE05">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0.67</w:t>
            </w:r>
          </w:p>
        </w:tc>
        <w:tc>
          <w:tcPr>
            <w:tcW w:w="0" w:type="auto"/>
            <w:tcBorders>
              <w:top w:val="nil"/>
              <w:left w:val="nil"/>
              <w:bottom w:val="single" w:color="auto" w:sz="4" w:space="0"/>
              <w:right w:val="single" w:color="auto" w:sz="4" w:space="0"/>
            </w:tcBorders>
            <w:vAlign w:val="center"/>
          </w:tcPr>
          <w:p w14:paraId="2F63B14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东风水库</w:t>
            </w:r>
          </w:p>
        </w:tc>
        <w:tc>
          <w:tcPr>
            <w:tcW w:w="0" w:type="auto"/>
            <w:tcBorders>
              <w:top w:val="nil"/>
              <w:left w:val="nil"/>
              <w:bottom w:val="single" w:color="auto" w:sz="4" w:space="0"/>
              <w:right w:val="single" w:color="auto" w:sz="4" w:space="0"/>
            </w:tcBorders>
            <w:vAlign w:val="center"/>
          </w:tcPr>
          <w:p w14:paraId="1E94437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38ECE3D4">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0" w:type="auto"/>
            <w:tcBorders>
              <w:top w:val="nil"/>
              <w:left w:val="nil"/>
              <w:bottom w:val="single" w:color="auto" w:sz="4" w:space="0"/>
              <w:right w:val="single" w:color="auto" w:sz="4" w:space="0"/>
            </w:tcBorders>
            <w:vAlign w:val="center"/>
          </w:tcPr>
          <w:p w14:paraId="72ED0D4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r>
    </w:tbl>
    <w:p w14:paraId="15273D4A">
      <w:pPr>
        <w:pStyle w:val="14"/>
        <w:ind w:firstLine="480"/>
        <w:rPr>
          <w:rFonts w:hint="default" w:ascii="Times New Roman" w:hAnsi="Times New Roman" w:cs="Times New Roman"/>
          <w:color w:val="auto"/>
          <w:highlight w:val="none"/>
        </w:rPr>
        <w:sectPr>
          <w:pgSz w:w="16838" w:h="11906" w:orient="landscape"/>
          <w:pgMar w:top="1800" w:right="1440" w:bottom="1800" w:left="1440" w:header="851" w:footer="992" w:gutter="0"/>
          <w:pgNumType w:fmt="decimal"/>
          <w:cols w:space="425" w:num="1"/>
          <w:docGrid w:type="lines" w:linePitch="326" w:charSpace="0"/>
        </w:sectPr>
      </w:pPr>
    </w:p>
    <w:p w14:paraId="40B21CD6">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生态功能区划</w:t>
      </w:r>
    </w:p>
    <w:p w14:paraId="09C9C904">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根据《全国生态功能区划（修编版2015）》，评价区</w:t>
      </w:r>
      <w:r>
        <w:rPr>
          <w:rFonts w:hint="default" w:ascii="Times New Roman" w:hAnsi="Times New Roman" w:cs="Times New Roman"/>
          <w:color w:val="auto"/>
          <w:highlight w:val="none"/>
          <w:lang w:val="en-US" w:eastAsia="zh-CN"/>
        </w:rPr>
        <w:t>主要涉及</w:t>
      </w:r>
      <w:r>
        <w:rPr>
          <w:rFonts w:hint="default" w:ascii="Times New Roman" w:hAnsi="Times New Roman" w:cs="Times New Roman"/>
          <w:color w:val="auto"/>
          <w:highlight w:val="none"/>
        </w:rPr>
        <w:t>I-01-24珠江源水源涵养功能区、I-03-12滇东土壤保持功能区，国家层面主导生态功能为</w:t>
      </w:r>
      <w:r>
        <w:rPr>
          <w:rFonts w:hint="default" w:ascii="Times New Roman" w:hAnsi="Times New Roman" w:cs="Times New Roman"/>
          <w:color w:val="auto"/>
          <w:highlight w:val="none"/>
          <w:lang w:val="en-US" w:eastAsia="zh-CN"/>
        </w:rPr>
        <w:t>水源涵养、</w:t>
      </w:r>
      <w:r>
        <w:rPr>
          <w:rFonts w:hint="default" w:ascii="Times New Roman" w:hAnsi="Times New Roman" w:cs="Times New Roman"/>
          <w:color w:val="auto"/>
          <w:highlight w:val="none"/>
        </w:rPr>
        <w:t>土壤保持，</w:t>
      </w:r>
      <w:r>
        <w:rPr>
          <w:rFonts w:hint="default" w:ascii="Times New Roman" w:hAnsi="Times New Roman" w:cs="Times New Roman"/>
          <w:color w:val="auto"/>
          <w:highlight w:val="none"/>
          <w:lang w:val="en-US" w:eastAsia="zh-CN"/>
        </w:rPr>
        <w:t>属于西南喀斯特土壤保持重要区，</w:t>
      </w:r>
      <w:r>
        <w:rPr>
          <w:rFonts w:hint="default" w:ascii="Times New Roman" w:hAnsi="Times New Roman" w:cs="Times New Roman"/>
          <w:color w:val="auto"/>
          <w:highlight w:val="none"/>
        </w:rPr>
        <w:t>是区域生态安全格局的重要组成单元。</w:t>
      </w:r>
    </w:p>
    <w:p w14:paraId="40CC9642">
      <w:pPr>
        <w:pStyle w:val="4"/>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珠江源水源涵养功能区</w:t>
      </w:r>
      <w:r>
        <w:rPr>
          <w:rFonts w:hint="default" w:ascii="Times New Roman" w:hAnsi="Times New Roman" w:cs="Times New Roman"/>
          <w:color w:val="auto"/>
          <w:highlight w:val="none"/>
          <w:lang w:val="en-US" w:eastAsia="zh-CN"/>
        </w:rPr>
        <w:t>的主要生态问题为生态系统结构单一，生态系统质量低，水源涵养功能衰退；森林资源过度开发、天然草原过度放牧等导致的植被破坏、水土流失与土地沙化严重。生态保护主要措施：严格保护具有重要水源涵养功能的自然植被，限制或禁止各种损害生态系统水源涵养功能的经济社会活动和生产方式。</w:t>
      </w:r>
    </w:p>
    <w:p w14:paraId="115B9AAA">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滇东土壤保持功能区</w:t>
      </w:r>
      <w:r>
        <w:rPr>
          <w:rFonts w:hint="default" w:ascii="Times New Roman" w:hAnsi="Times New Roman" w:cs="Times New Roman"/>
          <w:color w:val="auto"/>
          <w:highlight w:val="none"/>
          <w:lang w:val="en-US" w:eastAsia="zh-CN"/>
        </w:rPr>
        <w:t>的</w:t>
      </w:r>
      <w:r>
        <w:rPr>
          <w:rFonts w:hint="default" w:ascii="Times New Roman" w:hAnsi="Times New Roman" w:cs="Times New Roman"/>
          <w:color w:val="auto"/>
          <w:highlight w:val="none"/>
        </w:rPr>
        <w:t>主要生态问题</w:t>
      </w:r>
      <w:r>
        <w:rPr>
          <w:rFonts w:hint="default" w:ascii="Times New Roman" w:hAnsi="Times New Roman" w:cs="Times New Roman"/>
          <w:color w:val="auto"/>
          <w:highlight w:val="none"/>
          <w:lang w:val="en-US" w:eastAsia="zh-CN"/>
        </w:rPr>
        <w:t>为</w:t>
      </w:r>
      <w:r>
        <w:rPr>
          <w:rFonts w:hint="default" w:ascii="Times New Roman" w:hAnsi="Times New Roman" w:cs="Times New Roman"/>
          <w:color w:val="auto"/>
          <w:highlight w:val="none"/>
        </w:rPr>
        <w:t>毁林毁草开荒带来的生态系统退化问题突出，表现为植被覆盖度低、水土流失严重、石漠化面积大、干旱缺水。生态保护主要措施：严格保护现存植被；对生态退化严重区采取封禁措施，对中、轻度石漠化地区，改进种植制度和农业措施；对人口超过生态承载力的区域实施生态移民措施，推进劳动力转移，降低人口对土地的依赖性；改变粗放生产经营方式，发展生态农业。</w:t>
      </w:r>
    </w:p>
    <w:p w14:paraId="1C43F538">
      <w:pPr>
        <w:pStyle w:val="4"/>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从省级细化管控层面来看，根据《云南省生态功能区划（2009年）》，</w:t>
      </w:r>
      <w:r>
        <w:rPr>
          <w:rFonts w:hint="default" w:ascii="Times New Roman" w:hAnsi="Times New Roman" w:cs="Times New Roman"/>
          <w:color w:val="auto"/>
          <w:highlight w:val="none"/>
          <w:lang w:val="en-US" w:eastAsia="zh-CN"/>
        </w:rPr>
        <w:t>评价区</w:t>
      </w:r>
      <w:r>
        <w:rPr>
          <w:rFonts w:hint="default" w:ascii="Times New Roman" w:hAnsi="Times New Roman" w:cs="Times New Roman"/>
          <w:color w:val="auto"/>
          <w:highlight w:val="none"/>
        </w:rPr>
        <w:t>位于</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Ⅲ 高原亚热带北部常绿阔叶林生态区—</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Ⅲ1滇中高原谷盆半湿润常绿阔叶林、暖性针叶林生态亚区</w:t>
      </w:r>
      <w:r>
        <w:rPr>
          <w:rFonts w:hint="default" w:ascii="Times New Roman" w:hAnsi="Times New Roman" w:cs="Times New Roman"/>
          <w:color w:val="auto"/>
          <w:highlight w:val="none"/>
          <w:lang w:val="en-US" w:eastAsia="zh-CN"/>
        </w:rPr>
        <w:t>和 Ⅲ4滇东北高中山暖性针叶林、亚高山草甸生态亚区—涉及6个生态功能区，分别为：</w:t>
      </w:r>
      <w:r>
        <w:rPr>
          <w:rFonts w:hint="default" w:ascii="Times New Roman" w:hAnsi="Times New Roman" w:cs="Times New Roman"/>
          <w:color w:val="auto"/>
          <w:highlight w:val="none"/>
        </w:rPr>
        <w:t>Ⅲ1-10 牛栏江上游丘原盆地水源涵养生态功能区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Ⅲ1-11 曲靖、陆良山原盆地城镇与农业生态功能区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Ⅲ1-12 南盘江、甸溪河岩溶低山水土保持生态功能区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Ⅲ1-13 南盘江、清水江下游中山河谷林业生态功能区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Ⅲ1-14 富源、罗平岩溶中山水源涵养生态功能区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Ⅲ4-4 牛栏江、南盘江上游岩溶山原水源涵养生态功能区。规划范围涉及</w:t>
      </w:r>
      <w:r>
        <w:rPr>
          <w:rFonts w:hint="default" w:ascii="Times New Roman" w:hAnsi="Times New Roman" w:cs="Times New Roman"/>
          <w:color w:val="auto"/>
          <w:highlight w:val="none"/>
          <w:lang w:val="en-US" w:eastAsia="zh-CN"/>
        </w:rPr>
        <w:t>生态</w:t>
      </w:r>
      <w:r>
        <w:rPr>
          <w:rFonts w:hint="default" w:ascii="Times New Roman" w:hAnsi="Times New Roman" w:cs="Times New Roman"/>
          <w:color w:val="auto"/>
          <w:highlight w:val="none"/>
        </w:rPr>
        <w:t>功能区划详见表</w:t>
      </w:r>
      <w:r>
        <w:rPr>
          <w:rFonts w:hint="default" w:ascii="Times New Roman" w:hAnsi="Times New Roman" w:cs="Times New Roman"/>
          <w:color w:val="auto"/>
          <w:highlight w:val="none"/>
          <w:lang w:val="en-US" w:eastAsia="zh-CN"/>
        </w:rPr>
        <w:t>1.5.3-1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 xml:space="preserve">                                                                                                                                                                                                                                                                                                                                            </w:t>
      </w:r>
    </w:p>
    <w:p w14:paraId="6F49761C">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从规划范围和面积来看，生态功能区</w:t>
      </w:r>
      <w:r>
        <w:rPr>
          <w:rFonts w:hint="default" w:ascii="Times New Roman" w:hAnsi="Times New Roman" w:cs="Times New Roman"/>
          <w:color w:val="auto"/>
          <w:highlight w:val="none"/>
        </w:rPr>
        <w:t>主导生态服务功能为</w:t>
      </w:r>
      <w:r>
        <w:rPr>
          <w:rFonts w:hint="default" w:ascii="Times New Roman" w:hAnsi="Times New Roman" w:cs="Times New Roman"/>
          <w:color w:val="auto"/>
          <w:highlight w:val="none"/>
          <w:lang w:val="en-US" w:eastAsia="zh-CN"/>
        </w:rPr>
        <w:t>水源涵养、土壤保持</w:t>
      </w:r>
      <w:r>
        <w:rPr>
          <w:rFonts w:hint="default" w:ascii="Times New Roman" w:hAnsi="Times New Roman" w:cs="Times New Roman"/>
          <w:color w:val="auto"/>
          <w:highlight w:val="none"/>
        </w:rPr>
        <w:t>，次要生态功能为</w:t>
      </w:r>
      <w:r>
        <w:rPr>
          <w:rFonts w:hint="default" w:ascii="Times New Roman" w:hAnsi="Times New Roman" w:cs="Times New Roman"/>
          <w:color w:val="auto"/>
          <w:highlight w:val="none"/>
          <w:lang w:val="en-US" w:eastAsia="zh-CN"/>
        </w:rPr>
        <w:t>农产品提供、林产品提供、集镇与农业生态</w:t>
      </w:r>
      <w:r>
        <w:rPr>
          <w:rFonts w:hint="default" w:ascii="Times New Roman" w:hAnsi="Times New Roman" w:cs="Times New Roman"/>
          <w:color w:val="auto"/>
          <w:highlight w:val="none"/>
        </w:rPr>
        <w:t>，区域主要生态环境问题</w:t>
      </w:r>
      <w:r>
        <w:rPr>
          <w:rFonts w:hint="default" w:ascii="Times New Roman" w:hAnsi="Times New Roman" w:cs="Times New Roman"/>
          <w:color w:val="auto"/>
          <w:highlight w:val="none"/>
          <w:lang w:val="en-US" w:eastAsia="zh-CN"/>
        </w:rPr>
        <w:t>为</w:t>
      </w:r>
      <w:r>
        <w:rPr>
          <w:rFonts w:hint="default" w:ascii="Times New Roman" w:hAnsi="Times New Roman" w:cs="Times New Roman"/>
          <w:color w:val="auto"/>
          <w:highlight w:val="none"/>
        </w:rPr>
        <w:t>水土流失、石漠化、</w:t>
      </w:r>
      <w:r>
        <w:rPr>
          <w:rFonts w:hint="default" w:ascii="Times New Roman" w:hAnsi="Times New Roman" w:cs="Times New Roman"/>
          <w:color w:val="auto"/>
          <w:highlight w:val="none"/>
          <w:lang w:val="en-US" w:eastAsia="zh-CN"/>
        </w:rPr>
        <w:t>生态系统结构单一</w:t>
      </w:r>
      <w:r>
        <w:rPr>
          <w:rFonts w:hint="default" w:ascii="Times New Roman" w:hAnsi="Times New Roman" w:cs="Times New Roman"/>
          <w:color w:val="auto"/>
          <w:highlight w:val="none"/>
        </w:rPr>
        <w:t>等，</w:t>
      </w:r>
      <w:r>
        <w:rPr>
          <w:rFonts w:hint="default" w:ascii="Times New Roman" w:hAnsi="Times New Roman" w:cs="Times New Roman"/>
          <w:color w:val="auto"/>
          <w:highlight w:val="none"/>
          <w:lang w:val="en-US" w:eastAsia="zh-CN"/>
        </w:rPr>
        <w:t>评价区</w:t>
      </w:r>
      <w:r>
        <w:rPr>
          <w:rFonts w:hint="default" w:ascii="Times New Roman" w:hAnsi="Times New Roman" w:cs="Times New Roman"/>
          <w:color w:val="auto"/>
          <w:highlight w:val="none"/>
        </w:rPr>
        <w:t>生态敏感性整体处于</w:t>
      </w:r>
      <w:r>
        <w:rPr>
          <w:rFonts w:hint="default" w:ascii="Times New Roman" w:hAnsi="Times New Roman" w:cs="Times New Roman"/>
          <w:color w:val="auto"/>
          <w:highlight w:val="none"/>
          <w:lang w:val="en-US" w:eastAsia="zh-CN"/>
        </w:rPr>
        <w:t>高度敏感水平，主要体现在土壤侵蚀敏感性和石漠化敏感性属高度敏感，但生境敏感性属不敏感区域</w:t>
      </w:r>
      <w:r>
        <w:rPr>
          <w:rFonts w:hint="default" w:ascii="Times New Roman" w:hAnsi="Times New Roman" w:cs="Times New Roman"/>
          <w:color w:val="auto"/>
          <w:highlight w:val="none"/>
        </w:rPr>
        <w:t>。</w:t>
      </w:r>
    </w:p>
    <w:p w14:paraId="68CA7192">
      <w:pPr>
        <w:pStyle w:val="29"/>
        <w:bidi w:val="0"/>
        <w:rPr>
          <w:rFonts w:hint="eastAsia" w:ascii="Times New Roman" w:hAnsi="Times New Roman" w:cs="Times New Roman" w:eastAsiaTheme="minorEastAsia"/>
          <w:color w:val="auto"/>
          <w:highlight w:val="none"/>
          <w:lang w:eastAsia="zh-CN"/>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1.5.3-1</w:t>
      </w:r>
      <w:r>
        <w:rPr>
          <w:rFonts w:hint="default" w:ascii="Times New Roman" w:hAnsi="Times New Roman" w:cs="Times New Roman"/>
          <w:color w:val="auto"/>
          <w:highlight w:val="none"/>
        </w:rPr>
        <w:t xml:space="preserve">  评价范围内</w:t>
      </w:r>
      <w:r>
        <w:rPr>
          <w:rFonts w:hint="default" w:ascii="Times New Roman" w:hAnsi="Times New Roman" w:cs="Times New Roman"/>
          <w:color w:val="auto"/>
          <w:highlight w:val="none"/>
          <w:lang w:val="en-US" w:eastAsia="zh-CN"/>
        </w:rPr>
        <w:t>生态功能</w:t>
      </w:r>
      <w:r>
        <w:rPr>
          <w:rFonts w:hint="default" w:ascii="Times New Roman" w:hAnsi="Times New Roman" w:cs="Times New Roman"/>
          <w:color w:val="auto"/>
          <w:highlight w:val="none"/>
        </w:rPr>
        <w:t>区划分情况</w:t>
      </w:r>
      <w:r>
        <w:rPr>
          <w:rFonts w:hint="eastAsia" w:cs="Times New Roman"/>
          <w:color w:val="auto"/>
          <w:highlight w:val="none"/>
          <w:lang w:eastAsia="zh-CN"/>
        </w:rPr>
        <w:t>（</w:t>
      </w:r>
      <w:r>
        <w:rPr>
          <w:rFonts w:hint="eastAsia" w:cs="Times New Roman"/>
          <w:color w:val="auto"/>
          <w:highlight w:val="none"/>
          <w:lang w:val="en-US" w:eastAsia="zh-CN"/>
        </w:rPr>
        <w:t>节选</w:t>
      </w:r>
      <w:r>
        <w:rPr>
          <w:rFonts w:hint="eastAsia" w:cs="Times New Roman"/>
          <w:color w:val="auto"/>
          <w:highlight w:val="none"/>
          <w:lang w:eastAsia="zh-CN"/>
        </w:rPr>
        <w:t>）</w:t>
      </w:r>
    </w:p>
    <w:tbl>
      <w:tblPr>
        <w:tblStyle w:val="22"/>
        <w:tblW w:w="4998" w:type="pct"/>
        <w:jc w:val="center"/>
        <w:tblLayout w:type="autofit"/>
        <w:tblCellMar>
          <w:top w:w="0" w:type="dxa"/>
          <w:left w:w="0" w:type="dxa"/>
          <w:bottom w:w="0" w:type="dxa"/>
          <w:right w:w="0" w:type="dxa"/>
        </w:tblCellMar>
      </w:tblPr>
      <w:tblGrid>
        <w:gridCol w:w="815"/>
        <w:gridCol w:w="1134"/>
        <w:gridCol w:w="1397"/>
        <w:gridCol w:w="1149"/>
        <w:gridCol w:w="1036"/>
        <w:gridCol w:w="1100"/>
        <w:gridCol w:w="1790"/>
      </w:tblGrid>
      <w:tr w14:paraId="0098A918">
        <w:tblPrEx>
          <w:tblCellMar>
            <w:top w:w="0" w:type="dxa"/>
            <w:left w:w="0" w:type="dxa"/>
            <w:bottom w:w="0" w:type="dxa"/>
            <w:right w:w="0" w:type="dxa"/>
          </w:tblCellMar>
        </w:tblPrEx>
        <w:trPr>
          <w:trHeight w:val="0" w:hRule="atLeast"/>
          <w:tblHeader/>
          <w:jc w:val="center"/>
        </w:trPr>
        <w:tc>
          <w:tcPr>
            <w:tcW w:w="1986" w:type="pct"/>
            <w:gridSpan w:val="3"/>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44C24ABF">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生态功能分区单元</w:t>
            </w:r>
          </w:p>
        </w:tc>
        <w:tc>
          <w:tcPr>
            <w:tcW w:w="682" w:type="pct"/>
            <w:vMerge w:val="restart"/>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2EF224E">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主要生态环境问题</w:t>
            </w:r>
          </w:p>
        </w:tc>
        <w:tc>
          <w:tcPr>
            <w:tcW w:w="615" w:type="pct"/>
            <w:vMerge w:val="restart"/>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3BEFA2B">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生态环境敏感性</w:t>
            </w:r>
          </w:p>
        </w:tc>
        <w:tc>
          <w:tcPr>
            <w:tcW w:w="653" w:type="pct"/>
            <w:vMerge w:val="restart"/>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10DA5BC">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主要生态系统服务功能</w:t>
            </w:r>
          </w:p>
        </w:tc>
        <w:tc>
          <w:tcPr>
            <w:tcW w:w="1062" w:type="pct"/>
            <w:vMerge w:val="restart"/>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F42735E">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保护措施与发展方向</w:t>
            </w:r>
          </w:p>
        </w:tc>
      </w:tr>
      <w:tr w14:paraId="57051E36">
        <w:tblPrEx>
          <w:tblCellMar>
            <w:top w:w="0" w:type="dxa"/>
            <w:left w:w="0" w:type="dxa"/>
            <w:bottom w:w="0" w:type="dxa"/>
            <w:right w:w="0" w:type="dxa"/>
          </w:tblCellMar>
        </w:tblPrEx>
        <w:trPr>
          <w:trHeight w:val="0" w:hRule="atLeast"/>
          <w:tblHeader/>
          <w:jc w:val="center"/>
        </w:trPr>
        <w:tc>
          <w:tcPr>
            <w:tcW w:w="484" w:type="pct"/>
            <w:tcBorders>
              <w:top w:val="nil"/>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07C1B9A">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生态区</w:t>
            </w:r>
          </w:p>
        </w:tc>
        <w:tc>
          <w:tcPr>
            <w:tcW w:w="673"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0D5E7FF">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生态亚区</w:t>
            </w:r>
          </w:p>
        </w:tc>
        <w:tc>
          <w:tcPr>
            <w:tcW w:w="828"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969A460">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生态功能区</w:t>
            </w:r>
          </w:p>
        </w:tc>
        <w:tc>
          <w:tcPr>
            <w:tcW w:w="682" w:type="pct"/>
            <w:vMerge w:val="continue"/>
            <w:tcBorders>
              <w:top w:val="single" w:color="000000" w:sz="8" w:space="0"/>
              <w:left w:val="nil"/>
              <w:bottom w:val="single" w:color="000000" w:sz="8" w:space="0"/>
              <w:right w:val="single" w:color="000000" w:sz="8" w:space="0"/>
            </w:tcBorders>
            <w:noWrap w:val="0"/>
            <w:vAlign w:val="center"/>
          </w:tcPr>
          <w:p w14:paraId="314CB359">
            <w:pPr>
              <w:keepNext/>
              <w:widowControl/>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p>
        </w:tc>
        <w:tc>
          <w:tcPr>
            <w:tcW w:w="615" w:type="pct"/>
            <w:vMerge w:val="continue"/>
            <w:tcBorders>
              <w:top w:val="single" w:color="000000" w:sz="8" w:space="0"/>
              <w:left w:val="nil"/>
              <w:bottom w:val="single" w:color="000000" w:sz="8" w:space="0"/>
              <w:right w:val="single" w:color="000000" w:sz="8" w:space="0"/>
            </w:tcBorders>
            <w:noWrap w:val="0"/>
            <w:vAlign w:val="center"/>
          </w:tcPr>
          <w:p w14:paraId="2FBBA2BB">
            <w:pPr>
              <w:keepNext/>
              <w:widowControl/>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p>
        </w:tc>
        <w:tc>
          <w:tcPr>
            <w:tcW w:w="653" w:type="pct"/>
            <w:vMerge w:val="continue"/>
            <w:tcBorders>
              <w:top w:val="single" w:color="000000" w:sz="8" w:space="0"/>
              <w:left w:val="nil"/>
              <w:bottom w:val="single" w:color="000000" w:sz="8" w:space="0"/>
              <w:right w:val="single" w:color="000000" w:sz="8" w:space="0"/>
            </w:tcBorders>
            <w:noWrap w:val="0"/>
            <w:vAlign w:val="center"/>
          </w:tcPr>
          <w:p w14:paraId="62746F67">
            <w:pPr>
              <w:keepNext/>
              <w:widowControl/>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p>
        </w:tc>
        <w:tc>
          <w:tcPr>
            <w:tcW w:w="1062" w:type="pct"/>
            <w:vMerge w:val="continue"/>
            <w:tcBorders>
              <w:top w:val="single" w:color="000000" w:sz="8" w:space="0"/>
              <w:left w:val="nil"/>
              <w:bottom w:val="single" w:color="000000" w:sz="8" w:space="0"/>
              <w:right w:val="single" w:color="000000" w:sz="8" w:space="0"/>
            </w:tcBorders>
            <w:noWrap w:val="0"/>
            <w:vAlign w:val="center"/>
          </w:tcPr>
          <w:p w14:paraId="6ED83D13">
            <w:pPr>
              <w:keepNext/>
              <w:widowControl/>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p>
        </w:tc>
      </w:tr>
      <w:tr w14:paraId="5B6A90EC">
        <w:tblPrEx>
          <w:tblCellMar>
            <w:top w:w="0" w:type="dxa"/>
            <w:left w:w="0" w:type="dxa"/>
            <w:bottom w:w="0" w:type="dxa"/>
            <w:right w:w="0" w:type="dxa"/>
          </w:tblCellMar>
        </w:tblPrEx>
        <w:trPr>
          <w:trHeight w:val="0" w:hRule="atLeast"/>
          <w:jc w:val="center"/>
        </w:trPr>
        <w:tc>
          <w:tcPr>
            <w:tcW w:w="484" w:type="pct"/>
            <w:vMerge w:val="restart"/>
            <w:tcBorders>
              <w:top w:val="nil"/>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83BF416">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Ⅲ高原亚热带北部常绿阔叶林生态区</w:t>
            </w:r>
          </w:p>
        </w:tc>
        <w:tc>
          <w:tcPr>
            <w:tcW w:w="673" w:type="pct"/>
            <w:vMerge w:val="restar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444BCEF">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 滇中高原谷盆半湿润常绿阔叶林、暖性针叶林生态亚区</w:t>
            </w:r>
          </w:p>
          <w:p w14:paraId="3211EEC7">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 </w:t>
            </w:r>
          </w:p>
        </w:tc>
        <w:tc>
          <w:tcPr>
            <w:tcW w:w="828"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B629221">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Ⅲ1-10牛栏江上游丘原盆地水源涵养生态功能区</w:t>
            </w:r>
          </w:p>
        </w:tc>
        <w:tc>
          <w:tcPr>
            <w:tcW w:w="68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CA12A2E">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土地利用过度引起的土地退化</w:t>
            </w:r>
          </w:p>
          <w:p w14:paraId="1553EB52">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rPr>
              <w:t> </w:t>
            </w:r>
          </w:p>
        </w:tc>
        <w:tc>
          <w:tcPr>
            <w:tcW w:w="615"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B78C77C">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石漠化高度及中度敏感</w:t>
            </w:r>
          </w:p>
        </w:tc>
        <w:tc>
          <w:tcPr>
            <w:tcW w:w="653"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A1902B8">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牛栏江上游的水源涵养和生态农业建设</w:t>
            </w:r>
          </w:p>
        </w:tc>
        <w:tc>
          <w:tcPr>
            <w:tcW w:w="106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677638A">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山地封山育林，提高森林覆盖</w:t>
            </w:r>
            <w:r>
              <w:rPr>
                <w:rFonts w:hint="eastAsia" w:cs="Times New Roman"/>
                <w:snapToGrid w:val="0"/>
                <w:color w:val="auto"/>
                <w:kern w:val="0"/>
                <w:sz w:val="18"/>
                <w:szCs w:val="18"/>
                <w:highlight w:val="none"/>
                <w:lang w:val="en-US" w:eastAsia="zh-CN"/>
              </w:rPr>
              <w:t>率</w:t>
            </w:r>
            <w:r>
              <w:rPr>
                <w:rFonts w:hint="default" w:ascii="Times New Roman" w:hAnsi="Times New Roman" w:eastAsia="宋体" w:cs="Times New Roman"/>
                <w:snapToGrid w:val="0"/>
                <w:color w:val="auto"/>
                <w:kern w:val="0"/>
                <w:sz w:val="18"/>
                <w:szCs w:val="18"/>
                <w:highlight w:val="none"/>
              </w:rPr>
              <w:t>，谷盆地区调整农业结构，推行清洁生产，保护农田生态环境，防止区域石漠化</w:t>
            </w:r>
          </w:p>
        </w:tc>
      </w:tr>
      <w:tr w14:paraId="3E123914">
        <w:tblPrEx>
          <w:tblCellMar>
            <w:top w:w="0" w:type="dxa"/>
            <w:left w:w="0" w:type="dxa"/>
            <w:bottom w:w="0" w:type="dxa"/>
            <w:right w:w="0" w:type="dxa"/>
          </w:tblCellMar>
        </w:tblPrEx>
        <w:trPr>
          <w:trHeight w:val="0" w:hRule="atLeast"/>
          <w:jc w:val="center"/>
        </w:trPr>
        <w:tc>
          <w:tcPr>
            <w:tcW w:w="484" w:type="pct"/>
            <w:vMerge w:val="continue"/>
            <w:tcBorders>
              <w:top w:val="nil"/>
              <w:left w:val="single" w:color="000000" w:sz="8" w:space="0"/>
              <w:bottom w:val="single" w:color="000000" w:sz="8" w:space="0"/>
              <w:right w:val="single" w:color="000000" w:sz="8" w:space="0"/>
            </w:tcBorders>
            <w:shd w:val="clear" w:color="auto" w:fill="auto"/>
            <w:noWrap w:val="0"/>
            <w:vAlign w:val="center"/>
          </w:tcPr>
          <w:p w14:paraId="7176BE76">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673" w:type="pct"/>
            <w:vMerge w:val="continue"/>
            <w:tcBorders>
              <w:top w:val="nil"/>
              <w:left w:val="nil"/>
              <w:bottom w:val="single" w:color="000000" w:sz="8" w:space="0"/>
              <w:right w:val="single" w:color="000000" w:sz="8" w:space="0"/>
            </w:tcBorders>
            <w:shd w:val="clear" w:color="auto" w:fill="auto"/>
            <w:noWrap w:val="0"/>
            <w:vAlign w:val="center"/>
          </w:tcPr>
          <w:p w14:paraId="615E40F1">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p>
        </w:tc>
        <w:tc>
          <w:tcPr>
            <w:tcW w:w="828"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87AB41C">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Ⅲ1-11曲靖、陆良山原盆地城镇与农业生态功能区</w:t>
            </w:r>
          </w:p>
        </w:tc>
        <w:tc>
          <w:tcPr>
            <w:tcW w:w="68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1EA0BA3">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土地利用不合理导致的土地石漠化</w:t>
            </w:r>
          </w:p>
        </w:tc>
        <w:tc>
          <w:tcPr>
            <w:tcW w:w="615"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6219E53">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石漠化高中度敏感</w:t>
            </w:r>
          </w:p>
        </w:tc>
        <w:tc>
          <w:tcPr>
            <w:tcW w:w="653"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3C747EB">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以岩溶地貌为主的生态旅游和以粮食生产为主的生态农业</w:t>
            </w:r>
          </w:p>
        </w:tc>
        <w:tc>
          <w:tcPr>
            <w:tcW w:w="106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6894E45">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开展生态旅游，合理利用土地，推行清洁生产，改善森林的数量，保护岩溶地貌环境和农田生态环境，防止石漠化</w:t>
            </w:r>
          </w:p>
        </w:tc>
      </w:tr>
      <w:tr w14:paraId="1EF8C747">
        <w:tblPrEx>
          <w:tblCellMar>
            <w:top w:w="0" w:type="dxa"/>
            <w:left w:w="0" w:type="dxa"/>
            <w:bottom w:w="0" w:type="dxa"/>
            <w:right w:w="0" w:type="dxa"/>
          </w:tblCellMar>
        </w:tblPrEx>
        <w:trPr>
          <w:trHeight w:val="0" w:hRule="atLeast"/>
          <w:jc w:val="center"/>
        </w:trPr>
        <w:tc>
          <w:tcPr>
            <w:tcW w:w="484" w:type="pct"/>
            <w:vMerge w:val="continue"/>
            <w:tcBorders>
              <w:top w:val="nil"/>
              <w:left w:val="single" w:color="000000" w:sz="8" w:space="0"/>
              <w:bottom w:val="single" w:color="000000" w:sz="8" w:space="0"/>
              <w:right w:val="single" w:color="000000" w:sz="8" w:space="0"/>
            </w:tcBorders>
            <w:shd w:val="clear" w:color="auto" w:fill="auto"/>
            <w:noWrap w:val="0"/>
            <w:vAlign w:val="center"/>
          </w:tcPr>
          <w:p w14:paraId="736F18C3">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673" w:type="pct"/>
            <w:vMerge w:val="continue"/>
            <w:tcBorders>
              <w:top w:val="nil"/>
              <w:left w:val="nil"/>
              <w:bottom w:val="single" w:color="000000" w:sz="8" w:space="0"/>
              <w:right w:val="single" w:color="000000" w:sz="8" w:space="0"/>
            </w:tcBorders>
            <w:shd w:val="clear" w:color="auto" w:fill="auto"/>
            <w:noWrap w:val="0"/>
            <w:vAlign w:val="center"/>
          </w:tcPr>
          <w:p w14:paraId="3DDF403D">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p>
        </w:tc>
        <w:tc>
          <w:tcPr>
            <w:tcW w:w="828"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6DB42E7">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Ⅲ1-12南盘江、甸溪河岩溶低山水土保持生态功能区</w:t>
            </w:r>
          </w:p>
        </w:tc>
        <w:tc>
          <w:tcPr>
            <w:tcW w:w="68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03161BA">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人口密集、土地利用过度引起的潜在石漠化</w:t>
            </w:r>
          </w:p>
        </w:tc>
        <w:tc>
          <w:tcPr>
            <w:tcW w:w="615"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58BC997">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石漠化高中度敏感</w:t>
            </w:r>
          </w:p>
        </w:tc>
        <w:tc>
          <w:tcPr>
            <w:tcW w:w="653"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EBDF737">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岩溶地区的生态农业建设</w:t>
            </w:r>
          </w:p>
        </w:tc>
        <w:tc>
          <w:tcPr>
            <w:tcW w:w="106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B61D10A">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发展以亚热带经济林木为主的生态林业，降低土地利用强度，开展多种经营和清洁生产，防止石漠化</w:t>
            </w:r>
          </w:p>
        </w:tc>
      </w:tr>
      <w:tr w14:paraId="13A24949">
        <w:tblPrEx>
          <w:tblCellMar>
            <w:top w:w="0" w:type="dxa"/>
            <w:left w:w="0" w:type="dxa"/>
            <w:bottom w:w="0" w:type="dxa"/>
            <w:right w:w="0" w:type="dxa"/>
          </w:tblCellMar>
        </w:tblPrEx>
        <w:trPr>
          <w:trHeight w:val="0" w:hRule="atLeast"/>
          <w:jc w:val="center"/>
        </w:trPr>
        <w:tc>
          <w:tcPr>
            <w:tcW w:w="484" w:type="pct"/>
            <w:vMerge w:val="continue"/>
            <w:tcBorders>
              <w:top w:val="nil"/>
              <w:left w:val="single" w:color="000000" w:sz="8" w:space="0"/>
              <w:bottom w:val="single" w:color="000000" w:sz="8" w:space="0"/>
              <w:right w:val="single" w:color="000000" w:sz="8" w:space="0"/>
            </w:tcBorders>
            <w:shd w:val="clear" w:color="auto" w:fill="auto"/>
            <w:noWrap w:val="0"/>
            <w:vAlign w:val="center"/>
          </w:tcPr>
          <w:p w14:paraId="7CD0C7CC">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673" w:type="pct"/>
            <w:vMerge w:val="continue"/>
            <w:tcBorders>
              <w:top w:val="nil"/>
              <w:left w:val="nil"/>
              <w:bottom w:val="single" w:color="000000" w:sz="8" w:space="0"/>
              <w:right w:val="single" w:color="000000" w:sz="8" w:space="0"/>
            </w:tcBorders>
            <w:shd w:val="clear" w:color="auto" w:fill="auto"/>
            <w:noWrap w:val="0"/>
            <w:vAlign w:val="center"/>
          </w:tcPr>
          <w:p w14:paraId="27565B86">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p>
        </w:tc>
        <w:tc>
          <w:tcPr>
            <w:tcW w:w="828"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7A187CC">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Ⅲ1-13南盘江、清水江下游中山河谷林业生态功能区</w:t>
            </w:r>
          </w:p>
        </w:tc>
        <w:tc>
          <w:tcPr>
            <w:tcW w:w="68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F34D579">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森林破坏引起的水土流失</w:t>
            </w:r>
          </w:p>
        </w:tc>
        <w:tc>
          <w:tcPr>
            <w:tcW w:w="615"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B0D77F6">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土壤侵蚀中、高度敏感</w:t>
            </w:r>
          </w:p>
        </w:tc>
        <w:tc>
          <w:tcPr>
            <w:tcW w:w="653"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4A38D6A">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南盘江、清水江下游的水土保持</w:t>
            </w:r>
          </w:p>
        </w:tc>
        <w:tc>
          <w:tcPr>
            <w:tcW w:w="106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FBC8DAA">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严格封山育林，发展经济林木，改变农田耕作方式，调整农业结构，提高森林质量，严防水土流失</w:t>
            </w:r>
          </w:p>
        </w:tc>
      </w:tr>
      <w:tr w14:paraId="7E8FF535">
        <w:tblPrEx>
          <w:tblCellMar>
            <w:top w:w="0" w:type="dxa"/>
            <w:left w:w="0" w:type="dxa"/>
            <w:bottom w:w="0" w:type="dxa"/>
            <w:right w:w="0" w:type="dxa"/>
          </w:tblCellMar>
        </w:tblPrEx>
        <w:trPr>
          <w:trHeight w:val="0" w:hRule="atLeast"/>
          <w:jc w:val="center"/>
        </w:trPr>
        <w:tc>
          <w:tcPr>
            <w:tcW w:w="484" w:type="pct"/>
            <w:vMerge w:val="continue"/>
            <w:tcBorders>
              <w:top w:val="nil"/>
              <w:left w:val="single" w:color="000000" w:sz="8" w:space="0"/>
              <w:bottom w:val="single" w:color="000000" w:sz="8" w:space="0"/>
              <w:right w:val="single" w:color="000000" w:sz="8" w:space="0"/>
            </w:tcBorders>
            <w:shd w:val="clear" w:color="auto" w:fill="auto"/>
            <w:noWrap w:val="0"/>
            <w:vAlign w:val="center"/>
          </w:tcPr>
          <w:p w14:paraId="5F20BC3A">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673" w:type="pct"/>
            <w:vMerge w:val="continue"/>
            <w:tcBorders>
              <w:top w:val="nil"/>
              <w:left w:val="nil"/>
              <w:bottom w:val="single" w:color="000000" w:sz="8" w:space="0"/>
              <w:right w:val="single" w:color="000000" w:sz="8" w:space="0"/>
            </w:tcBorders>
            <w:shd w:val="clear" w:color="auto" w:fill="auto"/>
            <w:noWrap w:val="0"/>
            <w:vAlign w:val="center"/>
          </w:tcPr>
          <w:p w14:paraId="15D56FC6">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p>
        </w:tc>
        <w:tc>
          <w:tcPr>
            <w:tcW w:w="828"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5011325">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Ⅲ1-14富源、罗平岩溶中山水源涵养生态功能区</w:t>
            </w:r>
          </w:p>
        </w:tc>
        <w:tc>
          <w:tcPr>
            <w:tcW w:w="68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A5B32A2">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森林数量少、质量低，矿业开发带来的污染</w:t>
            </w:r>
          </w:p>
        </w:tc>
        <w:tc>
          <w:tcPr>
            <w:tcW w:w="615"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3B49EA9">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石漠化中度敏感</w:t>
            </w:r>
          </w:p>
        </w:tc>
        <w:tc>
          <w:tcPr>
            <w:tcW w:w="653"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F221E9B">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云南东部岩溶中山的水源涵养</w:t>
            </w:r>
          </w:p>
        </w:tc>
        <w:tc>
          <w:tcPr>
            <w:tcW w:w="106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C46BE22">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严格执行封山育林、人工造林和退耕还林；做好煤矿开采的生态恢复，提高区域的水源涵养效益</w:t>
            </w:r>
          </w:p>
        </w:tc>
      </w:tr>
      <w:tr w14:paraId="63EE5CE9">
        <w:tblPrEx>
          <w:tblCellMar>
            <w:top w:w="0" w:type="dxa"/>
            <w:left w:w="0" w:type="dxa"/>
            <w:bottom w:w="0" w:type="dxa"/>
            <w:right w:w="0" w:type="dxa"/>
          </w:tblCellMar>
        </w:tblPrEx>
        <w:trPr>
          <w:trHeight w:val="0" w:hRule="atLeast"/>
          <w:jc w:val="center"/>
        </w:trPr>
        <w:tc>
          <w:tcPr>
            <w:tcW w:w="484" w:type="pct"/>
            <w:vMerge w:val="continue"/>
            <w:tcBorders>
              <w:top w:val="nil"/>
              <w:left w:val="single" w:color="000000" w:sz="8" w:space="0"/>
              <w:bottom w:val="single" w:color="000000" w:sz="8" w:space="0"/>
              <w:right w:val="single" w:color="000000" w:sz="8" w:space="0"/>
            </w:tcBorders>
            <w:shd w:val="clear" w:color="auto" w:fill="auto"/>
            <w:noWrap w:val="0"/>
            <w:vAlign w:val="center"/>
          </w:tcPr>
          <w:p w14:paraId="5B1C8B79">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673"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D77A8BB">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Ⅲ4高原亚热带北部常绿阔叶林生态区</w:t>
            </w:r>
          </w:p>
          <w:p w14:paraId="6D64ACB0">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 </w:t>
            </w:r>
          </w:p>
        </w:tc>
        <w:tc>
          <w:tcPr>
            <w:tcW w:w="828"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292E181">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Ⅲ4-4牛栏江、南盘江上游岩溶山原水源涵养生态功能区</w:t>
            </w:r>
          </w:p>
        </w:tc>
        <w:tc>
          <w:tcPr>
            <w:tcW w:w="68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4E418F4">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土地垦殖过度、森林退化严重</w:t>
            </w:r>
          </w:p>
        </w:tc>
        <w:tc>
          <w:tcPr>
            <w:tcW w:w="615"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0E12C73">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石漠化高中度敏感、土壤侵蚀中度敏感</w:t>
            </w:r>
          </w:p>
        </w:tc>
        <w:tc>
          <w:tcPr>
            <w:tcW w:w="653"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4AC8826">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牛栏江、南盘江上游岩溶地区的水源涵养</w:t>
            </w:r>
          </w:p>
        </w:tc>
        <w:tc>
          <w:tcPr>
            <w:tcW w:w="1062" w:type="pc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B391C8D">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严格退耕还林，加大封山育林的力度，调整产业结构，提高森林的数量和质量</w:t>
            </w:r>
          </w:p>
        </w:tc>
      </w:tr>
    </w:tbl>
    <w:p w14:paraId="6B8AC8F0">
      <w:pPr>
        <w:pStyle w:val="3"/>
        <w:numPr>
          <w:ilvl w:val="1"/>
          <w:numId w:val="4"/>
        </w:numPr>
        <w:spacing w:before="374" w:after="249"/>
        <w:rPr>
          <w:rFonts w:hint="default" w:ascii="Times New Roman" w:hAnsi="Times New Roman" w:eastAsia="宋体" w:cs="Times New Roman"/>
          <w:color w:val="auto"/>
          <w:highlight w:val="none"/>
        </w:rPr>
      </w:pPr>
      <w:bookmarkStart w:id="40" w:name="_Toc4716"/>
      <w:r>
        <w:rPr>
          <w:rFonts w:hint="default" w:ascii="Times New Roman" w:hAnsi="Times New Roman" w:eastAsia="宋体" w:cs="Times New Roman"/>
          <w:color w:val="auto"/>
          <w:highlight w:val="none"/>
        </w:rPr>
        <w:t>环境保护目标</w:t>
      </w:r>
      <w:bookmarkEnd w:id="40"/>
    </w:p>
    <w:p w14:paraId="0F82AA78">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w:t>
      </w:r>
      <w:r>
        <w:rPr>
          <w:rFonts w:hint="default" w:ascii="Times New Roman" w:hAnsi="Times New Roman" w:eastAsia="宋体" w:cs="Times New Roman"/>
          <w:color w:val="auto"/>
          <w:highlight w:val="none"/>
          <w:lang w:val="en-US" w:eastAsia="zh-CN"/>
        </w:rPr>
        <w:t>保护</w:t>
      </w:r>
      <w:r>
        <w:rPr>
          <w:rFonts w:hint="default" w:ascii="Times New Roman" w:hAnsi="Times New Roman" w:eastAsia="宋体" w:cs="Times New Roman"/>
          <w:color w:val="auto"/>
          <w:highlight w:val="none"/>
        </w:rPr>
        <w:t>目标</w:t>
      </w:r>
    </w:p>
    <w:p w14:paraId="0CC98CC2">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在保护生态环境、维护河流健康的前提下，合理开发利用和保护水资源，通过增加有效供水、控制需求、强化节水、合理调配，使流域内缺水状况得到改善。协调水资源开发利用与其他规划任务的关系，促进当地经济发展，更好</w:t>
      </w:r>
      <w:r>
        <w:rPr>
          <w:rFonts w:hint="default" w:ascii="Times New Roman" w:hAnsi="Times New Roman" w:cs="Times New Roman"/>
          <w:color w:val="auto"/>
          <w:highlight w:val="none"/>
          <w:lang w:val="en-US" w:eastAsia="zh-CN"/>
        </w:rPr>
        <w:t>地</w:t>
      </w:r>
      <w:r>
        <w:rPr>
          <w:rFonts w:hint="default" w:ascii="Times New Roman" w:hAnsi="Times New Roman" w:eastAsia="宋体" w:cs="Times New Roman"/>
          <w:color w:val="auto"/>
          <w:highlight w:val="none"/>
          <w:lang w:val="en-US" w:eastAsia="zh-CN"/>
        </w:rPr>
        <w:t>改变生态环境。</w:t>
      </w:r>
    </w:p>
    <w:p w14:paraId="163C3505">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保护南盘江（曲靖市境内）流域综合规划所涉及的水域水环境，使规划水域水质能满足水功能区水质目标要求，水环境得到改善，污染物入河量全部控制在功能区限制排污总量范围内。工程施工和运行不降低相关河段水质标准和功能。采取措施减缓低温水下泄对鱼类生存和繁殖的影响，满足河流生态需水要求。</w:t>
      </w:r>
      <w:r>
        <w:rPr>
          <w:rFonts w:cs="Times New Roman"/>
          <w:color w:val="auto"/>
        </w:rPr>
        <w:t>保障流域饮用水源地安全，主要县级及以上集中式饮用水源地安全保障问题得到有效解决，流域水资源质量得到维护和改善。</w:t>
      </w:r>
    </w:p>
    <w:p w14:paraId="59798721">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保护和改善南盘江（曲靖市境内）流域综合规划区域自然体系的结构和功能，维护生态系统稳定性，保护流域内复杂、独特的水生态环境，不同类型的生境得到有效保护；加强生物物种保护与资源养护，重点保护规划方案涉及的生物多样性、珍稀濒危陆生动植物。</w:t>
      </w:r>
    </w:p>
    <w:p w14:paraId="1ECEC592">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（4）规划实施中尽量减少占地面积，防止水土流失，并做好复耕和绿化措施，提高土地利用率。</w:t>
      </w:r>
    </w:p>
    <w:p w14:paraId="5931AA90">
      <w:pPr>
        <w:snapToGrid w:val="0"/>
        <w:spacing w:line="348" w:lineRule="auto"/>
        <w:ind w:firstLine="480"/>
        <w:rPr>
          <w:rFonts w:hint="default" w:ascii="Times New Roman" w:hAnsi="Times New Roman" w:cs="Times New Roman" w:eastAsiaTheme="minorEastAsia"/>
          <w:color w:val="auto"/>
          <w:sz w:val="24"/>
          <w:highlight w:val="none"/>
        </w:rPr>
      </w:pPr>
      <w:r>
        <w:rPr>
          <w:rFonts w:hint="default" w:ascii="Times New Roman" w:hAnsi="Times New Roman" w:cs="Times New Roman" w:eastAsiaTheme="minorEastAsia"/>
          <w:color w:val="auto"/>
          <w:sz w:val="24"/>
          <w:highlight w:val="none"/>
        </w:rPr>
        <w:t>（5）规划实施符合区域环境保护与环境功能的要求，统筹考虑供水、防洪、灌溉等方面的功能，最大限度地发挥</w:t>
      </w:r>
      <w:r>
        <w:rPr>
          <w:rFonts w:hint="default" w:ascii="Times New Roman" w:hAnsi="Times New Roman" w:eastAsia="宋体" w:cs="Times New Roman"/>
          <w:color w:val="auto"/>
          <w:highlight w:val="none"/>
          <w:lang w:val="en-US" w:eastAsia="zh-CN"/>
        </w:rPr>
        <w:t>南盘江（曲靖市境内）流域综合规划</w:t>
      </w:r>
      <w:r>
        <w:rPr>
          <w:rFonts w:hint="default" w:ascii="Times New Roman" w:hAnsi="Times New Roman" w:cs="Times New Roman" w:eastAsiaTheme="minorEastAsia"/>
          <w:color w:val="auto"/>
          <w:sz w:val="24"/>
          <w:highlight w:val="none"/>
        </w:rPr>
        <w:t>对当地保护生态、促进社会事业和民生改善的重要作用，促进流域内的经济、社会与环境的协调可持续发展。保护当地民族文化与宗教信仰，少数民族文化传统得以传承。</w:t>
      </w:r>
    </w:p>
    <w:p w14:paraId="5A8E1F2F">
      <w:pPr>
        <w:pStyle w:val="4"/>
        <w:snapToGrid w:val="0"/>
        <w:spacing w:line="348" w:lineRule="auto"/>
        <w:ind w:firstLine="480"/>
        <w:rPr>
          <w:rFonts w:hint="default" w:ascii="Times New Roman" w:hAnsi="Times New Roman" w:cs="Times New Roman" w:eastAsiaTheme="minorEastAsia"/>
          <w:color w:val="auto"/>
          <w:sz w:val="24"/>
          <w:highlight w:val="none"/>
        </w:rPr>
      </w:pPr>
      <w:r>
        <w:rPr>
          <w:rFonts w:hint="default" w:ascii="Times New Roman" w:hAnsi="Times New Roman" w:eastAsia="宋体" w:cs="Times New Roman"/>
          <w:color w:val="auto"/>
          <w:highlight w:val="none"/>
          <w:lang w:val="en-US" w:eastAsia="zh-CN"/>
        </w:rPr>
        <w:t>南盘江（曲靖市境内）流域</w:t>
      </w:r>
      <w:r>
        <w:rPr>
          <w:rFonts w:hint="default" w:ascii="Times New Roman" w:hAnsi="Times New Roman" w:cs="Times New Roman" w:eastAsiaTheme="minorEastAsia"/>
          <w:color w:val="auto"/>
          <w:sz w:val="24"/>
          <w:highlight w:val="none"/>
        </w:rPr>
        <w:t>环境</w:t>
      </w:r>
      <w:r>
        <w:rPr>
          <w:rFonts w:hint="default" w:ascii="Times New Roman" w:hAnsi="Times New Roman" w:cs="Times New Roman" w:eastAsiaTheme="minorEastAsia"/>
          <w:color w:val="auto"/>
          <w:sz w:val="24"/>
          <w:highlight w:val="none"/>
          <w:lang w:val="en-US" w:eastAsia="zh-CN"/>
        </w:rPr>
        <w:t>保护</w:t>
      </w:r>
      <w:r>
        <w:rPr>
          <w:rFonts w:hint="default" w:ascii="Times New Roman" w:hAnsi="Times New Roman" w:cs="Times New Roman" w:eastAsiaTheme="minorEastAsia"/>
          <w:color w:val="auto"/>
          <w:sz w:val="24"/>
          <w:highlight w:val="none"/>
        </w:rPr>
        <w:t>目标详见表1.</w:t>
      </w:r>
      <w:r>
        <w:rPr>
          <w:rFonts w:hint="default" w:ascii="Times New Roman" w:hAnsi="Times New Roman" w:cs="Times New Roman" w:eastAsiaTheme="minorEastAsia"/>
          <w:color w:val="auto"/>
          <w:sz w:val="24"/>
          <w:highlight w:val="none"/>
          <w:lang w:val="en-US" w:eastAsia="zh-CN"/>
        </w:rPr>
        <w:t>6</w:t>
      </w:r>
      <w:r>
        <w:rPr>
          <w:rFonts w:hint="default" w:ascii="Times New Roman" w:hAnsi="Times New Roman" w:cs="Times New Roman" w:eastAsiaTheme="minorEastAsia"/>
          <w:color w:val="auto"/>
          <w:sz w:val="24"/>
          <w:highlight w:val="none"/>
        </w:rPr>
        <w:t>.1-1。</w:t>
      </w:r>
    </w:p>
    <w:p w14:paraId="1DD09019">
      <w:pPr>
        <w:pStyle w:val="29"/>
        <w:bidi w:val="0"/>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表1.</w:t>
      </w:r>
      <w:r>
        <w:rPr>
          <w:rFonts w:hint="default" w:ascii="Times New Roman" w:hAnsi="Times New Roman" w:eastAsia="宋体" w:cs="Times New Roman"/>
          <w:color w:val="auto"/>
          <w:highlight w:val="none"/>
          <w:lang w:val="en-US" w:eastAsia="zh-CN"/>
        </w:rPr>
        <w:t>6</w:t>
      </w:r>
      <w:r>
        <w:rPr>
          <w:rFonts w:hint="default" w:ascii="Times New Roman" w:hAnsi="Times New Roman" w:eastAsia="宋体" w:cs="Times New Roman"/>
          <w:color w:val="auto"/>
          <w:highlight w:val="none"/>
        </w:rPr>
        <w:t xml:space="preserve">.1-1   </w:t>
      </w:r>
      <w:r>
        <w:rPr>
          <w:rFonts w:hint="default" w:ascii="Times New Roman" w:hAnsi="Times New Roman" w:eastAsia="宋体" w:cs="Times New Roman"/>
          <w:color w:val="auto"/>
          <w:highlight w:val="none"/>
          <w:lang w:val="en-US" w:eastAsia="zh-CN"/>
        </w:rPr>
        <w:t>南盘江（曲靖市境内）流域综合规划</w:t>
      </w:r>
      <w:r>
        <w:rPr>
          <w:rFonts w:hint="default" w:ascii="Times New Roman" w:hAnsi="Times New Roman" w:eastAsia="宋体" w:cs="Times New Roman"/>
          <w:color w:val="auto"/>
          <w:highlight w:val="none"/>
        </w:rPr>
        <w:t>环境</w:t>
      </w:r>
      <w:r>
        <w:rPr>
          <w:rFonts w:hint="default" w:ascii="Times New Roman" w:hAnsi="Times New Roman" w:eastAsia="宋体" w:cs="Times New Roman"/>
          <w:color w:val="auto"/>
          <w:highlight w:val="none"/>
          <w:lang w:val="en-US" w:eastAsia="zh-CN"/>
        </w:rPr>
        <w:t>保护</w:t>
      </w:r>
      <w:r>
        <w:rPr>
          <w:rFonts w:hint="default" w:ascii="Times New Roman" w:hAnsi="Times New Roman" w:eastAsia="宋体" w:cs="Times New Roman"/>
          <w:color w:val="auto"/>
          <w:highlight w:val="none"/>
        </w:rPr>
        <w:t>目标一览表</w:t>
      </w:r>
    </w:p>
    <w:tbl>
      <w:tblPr>
        <w:tblStyle w:val="22"/>
        <w:tblW w:w="9759"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1" w:type="dxa"/>
          <w:bottom w:w="0" w:type="dxa"/>
          <w:right w:w="11" w:type="dxa"/>
        </w:tblCellMar>
      </w:tblPr>
      <w:tblGrid>
        <w:gridCol w:w="838"/>
        <w:gridCol w:w="991"/>
        <w:gridCol w:w="2484"/>
        <w:gridCol w:w="2548"/>
        <w:gridCol w:w="2898"/>
      </w:tblGrid>
      <w:tr w14:paraId="03C2974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tblHeader/>
          <w:jc w:val="center"/>
        </w:trPr>
        <w:tc>
          <w:tcPr>
            <w:tcW w:w="1829" w:type="dxa"/>
            <w:gridSpan w:val="2"/>
            <w:shd w:val="clear" w:color="auto" w:fill="auto"/>
            <w:noWrap/>
            <w:vAlign w:val="center"/>
          </w:tcPr>
          <w:p w14:paraId="0C759CF9">
            <w:pPr>
              <w:pStyle w:val="30"/>
              <w:bidi w:val="0"/>
              <w:snapToGrid w:val="0"/>
              <w:spacing w:line="240" w:lineRule="auto"/>
              <w:ind w:left="0" w:leftChars="0" w:right="0" w:rightChars="0" w:firstLine="0" w:firstLineChars="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类型</w:t>
            </w:r>
          </w:p>
        </w:tc>
        <w:tc>
          <w:tcPr>
            <w:tcW w:w="2484" w:type="dxa"/>
            <w:shd w:val="clear" w:color="auto" w:fill="auto"/>
            <w:vAlign w:val="center"/>
          </w:tcPr>
          <w:p w14:paraId="056B80B9">
            <w:pPr>
              <w:pStyle w:val="30"/>
              <w:bidi w:val="0"/>
              <w:snapToGrid w:val="0"/>
              <w:spacing w:line="240" w:lineRule="auto"/>
              <w:ind w:left="0" w:leftChars="0" w:right="0" w:rightChars="0" w:firstLine="0" w:firstLineChars="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敏感保护目标</w:t>
            </w:r>
          </w:p>
        </w:tc>
        <w:tc>
          <w:tcPr>
            <w:tcW w:w="2548" w:type="dxa"/>
            <w:shd w:val="clear" w:color="auto" w:fill="auto"/>
            <w:vAlign w:val="center"/>
          </w:tcPr>
          <w:p w14:paraId="632EFA78">
            <w:pPr>
              <w:pStyle w:val="30"/>
              <w:bidi w:val="0"/>
              <w:snapToGrid w:val="0"/>
              <w:spacing w:line="240" w:lineRule="auto"/>
              <w:ind w:left="0" w:leftChars="0" w:right="0" w:rightChars="0" w:firstLine="0" w:firstLineChars="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保护目标</w:t>
            </w:r>
          </w:p>
        </w:tc>
        <w:tc>
          <w:tcPr>
            <w:tcW w:w="2898" w:type="dxa"/>
            <w:shd w:val="clear" w:color="auto" w:fill="auto"/>
            <w:vAlign w:val="center"/>
          </w:tcPr>
          <w:p w14:paraId="292E9E1F">
            <w:pPr>
              <w:pStyle w:val="30"/>
              <w:bidi w:val="0"/>
              <w:snapToGrid w:val="0"/>
              <w:spacing w:line="240" w:lineRule="auto"/>
              <w:ind w:left="0" w:leftChars="0" w:right="0" w:rightChars="0" w:firstLine="0" w:firstLineChars="0"/>
              <w:jc w:val="center"/>
              <w:rPr>
                <w:rFonts w:hint="default" w:ascii="Times New Roman" w:hAnsi="Times New Roman" w:cs="Times New Roman"/>
                <w:b/>
                <w:color w:val="auto"/>
                <w:highlight w:val="none"/>
              </w:rPr>
            </w:pPr>
            <w:r>
              <w:rPr>
                <w:rFonts w:hint="default" w:ascii="Times New Roman" w:hAnsi="Times New Roman" w:cs="Times New Roman"/>
                <w:b/>
                <w:color w:val="auto"/>
                <w:highlight w:val="none"/>
              </w:rPr>
              <w:t>影响</w:t>
            </w:r>
            <w:r>
              <w:rPr>
                <w:rFonts w:hint="default" w:ascii="Times New Roman" w:hAnsi="Times New Roman" w:cs="Times New Roman"/>
                <w:b/>
                <w:color w:val="auto"/>
                <w:highlight w:val="none"/>
                <w:lang w:val="en-US" w:eastAsia="zh-CN"/>
              </w:rPr>
              <w:t>因素</w:t>
            </w:r>
          </w:p>
        </w:tc>
      </w:tr>
      <w:tr w14:paraId="003D65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1829" w:type="dxa"/>
            <w:gridSpan w:val="2"/>
            <w:vMerge w:val="restart"/>
            <w:shd w:val="clear" w:color="auto" w:fill="auto"/>
            <w:noWrap/>
            <w:vAlign w:val="center"/>
          </w:tcPr>
          <w:p w14:paraId="5262EED7">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地表水</w:t>
            </w:r>
            <w:r>
              <w:rPr>
                <w:rFonts w:hint="default" w:ascii="Times New Roman" w:hAnsi="Times New Roman" w:cs="Times New Roman"/>
                <w:color w:val="auto"/>
                <w:highlight w:val="none"/>
              </w:rPr>
              <w:t>环境</w:t>
            </w:r>
          </w:p>
        </w:tc>
        <w:tc>
          <w:tcPr>
            <w:tcW w:w="2484" w:type="dxa"/>
            <w:shd w:val="clear" w:color="auto" w:fill="auto"/>
            <w:vAlign w:val="center"/>
          </w:tcPr>
          <w:p w14:paraId="6FBC41B9">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河流水质</w:t>
            </w:r>
          </w:p>
        </w:tc>
        <w:tc>
          <w:tcPr>
            <w:tcW w:w="2548" w:type="dxa"/>
            <w:shd w:val="clear" w:color="auto" w:fill="auto"/>
            <w:vAlign w:val="center"/>
          </w:tcPr>
          <w:p w14:paraId="6B96C1F5">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水质满足水功能区划</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水资源利用要求</w:t>
            </w:r>
          </w:p>
        </w:tc>
        <w:tc>
          <w:tcPr>
            <w:tcW w:w="2898" w:type="dxa"/>
            <w:shd w:val="clear" w:color="auto" w:fill="auto"/>
            <w:vAlign w:val="center"/>
          </w:tcPr>
          <w:p w14:paraId="0700588D">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规划项目建设施工工期生产生活废污水排放，运行期水文情势变化、退水对水域纳污能力产生的影响，工农业生活退水排放。</w:t>
            </w:r>
          </w:p>
        </w:tc>
      </w:tr>
      <w:tr w14:paraId="7FAD2A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1829" w:type="dxa"/>
            <w:gridSpan w:val="2"/>
            <w:vMerge w:val="continue"/>
            <w:shd w:val="clear" w:color="auto" w:fill="auto"/>
            <w:noWrap/>
            <w:vAlign w:val="center"/>
          </w:tcPr>
          <w:p w14:paraId="2BA95769">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2484" w:type="dxa"/>
            <w:shd w:val="clear" w:color="auto" w:fill="auto"/>
            <w:vAlign w:val="center"/>
          </w:tcPr>
          <w:p w14:paraId="292C956B">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河流水文情势</w:t>
            </w:r>
          </w:p>
        </w:tc>
        <w:tc>
          <w:tcPr>
            <w:tcW w:w="2548" w:type="dxa"/>
            <w:shd w:val="clear" w:color="auto" w:fill="auto"/>
            <w:vAlign w:val="center"/>
          </w:tcPr>
          <w:p w14:paraId="5A199020">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规划水源工程坝下减脱水河段、</w:t>
            </w:r>
            <w:r>
              <w:rPr>
                <w:rFonts w:hint="default" w:ascii="Times New Roman" w:hAnsi="Times New Roman" w:cs="Times New Roman"/>
                <w:color w:val="auto"/>
                <w:highlight w:val="none"/>
                <w:lang w:val="en-US" w:eastAsia="zh-CN"/>
              </w:rPr>
              <w:t>减水区、受水区水文情势不发生显著变化</w:t>
            </w:r>
          </w:p>
        </w:tc>
        <w:tc>
          <w:tcPr>
            <w:tcW w:w="2898" w:type="dxa"/>
            <w:shd w:val="clear" w:color="auto" w:fill="auto"/>
            <w:vAlign w:val="center"/>
          </w:tcPr>
          <w:p w14:paraId="6D4A2327">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规划项目建设导致库区回水河段由河流形态转变为湖库形态；水资源利用导致坝下河段水量减少，形成减脱水河段。</w:t>
            </w:r>
          </w:p>
        </w:tc>
      </w:tr>
      <w:tr w14:paraId="738C453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1829" w:type="dxa"/>
            <w:gridSpan w:val="2"/>
            <w:vMerge w:val="continue"/>
            <w:shd w:val="clear" w:color="auto" w:fill="auto"/>
            <w:noWrap/>
            <w:vAlign w:val="center"/>
          </w:tcPr>
          <w:p w14:paraId="460B7F62">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2484" w:type="dxa"/>
            <w:shd w:val="clear" w:color="auto" w:fill="auto"/>
            <w:vAlign w:val="center"/>
          </w:tcPr>
          <w:p w14:paraId="0D864A47">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水温</w:t>
            </w:r>
          </w:p>
        </w:tc>
        <w:tc>
          <w:tcPr>
            <w:tcW w:w="2548" w:type="dxa"/>
            <w:shd w:val="clear" w:color="auto" w:fill="auto"/>
            <w:vAlign w:val="center"/>
          </w:tcPr>
          <w:p w14:paraId="43EED7C8">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规划水源工程坝下河段、水生生境、农作物灌溉</w:t>
            </w:r>
          </w:p>
        </w:tc>
        <w:tc>
          <w:tcPr>
            <w:tcW w:w="2898" w:type="dxa"/>
            <w:shd w:val="clear" w:color="auto" w:fill="auto"/>
            <w:vAlign w:val="center"/>
          </w:tcPr>
          <w:p w14:paraId="0A675B0E">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大、中型水库工程建设，库区形成低温水，低温水下泄影响下游河道天然水温</w:t>
            </w:r>
            <w:r>
              <w:rPr>
                <w:rFonts w:hint="default" w:ascii="Times New Roman" w:hAnsi="Times New Roman" w:cs="Times New Roman"/>
                <w:color w:val="auto"/>
                <w:highlight w:val="none"/>
                <w:lang w:eastAsia="zh-CN"/>
              </w:rPr>
              <w:t>。</w:t>
            </w:r>
          </w:p>
        </w:tc>
      </w:tr>
      <w:tr w14:paraId="23993A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1829" w:type="dxa"/>
            <w:gridSpan w:val="2"/>
            <w:vMerge w:val="continue"/>
            <w:shd w:val="clear" w:color="auto" w:fill="auto"/>
            <w:noWrap/>
            <w:vAlign w:val="center"/>
          </w:tcPr>
          <w:p w14:paraId="5AE4CA68">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2484" w:type="dxa"/>
            <w:shd w:val="clear" w:color="auto" w:fill="auto"/>
            <w:vAlign w:val="center"/>
          </w:tcPr>
          <w:p w14:paraId="35FB1E2B">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河流生态用水</w:t>
            </w:r>
          </w:p>
        </w:tc>
        <w:tc>
          <w:tcPr>
            <w:tcW w:w="2548" w:type="dxa"/>
            <w:shd w:val="clear" w:color="auto" w:fill="auto"/>
            <w:vAlign w:val="center"/>
          </w:tcPr>
          <w:p w14:paraId="1AA17F17">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按现行环保要求保障生态流量的下放</w:t>
            </w:r>
          </w:p>
        </w:tc>
        <w:tc>
          <w:tcPr>
            <w:tcW w:w="2898" w:type="dxa"/>
            <w:shd w:val="clear" w:color="auto" w:fill="auto"/>
            <w:vAlign w:val="center"/>
          </w:tcPr>
          <w:p w14:paraId="790B2B9A">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规划工程水资源综合利用工程，新建、扩建水库调蓄运行</w:t>
            </w:r>
            <w:r>
              <w:rPr>
                <w:rFonts w:hint="default" w:ascii="Times New Roman" w:hAnsi="Times New Roman" w:cs="Times New Roman"/>
                <w:color w:val="auto"/>
                <w:highlight w:val="none"/>
                <w:lang w:eastAsia="zh-CN"/>
              </w:rPr>
              <w:t>。</w:t>
            </w:r>
          </w:p>
        </w:tc>
      </w:tr>
      <w:tr w14:paraId="1CC24A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1829" w:type="dxa"/>
            <w:gridSpan w:val="2"/>
            <w:vMerge w:val="continue"/>
            <w:shd w:val="clear" w:color="auto" w:fill="auto"/>
            <w:noWrap/>
            <w:vAlign w:val="center"/>
          </w:tcPr>
          <w:p w14:paraId="3FD47BDB">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2484" w:type="dxa"/>
            <w:shd w:val="clear" w:color="auto" w:fill="auto"/>
            <w:vAlign w:val="center"/>
          </w:tcPr>
          <w:p w14:paraId="603A2101">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水资源利用设施、对象</w:t>
            </w:r>
          </w:p>
        </w:tc>
        <w:tc>
          <w:tcPr>
            <w:tcW w:w="2548" w:type="dxa"/>
            <w:shd w:val="clear" w:color="auto" w:fill="auto"/>
            <w:vAlign w:val="center"/>
          </w:tcPr>
          <w:p w14:paraId="0645428C">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保障水利设施的正常运行，保障水资源利用对象的用水权益</w:t>
            </w:r>
          </w:p>
        </w:tc>
        <w:tc>
          <w:tcPr>
            <w:tcW w:w="2898" w:type="dxa"/>
            <w:shd w:val="clear" w:color="auto" w:fill="auto"/>
            <w:vAlign w:val="center"/>
          </w:tcPr>
          <w:p w14:paraId="28A82580">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规划工程新建、水资源区域配置变化</w:t>
            </w:r>
            <w:r>
              <w:rPr>
                <w:rFonts w:hint="default" w:ascii="Times New Roman" w:hAnsi="Times New Roman" w:cs="Times New Roman"/>
                <w:color w:val="auto"/>
                <w:highlight w:val="none"/>
                <w:lang w:eastAsia="zh-CN"/>
              </w:rPr>
              <w:t>。</w:t>
            </w:r>
          </w:p>
        </w:tc>
      </w:tr>
      <w:tr w14:paraId="55981D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1829" w:type="dxa"/>
            <w:gridSpan w:val="2"/>
            <w:shd w:val="clear" w:color="auto" w:fill="auto"/>
            <w:noWrap/>
            <w:vAlign w:val="center"/>
          </w:tcPr>
          <w:p w14:paraId="3B3A8E48">
            <w:pPr>
              <w:pStyle w:val="36"/>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地下水环境</w:t>
            </w:r>
          </w:p>
        </w:tc>
        <w:tc>
          <w:tcPr>
            <w:tcW w:w="2484" w:type="dxa"/>
            <w:shd w:val="clear" w:color="auto" w:fill="auto"/>
            <w:vAlign w:val="center"/>
          </w:tcPr>
          <w:p w14:paraId="78453657">
            <w:pPr>
              <w:pStyle w:val="36"/>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地下水水质、水量（包括集中式饮用水水源、分散式饮用水水源地；特殊地下水资源等保护目标）</w:t>
            </w:r>
          </w:p>
          <w:p w14:paraId="4B97B3DA">
            <w:pPr>
              <w:pStyle w:val="36"/>
              <w:rPr>
                <w:rFonts w:hint="default" w:ascii="Times New Roman" w:hAnsi="Times New Roman" w:cs="Times New Roman"/>
                <w:color w:val="auto"/>
                <w:highlight w:val="none"/>
              </w:rPr>
            </w:pPr>
          </w:p>
        </w:tc>
        <w:tc>
          <w:tcPr>
            <w:tcW w:w="2548" w:type="dxa"/>
            <w:shd w:val="clear" w:color="auto" w:fill="auto"/>
            <w:vAlign w:val="center"/>
          </w:tcPr>
          <w:p w14:paraId="17CC6784">
            <w:pPr>
              <w:pStyle w:val="36"/>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《地下水质量标准》（GB/T 14848-2017）Ⅲ类标准；不对水资源利用造成影响</w:t>
            </w:r>
          </w:p>
        </w:tc>
        <w:tc>
          <w:tcPr>
            <w:tcW w:w="2898" w:type="dxa"/>
            <w:shd w:val="clear" w:color="auto" w:fill="auto"/>
            <w:vAlign w:val="center"/>
          </w:tcPr>
          <w:p w14:paraId="4BEC87C6">
            <w:pPr>
              <w:pStyle w:val="36"/>
              <w:jc w:val="left"/>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供水、灌溉等工程建设以及供水后退水对评价区地下水水质、水量的影响</w:t>
            </w:r>
            <w:r>
              <w:rPr>
                <w:rFonts w:hint="default" w:ascii="Times New Roman" w:hAnsi="Times New Roman" w:cs="Times New Roman"/>
                <w:color w:val="auto"/>
                <w:highlight w:val="none"/>
                <w:lang w:eastAsia="zh-CN"/>
              </w:rPr>
              <w:t>。</w:t>
            </w:r>
          </w:p>
        </w:tc>
      </w:tr>
      <w:tr w14:paraId="5BDD1F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632" w:hRule="atLeast"/>
          <w:jc w:val="center"/>
        </w:trPr>
        <w:tc>
          <w:tcPr>
            <w:tcW w:w="838" w:type="dxa"/>
            <w:vMerge w:val="restart"/>
            <w:shd w:val="clear" w:color="auto" w:fill="auto"/>
            <w:noWrap/>
            <w:textDirection w:val="tbRlV"/>
            <w:vAlign w:val="center"/>
          </w:tcPr>
          <w:p w14:paraId="29313102">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生态环境</w:t>
            </w:r>
          </w:p>
        </w:tc>
        <w:tc>
          <w:tcPr>
            <w:tcW w:w="991" w:type="dxa"/>
            <w:vMerge w:val="restart"/>
            <w:shd w:val="clear" w:color="auto" w:fill="auto"/>
            <w:noWrap/>
            <w:vAlign w:val="center"/>
          </w:tcPr>
          <w:p w14:paraId="541A0568">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水生</w:t>
            </w:r>
          </w:p>
          <w:p w14:paraId="29367A69">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生态</w:t>
            </w:r>
          </w:p>
        </w:tc>
        <w:tc>
          <w:tcPr>
            <w:tcW w:w="2484" w:type="dxa"/>
            <w:shd w:val="clear" w:color="auto" w:fill="auto"/>
            <w:vAlign w:val="center"/>
          </w:tcPr>
          <w:p w14:paraId="490289DC">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highlight w:val="none"/>
              </w:rPr>
            </w:pPr>
            <w:r>
              <w:rPr>
                <w:rStyle w:val="38"/>
                <w:rFonts w:hint="default" w:ascii="Times New Roman" w:hAnsi="Times New Roman" w:eastAsia="宋体" w:cs="Times New Roman"/>
                <w:color w:val="auto"/>
                <w:highlight w:val="none"/>
                <w:lang w:val="en-US" w:eastAsia="zh-CN"/>
              </w:rPr>
              <w:t>土著鱼类和</w:t>
            </w:r>
            <w:r>
              <w:rPr>
                <w:rStyle w:val="38"/>
                <w:rFonts w:hint="default" w:ascii="Times New Roman" w:hAnsi="Times New Roman" w:cs="Times New Roman"/>
                <w:color w:val="auto"/>
                <w:highlight w:val="none"/>
              </w:rPr>
              <w:t>重点鱼类</w:t>
            </w:r>
          </w:p>
        </w:tc>
        <w:tc>
          <w:tcPr>
            <w:tcW w:w="2548" w:type="dxa"/>
            <w:vMerge w:val="restart"/>
            <w:shd w:val="clear" w:color="auto" w:fill="auto"/>
            <w:vAlign w:val="center"/>
          </w:tcPr>
          <w:p w14:paraId="71CA6127">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Style w:val="38"/>
                <w:rFonts w:hint="default" w:ascii="Times New Roman" w:hAnsi="Times New Roman" w:eastAsia="宋体" w:cs="Times New Roman"/>
                <w:color w:val="auto"/>
                <w:highlight w:val="none"/>
                <w:lang w:val="en-US" w:eastAsia="zh-CN"/>
              </w:rPr>
              <w:t>土著鱼类、重点保护鱼类种群结构稳定，数量不受显著影响；重要生境维持完整，以保障流域内水生生物群落结构的完整性，使生物多样性水平保持在现有稳定状态，满足各类水生生物长期生存繁衍的基本条件</w:t>
            </w:r>
          </w:p>
        </w:tc>
        <w:tc>
          <w:tcPr>
            <w:tcW w:w="2898" w:type="dxa"/>
            <w:vMerge w:val="restart"/>
            <w:shd w:val="clear" w:color="auto" w:fill="auto"/>
            <w:vAlign w:val="center"/>
          </w:tcPr>
          <w:p w14:paraId="55B3465F">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eastAsia="zh-CN"/>
              </w:rPr>
            </w:pPr>
            <w:r>
              <w:rPr>
                <w:rStyle w:val="38"/>
                <w:rFonts w:hint="default" w:ascii="Times New Roman" w:hAnsi="Times New Roman" w:cs="Times New Roman"/>
                <w:color w:val="auto"/>
                <w:highlight w:val="none"/>
              </w:rPr>
              <w:t>规划项目实施过程中带来的</w:t>
            </w:r>
            <w:r>
              <w:rPr>
                <w:rStyle w:val="38"/>
                <w:rFonts w:hint="default" w:ascii="Times New Roman" w:hAnsi="Times New Roman" w:eastAsia="宋体" w:cs="Times New Roman"/>
                <w:color w:val="auto"/>
                <w:highlight w:val="none"/>
                <w:lang w:val="en-US" w:eastAsia="zh-CN"/>
              </w:rPr>
              <w:t>水生</w:t>
            </w:r>
            <w:r>
              <w:rPr>
                <w:rStyle w:val="38"/>
                <w:rFonts w:hint="default" w:ascii="Times New Roman" w:hAnsi="Times New Roman" w:cs="Times New Roman"/>
                <w:color w:val="auto"/>
                <w:highlight w:val="none"/>
              </w:rPr>
              <w:t>生态破坏、工程占地、淹没及施工干扰，项目运行产生的大坝阻隔、</w:t>
            </w:r>
            <w:r>
              <w:rPr>
                <w:rStyle w:val="38"/>
                <w:rFonts w:hint="default" w:ascii="Times New Roman" w:hAnsi="Times New Roman" w:eastAsia="宋体" w:cs="Times New Roman"/>
                <w:color w:val="auto"/>
                <w:highlight w:val="none"/>
                <w:lang w:val="en-US" w:eastAsia="zh-CN"/>
              </w:rPr>
              <w:t>水文情势变化、</w:t>
            </w:r>
            <w:r>
              <w:rPr>
                <w:rStyle w:val="38"/>
                <w:rFonts w:hint="default" w:ascii="Times New Roman" w:hAnsi="Times New Roman" w:cs="Times New Roman"/>
                <w:color w:val="auto"/>
                <w:highlight w:val="none"/>
              </w:rPr>
              <w:t>生境</w:t>
            </w:r>
            <w:r>
              <w:rPr>
                <w:rStyle w:val="38"/>
                <w:rFonts w:hint="default" w:ascii="Times New Roman" w:hAnsi="Times New Roman" w:eastAsia="宋体" w:cs="Times New Roman"/>
                <w:color w:val="auto"/>
                <w:highlight w:val="none"/>
                <w:lang w:val="en-US" w:eastAsia="zh-CN"/>
              </w:rPr>
              <w:t>变化</w:t>
            </w:r>
            <w:r>
              <w:rPr>
                <w:rStyle w:val="38"/>
                <w:rFonts w:hint="default" w:ascii="Times New Roman" w:hAnsi="Times New Roman" w:cs="Times New Roman"/>
                <w:color w:val="auto"/>
                <w:highlight w:val="none"/>
              </w:rPr>
              <w:t>等影响</w:t>
            </w:r>
            <w:r>
              <w:rPr>
                <w:rStyle w:val="38"/>
                <w:rFonts w:hint="default" w:ascii="Times New Roman" w:hAnsi="Times New Roman" w:cs="Times New Roman"/>
                <w:color w:val="auto"/>
                <w:highlight w:val="none"/>
                <w:lang w:eastAsia="zh-CN"/>
              </w:rPr>
              <w:t>。</w:t>
            </w:r>
          </w:p>
        </w:tc>
      </w:tr>
      <w:tr w14:paraId="00756B9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shd w:val="clear" w:color="auto" w:fill="auto"/>
            <w:noWrap/>
            <w:textDirection w:val="tbRlV"/>
            <w:vAlign w:val="center"/>
          </w:tcPr>
          <w:p w14:paraId="17580718">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Merge w:val="continue"/>
            <w:shd w:val="clear" w:color="auto" w:fill="auto"/>
            <w:noWrap/>
            <w:vAlign w:val="center"/>
          </w:tcPr>
          <w:p w14:paraId="70693B50">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c>
          <w:tcPr>
            <w:tcW w:w="2484" w:type="dxa"/>
            <w:shd w:val="clear" w:color="auto" w:fill="auto"/>
            <w:vAlign w:val="center"/>
          </w:tcPr>
          <w:p w14:paraId="6BF15AFD">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Style w:val="38"/>
                <w:rFonts w:hint="default" w:ascii="Times New Roman" w:hAnsi="Times New Roman" w:eastAsia="宋体" w:cs="Times New Roman"/>
                <w:color w:val="auto"/>
                <w:highlight w:val="none"/>
                <w:lang w:val="en-US" w:eastAsia="zh-CN"/>
              </w:rPr>
            </w:pPr>
            <w:r>
              <w:rPr>
                <w:rStyle w:val="38"/>
                <w:rFonts w:hint="default" w:ascii="Times New Roman" w:hAnsi="Times New Roman" w:cs="Times New Roman"/>
                <w:color w:val="auto"/>
                <w:highlight w:val="none"/>
              </w:rPr>
              <w:t>重要生境</w:t>
            </w:r>
            <w:r>
              <w:rPr>
                <w:rStyle w:val="38"/>
                <w:rFonts w:hint="default" w:ascii="Times New Roman" w:hAnsi="Times New Roman" w:eastAsia="宋体" w:cs="Times New Roman"/>
                <w:color w:val="auto"/>
                <w:highlight w:val="none"/>
                <w:lang w:eastAsia="zh-CN"/>
              </w:rPr>
              <w:t>，</w:t>
            </w:r>
            <w:r>
              <w:rPr>
                <w:rStyle w:val="38"/>
                <w:rFonts w:hint="default" w:ascii="Times New Roman" w:hAnsi="Times New Roman" w:eastAsia="宋体" w:cs="Times New Roman"/>
                <w:color w:val="auto"/>
                <w:highlight w:val="none"/>
                <w:lang w:val="en-US" w:eastAsia="zh-CN"/>
              </w:rPr>
              <w:t>鱼类三场；</w:t>
            </w:r>
          </w:p>
          <w:p w14:paraId="31DF898C">
            <w:pPr>
              <w:keepNext w:val="0"/>
              <w:keepLines w:val="0"/>
              <w:pageBreakBefore w:val="0"/>
              <w:widowControl/>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color w:val="auto"/>
                <w:highlight w:val="none"/>
              </w:rPr>
            </w:pPr>
            <w:r>
              <w:rPr>
                <w:rStyle w:val="38"/>
                <w:rFonts w:hint="default" w:ascii="Times New Roman" w:hAnsi="Times New Roman" w:eastAsia="宋体" w:cs="Times New Roman"/>
                <w:color w:val="auto"/>
                <w:highlight w:val="none"/>
                <w:lang w:val="en-US" w:eastAsia="zh-CN"/>
              </w:rPr>
              <w:t>水生生态系统结构和功能</w:t>
            </w:r>
          </w:p>
        </w:tc>
        <w:tc>
          <w:tcPr>
            <w:tcW w:w="2548" w:type="dxa"/>
            <w:vMerge w:val="continue"/>
            <w:shd w:val="clear" w:color="auto" w:fill="auto"/>
            <w:vAlign w:val="center"/>
          </w:tcPr>
          <w:p w14:paraId="648760F6">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c>
          <w:tcPr>
            <w:tcW w:w="2898" w:type="dxa"/>
            <w:vMerge w:val="continue"/>
            <w:shd w:val="clear" w:color="auto" w:fill="auto"/>
            <w:vAlign w:val="center"/>
          </w:tcPr>
          <w:p w14:paraId="04F9A816">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r>
      <w:tr w14:paraId="20A5D8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tcBorders>
              <w:bottom w:val="single" w:color="auto" w:sz="6" w:space="0"/>
            </w:tcBorders>
            <w:vAlign w:val="center"/>
          </w:tcPr>
          <w:p w14:paraId="3E6AEA27">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Merge w:val="restart"/>
            <w:tcBorders>
              <w:bottom w:val="single" w:color="auto" w:sz="6" w:space="0"/>
            </w:tcBorders>
            <w:shd w:val="clear" w:color="auto" w:fill="auto"/>
            <w:noWrap/>
            <w:vAlign w:val="center"/>
          </w:tcPr>
          <w:p w14:paraId="301596A7">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陆生</w:t>
            </w:r>
          </w:p>
          <w:p w14:paraId="2F85B296">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生态</w:t>
            </w:r>
          </w:p>
        </w:tc>
        <w:tc>
          <w:tcPr>
            <w:tcW w:w="2484" w:type="dxa"/>
            <w:tcBorders>
              <w:bottom w:val="single" w:color="auto" w:sz="6" w:space="0"/>
            </w:tcBorders>
            <w:shd w:val="clear" w:color="auto" w:fill="auto"/>
            <w:vAlign w:val="center"/>
          </w:tcPr>
          <w:p w14:paraId="7AAFBF79">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陆生生态系统、自然植被、野生植物、陆生脊椎动物，尤其是珍稀保护动</w:t>
            </w:r>
            <w:r>
              <w:rPr>
                <w:rFonts w:hint="default" w:ascii="Times New Roman" w:hAnsi="Times New Roman" w:cs="Times New Roman"/>
                <w:color w:val="auto"/>
                <w:highlight w:val="none"/>
                <w:lang w:eastAsia="zh-CN"/>
              </w:rPr>
              <w:t>物和</w:t>
            </w:r>
            <w:r>
              <w:rPr>
                <w:rFonts w:hint="default" w:ascii="Times New Roman" w:hAnsi="Times New Roman" w:cs="Times New Roman"/>
                <w:color w:val="auto"/>
                <w:highlight w:val="none"/>
              </w:rPr>
              <w:t>植物及其重要生境</w:t>
            </w:r>
          </w:p>
        </w:tc>
        <w:tc>
          <w:tcPr>
            <w:tcW w:w="2548" w:type="dxa"/>
            <w:vMerge w:val="restart"/>
            <w:tcBorders>
              <w:bottom w:val="single" w:color="auto" w:sz="6" w:space="0"/>
            </w:tcBorders>
            <w:shd w:val="clear" w:color="auto" w:fill="auto"/>
            <w:vAlign w:val="center"/>
          </w:tcPr>
          <w:p w14:paraId="28A16E69">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生态系统结构和功能无显著改变，自然植被、动植物资源及物种多样性不受显著影响，保护动植物种群数量，栖息、繁殖活动不受显著影响</w:t>
            </w:r>
          </w:p>
        </w:tc>
        <w:tc>
          <w:tcPr>
            <w:tcW w:w="2898" w:type="dxa"/>
            <w:tcBorders>
              <w:bottom w:val="single" w:color="auto" w:sz="6" w:space="0"/>
            </w:tcBorders>
            <w:shd w:val="clear" w:color="auto" w:fill="auto"/>
            <w:vAlign w:val="center"/>
          </w:tcPr>
          <w:p w14:paraId="1E1C2AD4">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规划项目实施过程中带来的生态破坏，工程占地、淹没及施工干扰，生境减少等影响。</w:t>
            </w:r>
          </w:p>
        </w:tc>
      </w:tr>
      <w:tr w14:paraId="4E03060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65818E01">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Merge w:val="continue"/>
            <w:vAlign w:val="center"/>
          </w:tcPr>
          <w:p w14:paraId="0DB4257A">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c>
          <w:tcPr>
            <w:tcW w:w="2484" w:type="dxa"/>
            <w:shd w:val="clear" w:color="auto" w:fill="auto"/>
            <w:vAlign w:val="center"/>
          </w:tcPr>
          <w:p w14:paraId="606539DD">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篦齿苏铁、黄杉、</w:t>
            </w:r>
            <w:r>
              <w:rPr>
                <w:rFonts w:hint="default" w:ascii="Times New Roman" w:hAnsi="Times New Roman" w:cs="Times New Roman"/>
                <w:color w:val="auto"/>
                <w:highlight w:val="none"/>
              </w:rPr>
              <w:t>红椿、</w:t>
            </w:r>
            <w:r>
              <w:rPr>
                <w:rFonts w:hint="default" w:ascii="Times New Roman" w:hAnsi="Times New Roman" w:cs="Times New Roman"/>
                <w:color w:val="auto"/>
                <w:highlight w:val="none"/>
                <w:lang w:val="en-US" w:eastAsia="zh-CN"/>
              </w:rPr>
              <w:t>大叶榉树、大花香水月季等16种</w:t>
            </w:r>
            <w:r>
              <w:rPr>
                <w:rFonts w:hint="default" w:ascii="Times New Roman" w:hAnsi="Times New Roman" w:cs="Times New Roman"/>
                <w:color w:val="auto"/>
                <w:highlight w:val="none"/>
              </w:rPr>
              <w:t>国家重点保护野生植物，云南樟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扇蕨等3种</w:t>
            </w:r>
            <w:r>
              <w:rPr>
                <w:rFonts w:hint="default" w:ascii="Times New Roman" w:hAnsi="Times New Roman" w:cs="Times New Roman"/>
                <w:color w:val="auto"/>
                <w:highlight w:val="none"/>
              </w:rPr>
              <w:t>云南省级保护植物；</w:t>
            </w:r>
            <w:r>
              <w:rPr>
                <w:rFonts w:hint="default" w:ascii="Times New Roman" w:hAnsi="Times New Roman" w:cs="Times New Roman"/>
                <w:color w:val="auto"/>
                <w:highlight w:val="none"/>
                <w:lang w:val="en-US" w:eastAsia="zh-CN"/>
              </w:rPr>
              <w:t>1366株</w:t>
            </w:r>
            <w:r>
              <w:rPr>
                <w:rFonts w:hint="default" w:ascii="Times New Roman" w:hAnsi="Times New Roman" w:cs="Times New Roman"/>
                <w:color w:val="auto"/>
                <w:highlight w:val="none"/>
              </w:rPr>
              <w:t>古树名木</w:t>
            </w:r>
          </w:p>
        </w:tc>
        <w:tc>
          <w:tcPr>
            <w:tcW w:w="2548" w:type="dxa"/>
            <w:vMerge w:val="continue"/>
            <w:shd w:val="clear" w:color="auto" w:fill="auto"/>
            <w:vAlign w:val="center"/>
          </w:tcPr>
          <w:p w14:paraId="151FBC9F">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c>
          <w:tcPr>
            <w:tcW w:w="2898" w:type="dxa"/>
            <w:shd w:val="clear" w:color="auto" w:fill="auto"/>
            <w:vAlign w:val="center"/>
          </w:tcPr>
          <w:p w14:paraId="60660AC3">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部分种类可能受规划工程占地或淹没影响</w:t>
            </w:r>
            <w:r>
              <w:rPr>
                <w:rFonts w:hint="default" w:ascii="Times New Roman" w:hAnsi="Times New Roman" w:cs="Times New Roman"/>
                <w:color w:val="auto"/>
                <w:highlight w:val="none"/>
                <w:lang w:eastAsia="zh-CN"/>
              </w:rPr>
              <w:t>。</w:t>
            </w:r>
          </w:p>
        </w:tc>
      </w:tr>
      <w:tr w14:paraId="606D7D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2BCA8FCC">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Merge w:val="continue"/>
            <w:vAlign w:val="center"/>
          </w:tcPr>
          <w:p w14:paraId="488E85E8">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c>
          <w:tcPr>
            <w:tcW w:w="2484" w:type="dxa"/>
            <w:shd w:val="clear" w:color="auto" w:fill="auto"/>
            <w:vAlign w:val="center"/>
          </w:tcPr>
          <w:p w14:paraId="0367BBCB">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林麝</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中华穿山甲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大灵猫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小灵猫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东方白鹳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黑颈长尾雉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中华秋沙鸭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白肩雕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金雕等</w:t>
            </w:r>
            <w:r>
              <w:rPr>
                <w:rFonts w:hint="default" w:ascii="Times New Roman" w:hAnsi="Times New Roman" w:cs="Times New Roman"/>
                <w:color w:val="auto"/>
                <w:highlight w:val="none"/>
                <w:lang w:val="en-US" w:eastAsia="zh-CN"/>
              </w:rPr>
              <w:t>76种</w:t>
            </w:r>
            <w:r>
              <w:rPr>
                <w:rFonts w:hint="default" w:ascii="Times New Roman" w:hAnsi="Times New Roman" w:cs="Times New Roman"/>
                <w:color w:val="auto"/>
                <w:highlight w:val="none"/>
              </w:rPr>
              <w:t>国家重点保护野生动物，赤麂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花面狸等</w:t>
            </w:r>
            <w:r>
              <w:rPr>
                <w:rFonts w:hint="default" w:ascii="Times New Roman" w:hAnsi="Times New Roman" w:cs="Times New Roman"/>
                <w:color w:val="auto"/>
                <w:highlight w:val="none"/>
                <w:lang w:val="en-US" w:eastAsia="zh-CN"/>
              </w:rPr>
              <w:t>6种</w:t>
            </w:r>
            <w:r>
              <w:rPr>
                <w:rFonts w:hint="default" w:ascii="Times New Roman" w:hAnsi="Times New Roman" w:cs="Times New Roman"/>
                <w:color w:val="auto"/>
                <w:highlight w:val="none"/>
              </w:rPr>
              <w:t>云南省级保护动物</w:t>
            </w:r>
          </w:p>
        </w:tc>
        <w:tc>
          <w:tcPr>
            <w:tcW w:w="2548" w:type="dxa"/>
            <w:vMerge w:val="continue"/>
            <w:shd w:val="clear" w:color="auto" w:fill="auto"/>
            <w:vAlign w:val="center"/>
          </w:tcPr>
          <w:p w14:paraId="3B773EC5">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c>
          <w:tcPr>
            <w:tcW w:w="2898" w:type="dxa"/>
            <w:shd w:val="clear" w:color="auto" w:fill="auto"/>
            <w:vAlign w:val="center"/>
          </w:tcPr>
          <w:p w14:paraId="4BBB32C5">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规划工程征占地使陆生脊椎动物栖息地减少；施工扰动</w:t>
            </w:r>
            <w:r>
              <w:rPr>
                <w:rFonts w:hint="default" w:ascii="Times New Roman" w:hAnsi="Times New Roman" w:cs="Times New Roman"/>
                <w:color w:val="auto"/>
                <w:highlight w:val="none"/>
                <w:lang w:eastAsia="zh-CN"/>
              </w:rPr>
              <w:t>。</w:t>
            </w:r>
          </w:p>
        </w:tc>
      </w:tr>
      <w:tr w14:paraId="532DD01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727361DA">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lang w:val="fr-FR"/>
              </w:rPr>
            </w:pPr>
          </w:p>
        </w:tc>
        <w:tc>
          <w:tcPr>
            <w:tcW w:w="991" w:type="dxa"/>
            <w:vAlign w:val="center"/>
          </w:tcPr>
          <w:p w14:paraId="2088418F">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自然</w:t>
            </w:r>
          </w:p>
          <w:p w14:paraId="30D97609">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lang w:val="fr-FR"/>
              </w:rPr>
            </w:pPr>
            <w:r>
              <w:rPr>
                <w:rFonts w:hint="default" w:ascii="Times New Roman" w:hAnsi="Times New Roman" w:cs="Times New Roman"/>
                <w:color w:val="auto"/>
                <w:highlight w:val="none"/>
              </w:rPr>
              <w:t>保护区</w:t>
            </w:r>
          </w:p>
        </w:tc>
        <w:tc>
          <w:tcPr>
            <w:tcW w:w="2484" w:type="dxa"/>
            <w:shd w:val="clear" w:color="auto" w:fill="auto"/>
            <w:vAlign w:val="center"/>
          </w:tcPr>
          <w:p w14:paraId="17357DFC">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lang w:val="fr-FR"/>
              </w:rPr>
            </w:pPr>
            <w:r>
              <w:rPr>
                <w:rFonts w:hint="default" w:ascii="Times New Roman" w:hAnsi="Times New Roman" w:cs="Times New Roman"/>
                <w:color w:val="auto"/>
                <w:highlight w:val="none"/>
              </w:rPr>
              <w:t>富源十八连山省级自然保护区等15处自然保护区</w:t>
            </w:r>
          </w:p>
        </w:tc>
        <w:tc>
          <w:tcPr>
            <w:tcW w:w="2548" w:type="dxa"/>
            <w:shd w:val="clear" w:color="auto" w:fill="auto"/>
            <w:vAlign w:val="center"/>
          </w:tcPr>
          <w:p w14:paraId="7D7B14B2">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lang w:val="fr-FR"/>
              </w:rPr>
            </w:pPr>
            <w:r>
              <w:rPr>
                <w:rFonts w:hint="default" w:ascii="Times New Roman" w:hAnsi="Times New Roman" w:cs="Times New Roman"/>
                <w:color w:val="auto"/>
                <w:highlight w:val="none"/>
              </w:rPr>
              <w:t>不得违反自然保护区条例，不得对自然保护区主要保护对象造成明显不利影响。</w:t>
            </w:r>
            <w:r>
              <w:rPr>
                <w:rFonts w:hint="default" w:ascii="Times New Roman" w:hAnsi="Times New Roman" w:cs="Times New Roman"/>
                <w:color w:val="auto"/>
                <w:highlight w:val="none"/>
                <w:lang w:val="fr-FR"/>
              </w:rPr>
              <w:t>规划工程征占地使陆生脊椎动物栖息地减少；施工扰动</w:t>
            </w:r>
          </w:p>
        </w:tc>
        <w:tc>
          <w:tcPr>
            <w:tcW w:w="2898" w:type="dxa"/>
            <w:shd w:val="clear" w:color="auto" w:fill="auto"/>
            <w:vAlign w:val="center"/>
          </w:tcPr>
          <w:p w14:paraId="484AD424">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云南省南盘江（珠江源头）生态保护修复工程约36.63公顷涉及珠江源省级自然保护区实验区。</w:t>
            </w:r>
          </w:p>
        </w:tc>
      </w:tr>
      <w:tr w14:paraId="4A5C70B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4B34B639">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Align w:val="center"/>
          </w:tcPr>
          <w:p w14:paraId="0BFC8CDE">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风景</w:t>
            </w:r>
          </w:p>
          <w:p w14:paraId="02478F4A">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名胜区</w:t>
            </w:r>
          </w:p>
        </w:tc>
        <w:tc>
          <w:tcPr>
            <w:tcW w:w="2484" w:type="dxa"/>
            <w:shd w:val="clear" w:color="auto" w:fill="auto"/>
            <w:vAlign w:val="center"/>
          </w:tcPr>
          <w:p w14:paraId="2E6F5E99">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珠江源省级风景名胜区等5处风景名胜区</w:t>
            </w:r>
          </w:p>
        </w:tc>
        <w:tc>
          <w:tcPr>
            <w:tcW w:w="2548" w:type="dxa"/>
            <w:shd w:val="clear" w:color="auto" w:fill="auto"/>
            <w:vAlign w:val="center"/>
          </w:tcPr>
          <w:p w14:paraId="79A5E4FF">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bookmarkStart w:id="41" w:name="OLE_LINK156"/>
            <w:bookmarkStart w:id="42" w:name="OLE_LINK157"/>
            <w:r>
              <w:rPr>
                <w:rFonts w:hint="default" w:ascii="Times New Roman" w:hAnsi="Times New Roman" w:cs="Times New Roman"/>
                <w:color w:val="auto"/>
                <w:highlight w:val="green"/>
              </w:rPr>
              <w:t>不得违反风景名胜区条例</w:t>
            </w:r>
            <w:r>
              <w:rPr>
                <w:rFonts w:hint="default" w:ascii="Times New Roman" w:hAnsi="Times New Roman" w:cs="Times New Roman"/>
                <w:color w:val="auto"/>
                <w:highlight w:val="none"/>
              </w:rPr>
              <w:t>，不得对风景区内景观资源造成明显不利影响。</w:t>
            </w:r>
            <w:bookmarkEnd w:id="41"/>
            <w:bookmarkEnd w:id="42"/>
          </w:p>
        </w:tc>
        <w:tc>
          <w:tcPr>
            <w:tcW w:w="2898" w:type="dxa"/>
            <w:shd w:val="clear" w:color="auto" w:fill="auto"/>
            <w:vAlign w:val="center"/>
          </w:tcPr>
          <w:p w14:paraId="04BBCDA3">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规划云南省南盘江（珠江源头）生态保护修复工程约36.13公顷涉及珠江源省级风景名胜区一般控制区，沾马灌区工程约5.4千米涉及马龙马过河风景名胜区一般控制区。</w:t>
            </w:r>
          </w:p>
        </w:tc>
      </w:tr>
      <w:tr w14:paraId="570850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4CCFDE29">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Align w:val="center"/>
          </w:tcPr>
          <w:p w14:paraId="1F5A6538">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地质公园</w:t>
            </w:r>
          </w:p>
        </w:tc>
        <w:tc>
          <w:tcPr>
            <w:tcW w:w="2484" w:type="dxa"/>
            <w:shd w:val="clear" w:color="auto" w:fill="auto"/>
            <w:vAlign w:val="center"/>
          </w:tcPr>
          <w:p w14:paraId="2BB2C2BE">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云南罗平生物群国家地质公园</w:t>
            </w:r>
          </w:p>
        </w:tc>
        <w:tc>
          <w:tcPr>
            <w:tcW w:w="2548" w:type="dxa"/>
            <w:vMerge w:val="restart"/>
            <w:shd w:val="clear" w:color="auto" w:fill="auto"/>
            <w:vAlign w:val="center"/>
          </w:tcPr>
          <w:p w14:paraId="648F62B1">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满足</w:t>
            </w:r>
            <w:r>
              <w:rPr>
                <w:rFonts w:hint="default" w:ascii="Times New Roman" w:hAnsi="Times New Roman" w:cs="Times New Roman"/>
                <w:color w:val="auto"/>
                <w:highlight w:val="none"/>
              </w:rPr>
              <w:t>《国家级自然公园管理办法（试行）》</w:t>
            </w:r>
            <w:r>
              <w:rPr>
                <w:rFonts w:hint="default" w:ascii="Times New Roman" w:hAnsi="Times New Roman" w:cs="Times New Roman"/>
                <w:color w:val="auto"/>
                <w:highlight w:val="none"/>
                <w:lang w:val="en-US" w:eastAsia="zh-CN"/>
              </w:rPr>
              <w:t>要求，不对自然公园造成不利影响</w:t>
            </w:r>
          </w:p>
        </w:tc>
        <w:tc>
          <w:tcPr>
            <w:tcW w:w="2898" w:type="dxa"/>
            <w:vMerge w:val="restart"/>
            <w:shd w:val="clear" w:color="auto" w:fill="auto"/>
            <w:vAlign w:val="center"/>
          </w:tcPr>
          <w:p w14:paraId="07BFF191">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规划范围内，限于规划不确定性，有可能受规划项目的</w:t>
            </w:r>
            <w:r>
              <w:rPr>
                <w:rFonts w:hint="default" w:ascii="Times New Roman" w:hAnsi="Times New Roman" w:cs="Times New Roman"/>
                <w:color w:val="auto"/>
                <w:highlight w:val="none"/>
              </w:rPr>
              <w:t>影响</w:t>
            </w:r>
            <w:r>
              <w:rPr>
                <w:rFonts w:hint="default" w:ascii="Times New Roman" w:hAnsi="Times New Roman" w:cs="Times New Roman"/>
                <w:color w:val="auto"/>
                <w:highlight w:val="none"/>
                <w:lang w:eastAsia="zh-CN"/>
              </w:rPr>
              <w:t>。</w:t>
            </w:r>
          </w:p>
        </w:tc>
      </w:tr>
      <w:tr w14:paraId="6569842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640B38B5">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Align w:val="center"/>
          </w:tcPr>
          <w:p w14:paraId="440AC3DA">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森林公园</w:t>
            </w:r>
          </w:p>
        </w:tc>
        <w:tc>
          <w:tcPr>
            <w:tcW w:w="2484" w:type="dxa"/>
            <w:shd w:val="clear" w:color="auto" w:fill="auto"/>
            <w:vAlign w:val="center"/>
          </w:tcPr>
          <w:p w14:paraId="64DBF989">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云南鲁布革国家森林公园等4处森林公园</w:t>
            </w:r>
          </w:p>
        </w:tc>
        <w:tc>
          <w:tcPr>
            <w:tcW w:w="2548" w:type="dxa"/>
            <w:vMerge w:val="continue"/>
            <w:shd w:val="clear" w:color="auto" w:fill="auto"/>
            <w:vAlign w:val="center"/>
          </w:tcPr>
          <w:p w14:paraId="2FC92B8D">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c>
          <w:tcPr>
            <w:tcW w:w="2898" w:type="dxa"/>
            <w:vMerge w:val="continue"/>
            <w:shd w:val="clear" w:color="auto" w:fill="auto"/>
            <w:vAlign w:val="center"/>
          </w:tcPr>
          <w:p w14:paraId="1F944B2E">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r>
      <w:tr w14:paraId="4FD016A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2B9AF840">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Align w:val="center"/>
          </w:tcPr>
          <w:p w14:paraId="6D5DB10E">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湿地公园</w:t>
            </w:r>
          </w:p>
        </w:tc>
        <w:tc>
          <w:tcPr>
            <w:tcW w:w="2484" w:type="dxa"/>
            <w:shd w:val="clear" w:color="auto" w:fill="auto"/>
            <w:vAlign w:val="center"/>
          </w:tcPr>
          <w:p w14:paraId="27873C56">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云南沾益西河国家湿地公园</w:t>
            </w:r>
          </w:p>
        </w:tc>
        <w:tc>
          <w:tcPr>
            <w:tcW w:w="2548" w:type="dxa"/>
            <w:vMerge w:val="continue"/>
            <w:shd w:val="clear" w:color="auto" w:fill="auto"/>
            <w:vAlign w:val="center"/>
          </w:tcPr>
          <w:p w14:paraId="6F462450">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c>
          <w:tcPr>
            <w:tcW w:w="2898" w:type="dxa"/>
            <w:vMerge w:val="continue"/>
            <w:shd w:val="clear" w:color="auto" w:fill="auto"/>
            <w:vAlign w:val="center"/>
          </w:tcPr>
          <w:p w14:paraId="050BECCC">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r>
      <w:tr w14:paraId="145E9CF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161FA281">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Align w:val="center"/>
          </w:tcPr>
          <w:p w14:paraId="50780D0F">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沙漠公园</w:t>
            </w:r>
          </w:p>
        </w:tc>
        <w:tc>
          <w:tcPr>
            <w:tcW w:w="2484" w:type="dxa"/>
            <w:shd w:val="clear" w:color="auto" w:fill="auto"/>
            <w:vAlign w:val="center"/>
          </w:tcPr>
          <w:p w14:paraId="519E118C">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云南陆良彩色沙林国家沙漠公园</w:t>
            </w:r>
          </w:p>
        </w:tc>
        <w:tc>
          <w:tcPr>
            <w:tcW w:w="2548" w:type="dxa"/>
            <w:vMerge w:val="continue"/>
            <w:shd w:val="clear" w:color="auto" w:fill="auto"/>
            <w:vAlign w:val="center"/>
          </w:tcPr>
          <w:p w14:paraId="7E17B0B8">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c>
          <w:tcPr>
            <w:tcW w:w="2898" w:type="dxa"/>
            <w:vMerge w:val="continue"/>
            <w:shd w:val="clear" w:color="auto" w:fill="auto"/>
            <w:vAlign w:val="center"/>
          </w:tcPr>
          <w:p w14:paraId="5CB7F733">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p>
        </w:tc>
      </w:tr>
      <w:tr w14:paraId="42DC52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4FFF5FFD">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Align w:val="center"/>
          </w:tcPr>
          <w:p w14:paraId="0474BE5B">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水源保护区</w:t>
            </w:r>
          </w:p>
        </w:tc>
        <w:tc>
          <w:tcPr>
            <w:tcW w:w="2484" w:type="dxa"/>
            <w:shd w:val="clear" w:color="auto" w:fill="auto"/>
            <w:vAlign w:val="center"/>
          </w:tcPr>
          <w:p w14:paraId="6B95A182">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独木水库、西河水库、水城水库3处地级城市集中式饮用水水源地，白浪水库、清水河水库、黄草坪水库、永清河水库等1</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en-US" w:eastAsia="zh-CN"/>
              </w:rPr>
              <w:t>处县级集中式饮用水水源地，以及千吨万人及乡镇级集中式饮用水水源地</w:t>
            </w:r>
          </w:p>
        </w:tc>
        <w:tc>
          <w:tcPr>
            <w:tcW w:w="2548" w:type="dxa"/>
            <w:shd w:val="clear" w:color="auto" w:fill="auto"/>
            <w:vAlign w:val="center"/>
          </w:tcPr>
          <w:p w14:paraId="40748580">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满足饮用水水源保护区相关管理办法，不得影响、破坏水源地水质。</w:t>
            </w:r>
          </w:p>
        </w:tc>
        <w:tc>
          <w:tcPr>
            <w:tcW w:w="2898" w:type="dxa"/>
            <w:shd w:val="clear" w:color="auto" w:fill="auto"/>
            <w:vAlign w:val="center"/>
          </w:tcPr>
          <w:p w14:paraId="7AF67723">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规划罗师灌区工程涉及罗平县龙王庙水库饮用水水源保护区、师宗县小务龙水库饮用水水源保护区、师宗县溜子田水库饮用水水源保护区，富源灌区工程涉及富源县黄泥河镇海子头饮用水水源保护区，沾马灌区工程涉及曲靖市西河水库饮用水水源保护区，曲靖市牛栏江德泽水库引水济曲工程拟建线路涉及曲靖市西河水库饮用水水源保护区、麒麟区石灰窑水库饮用水水源保护区，云南省南盘江（珠江源头）生态保护修复工程涉及沾益区花山水库饮用水水源保护区、陆良县大坝冲水库饮用水水源保护区，陆良县引水入陆工程涉及陆良县大坝冲水库饮用水水源保护区。</w:t>
            </w:r>
          </w:p>
        </w:tc>
      </w:tr>
      <w:tr w14:paraId="55FD57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vAlign w:val="center"/>
          </w:tcPr>
          <w:p w14:paraId="5A261A24">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vAlign w:val="center"/>
          </w:tcPr>
          <w:p w14:paraId="0686870D">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生态保护红线</w:t>
            </w:r>
          </w:p>
        </w:tc>
        <w:tc>
          <w:tcPr>
            <w:tcW w:w="2484" w:type="dxa"/>
            <w:vAlign w:val="center"/>
          </w:tcPr>
          <w:p w14:paraId="4B6BBA63">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水土保持</w:t>
            </w:r>
            <w:r>
              <w:rPr>
                <w:rFonts w:hint="default" w:ascii="Times New Roman" w:hAnsi="Times New Roman" w:cs="Times New Roman"/>
                <w:color w:val="auto"/>
                <w:highlight w:val="none"/>
                <w:lang w:val="en-US" w:eastAsia="zh-CN"/>
              </w:rPr>
              <w:t>类型</w:t>
            </w:r>
            <w:r>
              <w:rPr>
                <w:rFonts w:hint="default" w:ascii="Times New Roman" w:hAnsi="Times New Roman" w:cs="Times New Roman"/>
                <w:color w:val="auto"/>
                <w:highlight w:val="none"/>
              </w:rPr>
              <w:t>生态保护红线</w:t>
            </w:r>
          </w:p>
        </w:tc>
        <w:tc>
          <w:tcPr>
            <w:tcW w:w="2548" w:type="dxa"/>
            <w:shd w:val="clear" w:color="auto" w:fill="auto"/>
            <w:vAlign w:val="center"/>
          </w:tcPr>
          <w:p w14:paraId="533705D2">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不得违反生态保护红线相关管理规定，不得对生态保护红线功能造成显著不利影响。</w:t>
            </w:r>
          </w:p>
        </w:tc>
        <w:tc>
          <w:tcPr>
            <w:tcW w:w="2898" w:type="dxa"/>
            <w:tcBorders>
              <w:top w:val="single" w:color="auto" w:sz="6" w:space="0"/>
              <w:bottom w:val="single" w:color="auto" w:sz="4" w:space="0"/>
            </w:tcBorders>
            <w:shd w:val="clear" w:color="auto" w:fill="auto"/>
            <w:vAlign w:val="center"/>
          </w:tcPr>
          <w:p w14:paraId="2A96F755">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省南盘江（珠江源头）生态保护修复工程约35.56公顷涉及生态保护红线，罗师灌区工程约20.02公顷涉及生态保护红线，沾马灌区工程约17.43千米涉及生态保护红线，曲靖市牛栏江德泽水库引水济曲工程拟建线路约8.01千米涉及生态保护红线。</w:t>
            </w:r>
          </w:p>
        </w:tc>
      </w:tr>
      <w:tr w14:paraId="621A80E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restart"/>
            <w:shd w:val="clear" w:color="auto" w:fill="auto"/>
            <w:vAlign w:val="center"/>
          </w:tcPr>
          <w:p w14:paraId="7BC21400">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社会环境</w:t>
            </w:r>
          </w:p>
        </w:tc>
        <w:tc>
          <w:tcPr>
            <w:tcW w:w="991" w:type="dxa"/>
            <w:shd w:val="clear" w:color="auto" w:fill="auto"/>
            <w:vAlign w:val="center"/>
          </w:tcPr>
          <w:p w14:paraId="4FCBBD9F">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移民</w:t>
            </w:r>
          </w:p>
          <w:p w14:paraId="3D705783">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安置</w:t>
            </w:r>
          </w:p>
        </w:tc>
        <w:tc>
          <w:tcPr>
            <w:tcW w:w="2484" w:type="dxa"/>
            <w:shd w:val="clear" w:color="auto" w:fill="auto"/>
            <w:vAlign w:val="center"/>
          </w:tcPr>
          <w:p w14:paraId="244AA7F3">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移民安置及生产安置人口的生活水平、人群健康等</w:t>
            </w:r>
          </w:p>
        </w:tc>
        <w:tc>
          <w:tcPr>
            <w:tcW w:w="2548" w:type="dxa"/>
            <w:shd w:val="clear" w:color="auto" w:fill="auto"/>
            <w:vAlign w:val="center"/>
          </w:tcPr>
          <w:p w14:paraId="2E97DB61">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各个村小组</w:t>
            </w:r>
          </w:p>
        </w:tc>
        <w:tc>
          <w:tcPr>
            <w:tcW w:w="2898" w:type="dxa"/>
            <w:shd w:val="clear" w:color="auto" w:fill="auto"/>
            <w:vAlign w:val="center"/>
          </w:tcPr>
          <w:p w14:paraId="2C538C01">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淹没占地占用耕地、房屋等</w:t>
            </w:r>
            <w:r>
              <w:rPr>
                <w:rFonts w:hint="default" w:ascii="Times New Roman" w:hAnsi="Times New Roman" w:cs="Times New Roman"/>
                <w:color w:val="auto"/>
                <w:highlight w:val="none"/>
                <w:lang w:eastAsia="zh-CN"/>
              </w:rPr>
              <w:t>。</w:t>
            </w:r>
          </w:p>
        </w:tc>
      </w:tr>
      <w:tr w14:paraId="308ABF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1" w:type="dxa"/>
            <w:bottom w:w="0" w:type="dxa"/>
            <w:right w:w="11" w:type="dxa"/>
          </w:tblCellMar>
        </w:tblPrEx>
        <w:trPr>
          <w:trHeight w:val="0" w:hRule="atLeast"/>
          <w:jc w:val="center"/>
        </w:trPr>
        <w:tc>
          <w:tcPr>
            <w:tcW w:w="838" w:type="dxa"/>
            <w:vMerge w:val="continue"/>
            <w:shd w:val="clear" w:color="auto" w:fill="auto"/>
            <w:vAlign w:val="center"/>
          </w:tcPr>
          <w:p w14:paraId="04D47342">
            <w:pPr>
              <w:pStyle w:val="30"/>
              <w:bidi w:val="0"/>
              <w:snapToGrid w:val="0"/>
              <w:spacing w:line="240" w:lineRule="auto"/>
              <w:ind w:left="0" w:leftChars="0" w:right="0" w:rightChars="0" w:firstLine="0" w:firstLineChars="0"/>
              <w:jc w:val="center"/>
              <w:rPr>
                <w:rFonts w:hint="default" w:ascii="Times New Roman" w:hAnsi="Times New Roman" w:cs="Times New Roman"/>
                <w:color w:val="auto"/>
                <w:highlight w:val="none"/>
              </w:rPr>
            </w:pPr>
          </w:p>
        </w:tc>
        <w:tc>
          <w:tcPr>
            <w:tcW w:w="991" w:type="dxa"/>
            <w:shd w:val="clear" w:color="auto" w:fill="auto"/>
            <w:vAlign w:val="center"/>
          </w:tcPr>
          <w:p w14:paraId="7ACBD2AD">
            <w:pPr>
              <w:pStyle w:val="30"/>
              <w:bidi w:val="0"/>
              <w:snapToGrid w:val="0"/>
              <w:spacing w:line="240" w:lineRule="auto"/>
              <w:ind w:left="0" w:leftChars="0" w:right="0" w:rightChars="0" w:firstLine="0" w:firstLineChars="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文物</w:t>
            </w:r>
          </w:p>
        </w:tc>
        <w:tc>
          <w:tcPr>
            <w:tcW w:w="2484" w:type="dxa"/>
            <w:shd w:val="clear" w:color="auto" w:fill="auto"/>
            <w:vAlign w:val="center"/>
          </w:tcPr>
          <w:p w14:paraId="49B03E41">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规划范围内分布的文物保护单位</w:t>
            </w:r>
          </w:p>
        </w:tc>
        <w:tc>
          <w:tcPr>
            <w:tcW w:w="2548" w:type="dxa"/>
            <w:shd w:val="clear" w:color="auto" w:fill="auto"/>
            <w:vAlign w:val="center"/>
          </w:tcPr>
          <w:p w14:paraId="7F5CB129">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不对</w:t>
            </w:r>
            <w:r>
              <w:rPr>
                <w:rFonts w:hint="default" w:ascii="Times New Roman" w:hAnsi="Times New Roman" w:cs="Times New Roman"/>
                <w:color w:val="auto"/>
                <w:highlight w:val="none"/>
              </w:rPr>
              <w:t>文物保护单位</w:t>
            </w:r>
            <w:r>
              <w:rPr>
                <w:rFonts w:hint="default" w:ascii="Times New Roman" w:hAnsi="Times New Roman" w:cs="Times New Roman"/>
                <w:color w:val="auto"/>
                <w:highlight w:val="none"/>
                <w:lang w:val="en-US" w:eastAsia="zh-CN"/>
              </w:rPr>
              <w:t>造成影响</w:t>
            </w:r>
          </w:p>
        </w:tc>
        <w:tc>
          <w:tcPr>
            <w:tcW w:w="2898" w:type="dxa"/>
            <w:shd w:val="clear" w:color="auto" w:fill="auto"/>
            <w:vAlign w:val="center"/>
          </w:tcPr>
          <w:p w14:paraId="374FF1EE">
            <w:pPr>
              <w:pStyle w:val="30"/>
              <w:bidi w:val="0"/>
              <w:snapToGrid w:val="0"/>
              <w:spacing w:line="240" w:lineRule="auto"/>
              <w:ind w:left="0" w:leftChars="0" w:right="0" w:rightChars="0" w:firstLine="0" w:firstLineChars="0"/>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可能产生工程占地或淹没影响。</w:t>
            </w:r>
          </w:p>
        </w:tc>
      </w:tr>
    </w:tbl>
    <w:p w14:paraId="01600458">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环境敏感目标</w:t>
      </w:r>
    </w:p>
    <w:p w14:paraId="458D4CF7">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分布有自然保护地（现状）27处，包括：富源十八连山省级自然保护区等15处自然保护区，珠江源省级风景名胜区等5处风景名胜区，云南鲁布革国家森林公园等4处森林公园，云南罗平生物群国家地质公园、云南沾益西河国家湿地公园、云南陆良彩色沙林国家沙漠公园。</w:t>
      </w:r>
    </w:p>
    <w:p w14:paraId="260B189C">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现阶段规划深度初步核实，规划拟建工程涉及珠江源省级自然保护区、珠江源省级风景名胜区、云南珠江源国家森林公园、马龙马过河风景名胜区、生态保护红线、饮用水水源保护区等5类环境敏感区。规划范围内环境敏感区及规划工程与环境敏感区关系见表</w:t>
      </w:r>
      <w:r>
        <w:rPr>
          <w:rFonts w:hint="default" w:ascii="Times New Roman" w:hAnsi="Times New Roman" w:eastAsia="宋体" w:cs="Times New Roman"/>
          <w:color w:val="auto"/>
          <w:highlight w:val="none"/>
          <w:lang w:val="en-US" w:eastAsia="zh-CN"/>
        </w:rPr>
        <w:t>1.6.1-2</w:t>
      </w:r>
      <w:r>
        <w:rPr>
          <w:rFonts w:hint="default" w:ascii="Times New Roman" w:hAnsi="Times New Roman" w:eastAsia="宋体" w:cs="Times New Roman"/>
          <w:color w:val="auto"/>
          <w:highlight w:val="none"/>
        </w:rPr>
        <w:t>。</w:t>
      </w:r>
    </w:p>
    <w:p w14:paraId="702FC938">
      <w:pPr>
        <w:pStyle w:val="4"/>
        <w:rPr>
          <w:rFonts w:hint="default" w:ascii="Times New Roman" w:hAnsi="Times New Roman" w:eastAsia="宋体" w:cs="Times New Roman"/>
          <w:color w:val="auto"/>
          <w:highlight w:val="none"/>
        </w:rPr>
      </w:pPr>
    </w:p>
    <w:p w14:paraId="1B0BA985">
      <w:pPr>
        <w:pStyle w:val="29"/>
        <w:bidi w:val="0"/>
        <w:ind w:left="0" w:lef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表1.6.1-2 南盘江（曲靖市境内）流域综合规划环境敏感目标一览表</w:t>
      </w:r>
    </w:p>
    <w:tbl>
      <w:tblPr>
        <w:tblStyle w:val="22"/>
        <w:tblW w:w="9287" w:type="dxa"/>
        <w:jc w:val="center"/>
        <w:tblLayout w:type="fixed"/>
        <w:tblCellMar>
          <w:top w:w="0" w:type="dxa"/>
          <w:left w:w="108" w:type="dxa"/>
          <w:bottom w:w="0" w:type="dxa"/>
          <w:right w:w="108" w:type="dxa"/>
        </w:tblCellMar>
      </w:tblPr>
      <w:tblGrid>
        <w:gridCol w:w="887"/>
        <w:gridCol w:w="3375"/>
        <w:gridCol w:w="5025"/>
      </w:tblGrid>
      <w:tr w14:paraId="36718976">
        <w:trPr>
          <w:tblHeader/>
          <w:jc w:val="center"/>
        </w:trPr>
        <w:tc>
          <w:tcPr>
            <w:tcW w:w="887" w:type="dxa"/>
            <w:tcBorders>
              <w:top w:val="single" w:color="000000" w:sz="4" w:space="0"/>
              <w:left w:val="single" w:color="000000" w:sz="4" w:space="0"/>
              <w:bottom w:val="single" w:color="000000" w:sz="4" w:space="0"/>
              <w:right w:val="single" w:color="000000" w:sz="4" w:space="0"/>
            </w:tcBorders>
            <w:noWrap w:val="0"/>
            <w:vAlign w:val="center"/>
          </w:tcPr>
          <w:p w14:paraId="33BFE148">
            <w:pPr>
              <w:widowControl/>
              <w:spacing w:line="240" w:lineRule="auto"/>
              <w:ind w:firstLine="0" w:firstLineChars="0"/>
              <w:jc w:val="center"/>
              <w:textAlignment w:val="center"/>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类型</w:t>
            </w: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57DAEE4A">
            <w:pPr>
              <w:widowControl/>
              <w:spacing w:line="240" w:lineRule="auto"/>
              <w:ind w:firstLine="0" w:firstLineChars="0"/>
              <w:jc w:val="center"/>
              <w:textAlignment w:val="center"/>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现状保护地</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27F81F1C">
            <w:pPr>
              <w:widowControl/>
              <w:spacing w:line="240" w:lineRule="auto"/>
              <w:ind w:firstLine="0" w:firstLineChars="0"/>
              <w:jc w:val="center"/>
              <w:textAlignment w:val="center"/>
              <w:rPr>
                <w:rFonts w:hint="default" w:ascii="Times New Roman" w:hAnsi="Times New Roman" w:cs="Times New Roman"/>
                <w:b/>
                <w:bCs/>
                <w:color w:val="auto"/>
                <w:kern w:val="0"/>
                <w:sz w:val="21"/>
                <w:szCs w:val="21"/>
                <w:highlight w:val="none"/>
                <w:lang w:bidi="ar"/>
              </w:rPr>
            </w:pPr>
            <w:r>
              <w:rPr>
                <w:rFonts w:hint="default" w:ascii="Times New Roman" w:hAnsi="Times New Roman" w:cs="Times New Roman"/>
                <w:b/>
                <w:bCs/>
                <w:color w:val="auto"/>
                <w:kern w:val="0"/>
                <w:sz w:val="21"/>
                <w:szCs w:val="21"/>
                <w:highlight w:val="none"/>
                <w:lang w:bidi="ar"/>
              </w:rPr>
              <w:t>规划拟建重点工程与敏感区位置关系</w:t>
            </w:r>
          </w:p>
        </w:tc>
      </w:tr>
      <w:tr w14:paraId="007467CD">
        <w:tblPrEx>
          <w:tblCellMar>
            <w:top w:w="0" w:type="dxa"/>
            <w:left w:w="108" w:type="dxa"/>
            <w:bottom w:w="0" w:type="dxa"/>
            <w:right w:w="108" w:type="dxa"/>
          </w:tblCellMar>
        </w:tblPrEx>
        <w:trPr>
          <w:jc w:val="center"/>
        </w:trPr>
        <w:tc>
          <w:tcPr>
            <w:tcW w:w="887" w:type="dxa"/>
            <w:vMerge w:val="restart"/>
            <w:tcBorders>
              <w:top w:val="single" w:color="000000" w:sz="4" w:space="0"/>
              <w:left w:val="single" w:color="000000" w:sz="4" w:space="0"/>
              <w:bottom w:val="single" w:color="000000" w:sz="4" w:space="0"/>
              <w:right w:val="single" w:color="000000" w:sz="4" w:space="0"/>
            </w:tcBorders>
            <w:noWrap w:val="0"/>
            <w:vAlign w:val="center"/>
          </w:tcPr>
          <w:p w14:paraId="4B225C6D">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自然保护区</w:t>
            </w: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5A465D19">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珠江源省级自然保护区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2D5ECEBF">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规划云南省南盘江（珠江源头）生态保护修复工程约36.63公顷涉及珠江源省级自然保护区实验区</w:t>
            </w:r>
          </w:p>
        </w:tc>
      </w:tr>
      <w:tr w14:paraId="19377C49">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003EF">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207DD4BB">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富源十八连山省级自然保护区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28184FEA">
            <w:pPr>
              <w:widowControl/>
              <w:spacing w:line="240" w:lineRule="auto"/>
              <w:ind w:firstLine="0" w:firstLineChars="0"/>
              <w:jc w:val="left"/>
              <w:textAlignment w:val="center"/>
              <w:rPr>
                <w:rFonts w:hint="default" w:ascii="Times New Roman" w:hAnsi="Times New Roman" w:eastAsia="宋体" w:cs="Times New Roman"/>
                <w:color w:val="auto"/>
                <w:kern w:val="0"/>
                <w:sz w:val="21"/>
                <w:szCs w:val="21"/>
                <w:highlight w:val="none"/>
                <w:lang w:val="en-US" w:eastAsia="zh-CN" w:bidi="ar"/>
              </w:rPr>
            </w:pPr>
            <w:r>
              <w:rPr>
                <w:rFonts w:hint="default" w:ascii="Times New Roman" w:hAnsi="Times New Roman" w:cs="Times New Roman"/>
                <w:color w:val="auto"/>
                <w:kern w:val="0"/>
                <w:sz w:val="21"/>
                <w:szCs w:val="21"/>
                <w:highlight w:val="none"/>
                <w:lang w:val="en-US" w:eastAsia="zh-CN" w:bidi="ar"/>
              </w:rPr>
              <w:t>/</w:t>
            </w:r>
          </w:p>
        </w:tc>
      </w:tr>
      <w:tr w14:paraId="22A2BA9C">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0911D">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51E00603">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沾益海峰省级自然保护区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37194F4D">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33A8DBE5">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F330FE">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5C95FE54">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罗平万峰山市级自然保护区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5FD45D3B">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219F927E">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FFBD71">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3EA95333">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曲靖珠江水系水生动物市级自然保护区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0F4B2DFC">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73B4DDBA">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D6EF09">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77555F6B">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师宗菌子山市级自然保护区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49EF2F99">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7E325866">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2416F">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3AA94B0C">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马龙黄草坪水源县级自然保护区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6336075F">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61AFD4C6">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7A2802">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48F3DAE1">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陆良彩色沙林县级自然保护区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188A6FD5">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42B98D4D">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7AA202">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0F2E879C">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麒麟朗目山县级自然保护区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5BA9D93F">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42F5F8C8">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4D088">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58F492B9">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麒麟青峰山县级自然保护区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7AF0CC7A">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35053A03">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00A347">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67B7DDC9">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麒麟五台山县级自然保护区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7D94B0DA">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5371D38E">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C97BAC">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4AB8A31A">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曲靖潇湘谷原始森林生态县级自然保护区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0EC12BFE">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041A565A">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60F37C">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38D00E03">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师宗翠云山县级自然保护区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3C564808">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57CAACA9">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739C73">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624437BC">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师宗大堵水库县级自然保护区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688DB63B">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0EEE11F8">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DF84D">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11B4975A">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师宗东风水库县级自然保护区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1C329ACD">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0873D8EE">
        <w:tblPrEx>
          <w:tblCellMar>
            <w:top w:w="0" w:type="dxa"/>
            <w:left w:w="108" w:type="dxa"/>
            <w:bottom w:w="0" w:type="dxa"/>
            <w:right w:w="108" w:type="dxa"/>
          </w:tblCellMar>
        </w:tblPrEx>
        <w:trPr>
          <w:jc w:val="center"/>
        </w:trPr>
        <w:tc>
          <w:tcPr>
            <w:tcW w:w="887" w:type="dxa"/>
            <w:vMerge w:val="restart"/>
            <w:tcBorders>
              <w:top w:val="single" w:color="000000" w:sz="4" w:space="0"/>
              <w:left w:val="single" w:color="000000" w:sz="4" w:space="0"/>
              <w:bottom w:val="single" w:color="000000" w:sz="4" w:space="0"/>
              <w:right w:val="single" w:color="000000" w:sz="4" w:space="0"/>
            </w:tcBorders>
            <w:noWrap w:val="0"/>
            <w:vAlign w:val="center"/>
          </w:tcPr>
          <w:p w14:paraId="2C6DADB8">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风景名胜区</w:t>
            </w: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4C2401C9">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珠江源省级风景名胜区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4F0994F8">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规划云南省南盘江（珠江源头）生态保护修复工程约36.13公顷涉及珠江源省级风景名胜区一般控制区</w:t>
            </w:r>
          </w:p>
        </w:tc>
      </w:tr>
      <w:tr w14:paraId="4294FE27">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1ED520">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20BC66EC">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马龙马过河省级风景名胜区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1CBBEA53">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规划沾马灌区工程约5.4千米涉及马龙马过河风景名胜区一般控制区</w:t>
            </w:r>
          </w:p>
        </w:tc>
      </w:tr>
      <w:tr w14:paraId="2C76157A">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CDF9D1">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7345A401">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陆良彩色沙林省级风景名胜区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1683018B">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715B6FB1">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DA79A0">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15460759">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罗平多依河—鲁布革省级风景名胜区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30B6742D">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5D39014E">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FE1EB2">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0FDDE2FD">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师宗南丹山省级风景名胜区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0E748220">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16732432">
        <w:tblPrEx>
          <w:tblCellMar>
            <w:top w:w="0" w:type="dxa"/>
            <w:left w:w="108" w:type="dxa"/>
            <w:bottom w:w="0" w:type="dxa"/>
            <w:right w:w="108" w:type="dxa"/>
          </w:tblCellMar>
        </w:tblPrEx>
        <w:trPr>
          <w:jc w:val="center"/>
        </w:trPr>
        <w:tc>
          <w:tcPr>
            <w:tcW w:w="887" w:type="dxa"/>
            <w:vMerge w:val="restart"/>
            <w:tcBorders>
              <w:top w:val="single" w:color="000000" w:sz="4" w:space="0"/>
              <w:left w:val="single" w:color="000000" w:sz="4" w:space="0"/>
              <w:bottom w:val="single" w:color="000000" w:sz="4" w:space="0"/>
              <w:right w:val="single" w:color="000000" w:sz="4" w:space="0"/>
            </w:tcBorders>
            <w:noWrap w:val="0"/>
            <w:vAlign w:val="center"/>
          </w:tcPr>
          <w:p w14:paraId="1C1A14D5">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森林</w:t>
            </w:r>
          </w:p>
          <w:p w14:paraId="4F2A8534">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公园</w:t>
            </w: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2E9354E7">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云南鲁布革国家森林公园</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2FAAF738">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0CAA3528">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075087">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098859A2">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云南十八连山国家森林公园</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616F7F2D">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21678E91">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38667E">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11958E03">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云南五峰山国家森林公园</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6A92A7C2">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5DE3A9E7">
        <w:tblPrEx>
          <w:tblCellMar>
            <w:top w:w="0" w:type="dxa"/>
            <w:left w:w="108" w:type="dxa"/>
            <w:bottom w:w="0" w:type="dxa"/>
            <w:right w:w="108" w:type="dxa"/>
          </w:tblCellMar>
        </w:tblPrEx>
        <w:trPr>
          <w:jc w:val="center"/>
        </w:trPr>
        <w:tc>
          <w:tcPr>
            <w:tcW w:w="88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74D670">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6067938A">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云南珠江源国家森林公园</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36E13DC9">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规划云南省南盘江（珠江源头）生态保护修复工程约38.08公顷涉及云南珠江源国家森林公园</w:t>
            </w:r>
          </w:p>
        </w:tc>
      </w:tr>
      <w:tr w14:paraId="5AF7CA90">
        <w:tblPrEx>
          <w:tblCellMar>
            <w:top w:w="0" w:type="dxa"/>
            <w:left w:w="108" w:type="dxa"/>
            <w:bottom w:w="0" w:type="dxa"/>
            <w:right w:w="108" w:type="dxa"/>
          </w:tblCellMar>
        </w:tblPrEx>
        <w:trPr>
          <w:jc w:val="center"/>
        </w:trPr>
        <w:tc>
          <w:tcPr>
            <w:tcW w:w="887" w:type="dxa"/>
            <w:tcBorders>
              <w:top w:val="single" w:color="000000" w:sz="4" w:space="0"/>
              <w:left w:val="single" w:color="000000" w:sz="4" w:space="0"/>
              <w:bottom w:val="single" w:color="000000" w:sz="4" w:space="0"/>
              <w:right w:val="single" w:color="000000" w:sz="4" w:space="0"/>
            </w:tcBorders>
            <w:noWrap w:val="0"/>
            <w:vAlign w:val="center"/>
          </w:tcPr>
          <w:p w14:paraId="1225A08C">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地质</w:t>
            </w:r>
          </w:p>
          <w:p w14:paraId="189D104F">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公园</w:t>
            </w: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211147FC">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云南罗平生物群国家地质公园</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5183D94B">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19A09A00">
        <w:tblPrEx>
          <w:tblCellMar>
            <w:top w:w="0" w:type="dxa"/>
            <w:left w:w="108" w:type="dxa"/>
            <w:bottom w:w="0" w:type="dxa"/>
            <w:right w:w="108" w:type="dxa"/>
          </w:tblCellMar>
        </w:tblPrEx>
        <w:trPr>
          <w:jc w:val="center"/>
        </w:trPr>
        <w:tc>
          <w:tcPr>
            <w:tcW w:w="887" w:type="dxa"/>
            <w:tcBorders>
              <w:top w:val="single" w:color="000000" w:sz="4" w:space="0"/>
              <w:left w:val="single" w:color="000000" w:sz="4" w:space="0"/>
              <w:bottom w:val="single" w:color="000000" w:sz="4" w:space="0"/>
              <w:right w:val="single" w:color="000000" w:sz="4" w:space="0"/>
            </w:tcBorders>
            <w:noWrap w:val="0"/>
            <w:vAlign w:val="center"/>
          </w:tcPr>
          <w:p w14:paraId="152C465C">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湿地</w:t>
            </w:r>
          </w:p>
          <w:p w14:paraId="600F1560">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公园</w:t>
            </w: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148FF679">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云南沾益西河国家湿地公园</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241A2172">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4C8CF60B">
        <w:tblPrEx>
          <w:tblCellMar>
            <w:top w:w="0" w:type="dxa"/>
            <w:left w:w="108" w:type="dxa"/>
            <w:bottom w:w="0" w:type="dxa"/>
            <w:right w:w="108" w:type="dxa"/>
          </w:tblCellMar>
        </w:tblPrEx>
        <w:trPr>
          <w:jc w:val="center"/>
        </w:trPr>
        <w:tc>
          <w:tcPr>
            <w:tcW w:w="887" w:type="dxa"/>
            <w:tcBorders>
              <w:top w:val="single" w:color="000000" w:sz="4" w:space="0"/>
              <w:left w:val="single" w:color="000000" w:sz="4" w:space="0"/>
              <w:bottom w:val="single" w:color="000000" w:sz="4" w:space="0"/>
              <w:right w:val="single" w:color="000000" w:sz="4" w:space="0"/>
            </w:tcBorders>
            <w:noWrap w:val="0"/>
            <w:vAlign w:val="center"/>
          </w:tcPr>
          <w:p w14:paraId="14496035">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沙漠</w:t>
            </w:r>
          </w:p>
          <w:p w14:paraId="35FE5EBF">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公园</w:t>
            </w:r>
          </w:p>
        </w:tc>
        <w:tc>
          <w:tcPr>
            <w:tcW w:w="3375" w:type="dxa"/>
            <w:tcBorders>
              <w:top w:val="single" w:color="000000" w:sz="4" w:space="0"/>
              <w:left w:val="single" w:color="000000" w:sz="4" w:space="0"/>
              <w:bottom w:val="single" w:color="000000" w:sz="4" w:space="0"/>
              <w:right w:val="single" w:color="000000" w:sz="4" w:space="0"/>
            </w:tcBorders>
            <w:noWrap w:val="0"/>
            <w:vAlign w:val="center"/>
          </w:tcPr>
          <w:p w14:paraId="0FA63173">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云南陆良彩色沙林国家沙漠公园</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1ADFCD9A">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val="en-US" w:eastAsia="zh-CN" w:bidi="ar"/>
              </w:rPr>
              <w:t>/</w:t>
            </w:r>
          </w:p>
        </w:tc>
      </w:tr>
      <w:tr w14:paraId="08E59B4D">
        <w:tblPrEx>
          <w:tblCellMar>
            <w:top w:w="0" w:type="dxa"/>
            <w:left w:w="108" w:type="dxa"/>
            <w:bottom w:w="0" w:type="dxa"/>
            <w:right w:w="108" w:type="dxa"/>
          </w:tblCellMar>
        </w:tblPrEx>
        <w:trPr>
          <w:jc w:val="center"/>
        </w:trPr>
        <w:tc>
          <w:tcPr>
            <w:tcW w:w="887" w:type="dxa"/>
            <w:tcBorders>
              <w:top w:val="single" w:color="000000" w:sz="4" w:space="0"/>
              <w:left w:val="single" w:color="000000" w:sz="4" w:space="0"/>
              <w:bottom w:val="single" w:color="000000" w:sz="4" w:space="0"/>
              <w:right w:val="single" w:color="000000" w:sz="4" w:space="0"/>
            </w:tcBorders>
            <w:noWrap/>
            <w:vAlign w:val="center"/>
          </w:tcPr>
          <w:p w14:paraId="5C13B28F">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生态保护红线</w:t>
            </w:r>
          </w:p>
        </w:tc>
        <w:tc>
          <w:tcPr>
            <w:tcW w:w="3375" w:type="dxa"/>
            <w:tcBorders>
              <w:top w:val="single" w:color="000000" w:sz="4" w:space="0"/>
              <w:left w:val="single" w:color="000000" w:sz="4" w:space="0"/>
              <w:bottom w:val="single" w:color="000000" w:sz="4" w:space="0"/>
              <w:right w:val="single" w:color="000000" w:sz="4" w:space="0"/>
            </w:tcBorders>
            <w:noWrap/>
            <w:vAlign w:val="center"/>
          </w:tcPr>
          <w:p w14:paraId="11B8071B">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生态保护红线管控区域</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6D5DC3D7">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1.规划云南省南盘江（珠江源头）生态保护修复工程约35.56公顷涉及生态保护红线；</w:t>
            </w:r>
          </w:p>
          <w:p w14:paraId="26977098">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2.罗师灌区工程约20.02公顷涉及生态保护红线；</w:t>
            </w:r>
          </w:p>
          <w:p w14:paraId="5E4FF7CF">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3.沾马灌区工程约17.43千米涉及生态保护红线；</w:t>
            </w:r>
          </w:p>
          <w:p w14:paraId="131CCEE6">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4.曲靖市牛栏江德泽水库引水济曲工程拟建线路约8.01千米涉及生态保护红线。</w:t>
            </w:r>
          </w:p>
        </w:tc>
      </w:tr>
      <w:tr w14:paraId="7FCE4B9C">
        <w:tblPrEx>
          <w:tblCellMar>
            <w:top w:w="0" w:type="dxa"/>
            <w:left w:w="108" w:type="dxa"/>
            <w:bottom w:w="0" w:type="dxa"/>
            <w:right w:w="108" w:type="dxa"/>
          </w:tblCellMar>
        </w:tblPrEx>
        <w:trPr>
          <w:jc w:val="center"/>
        </w:trPr>
        <w:tc>
          <w:tcPr>
            <w:tcW w:w="887" w:type="dxa"/>
            <w:tcBorders>
              <w:top w:val="single" w:color="000000" w:sz="4" w:space="0"/>
              <w:left w:val="single" w:color="000000" w:sz="4" w:space="0"/>
              <w:bottom w:val="single" w:color="000000" w:sz="4" w:space="0"/>
              <w:right w:val="single" w:color="000000" w:sz="4" w:space="0"/>
            </w:tcBorders>
            <w:noWrap/>
            <w:vAlign w:val="center"/>
          </w:tcPr>
          <w:p w14:paraId="5D84526E">
            <w:pPr>
              <w:widowControl/>
              <w:spacing w:line="240" w:lineRule="auto"/>
              <w:ind w:firstLine="0" w:firstLineChars="0"/>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饮用水水源保护区</w:t>
            </w:r>
          </w:p>
        </w:tc>
        <w:tc>
          <w:tcPr>
            <w:tcW w:w="3375" w:type="dxa"/>
            <w:tcBorders>
              <w:top w:val="single" w:color="000000" w:sz="4" w:space="0"/>
              <w:left w:val="single" w:color="000000" w:sz="4" w:space="0"/>
              <w:bottom w:val="single" w:color="000000" w:sz="4" w:space="0"/>
              <w:right w:val="single" w:color="000000" w:sz="4" w:space="0"/>
            </w:tcBorders>
            <w:noWrap/>
            <w:vAlign w:val="center"/>
          </w:tcPr>
          <w:p w14:paraId="2C6458E8">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集中式饮用水水源保护区</w:t>
            </w:r>
          </w:p>
        </w:tc>
        <w:tc>
          <w:tcPr>
            <w:tcW w:w="5025" w:type="dxa"/>
            <w:tcBorders>
              <w:top w:val="single" w:color="000000" w:sz="4" w:space="0"/>
              <w:left w:val="single" w:color="000000" w:sz="4" w:space="0"/>
              <w:bottom w:val="single" w:color="000000" w:sz="4" w:space="0"/>
              <w:right w:val="single" w:color="000000" w:sz="4" w:space="0"/>
            </w:tcBorders>
            <w:noWrap/>
            <w:vAlign w:val="center"/>
          </w:tcPr>
          <w:p w14:paraId="3976D1BD">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1.规划罗师灌区工程涉及罗平县龙王庙水库集中式饮用水水源保护区、小务龙水库饮用水水源保护区、溜子田水库饮用水水源保护区、小撒卜龙水库饮用水水源保护区；</w:t>
            </w:r>
          </w:p>
          <w:p w14:paraId="34FC965E">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2.富源灌区工程涉及富源县黄泥河镇海子头饮用水水源保护区；</w:t>
            </w:r>
          </w:p>
          <w:p w14:paraId="6FC72F36">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3.沾马灌区工程涉及曲靖市西河水库饮用水水源保护区；</w:t>
            </w:r>
          </w:p>
          <w:p w14:paraId="766A369C">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4.曲靖市牛栏江德泽水库引水济曲工程拟建线路涉及曲靖市西河水库饮用水水源保护区、麒麟区石灰窑水库饮用水水源保护区；</w:t>
            </w:r>
          </w:p>
          <w:p w14:paraId="263466D8">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5.云南省南盘江（珠江源头）生态保护修复工程涉及花山水库饮用水水源保护区、大坝冲水库饮用水水源保护区；</w:t>
            </w:r>
          </w:p>
          <w:p w14:paraId="079281B8">
            <w:pPr>
              <w:widowControl/>
              <w:spacing w:line="240" w:lineRule="auto"/>
              <w:ind w:firstLine="0" w:firstLineChars="0"/>
              <w:jc w:val="left"/>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6.陆良县引水入陆工程涉及大坝冲水库饮用水水源保护区。</w:t>
            </w:r>
          </w:p>
        </w:tc>
      </w:tr>
    </w:tbl>
    <w:p w14:paraId="10E1A645">
      <w:pPr>
        <w:pStyle w:val="3"/>
        <w:numPr>
          <w:ilvl w:val="1"/>
          <w:numId w:val="4"/>
        </w:numPr>
        <w:spacing w:before="374" w:after="249"/>
        <w:rPr>
          <w:rFonts w:hint="default" w:ascii="Times New Roman" w:hAnsi="Times New Roman" w:eastAsia="宋体" w:cs="Times New Roman"/>
          <w:color w:val="auto"/>
          <w:highlight w:val="none"/>
        </w:rPr>
      </w:pPr>
      <w:bookmarkStart w:id="43" w:name="_Toc11852"/>
      <w:r>
        <w:rPr>
          <w:rFonts w:hint="default" w:ascii="Times New Roman" w:hAnsi="Times New Roman" w:eastAsia="宋体" w:cs="Times New Roman"/>
          <w:color w:val="auto"/>
          <w:highlight w:val="none"/>
        </w:rPr>
        <w:t>评价标准</w:t>
      </w:r>
      <w:bookmarkEnd w:id="38"/>
      <w:bookmarkEnd w:id="39"/>
      <w:bookmarkEnd w:id="43"/>
    </w:p>
    <w:p w14:paraId="75773FF0">
      <w:pPr>
        <w:pStyle w:val="5"/>
        <w:numPr>
          <w:ilvl w:val="2"/>
          <w:numId w:val="4"/>
        </w:numPr>
        <w:spacing w:before="374" w:after="249"/>
        <w:rPr>
          <w:rFonts w:hint="default" w:ascii="Times New Roman" w:hAnsi="Times New Roman" w:eastAsia="宋体" w:cs="Times New Roman"/>
          <w:color w:val="auto"/>
          <w:highlight w:val="none"/>
        </w:rPr>
      </w:pPr>
      <w:bookmarkStart w:id="44" w:name="_Toc400134880"/>
      <w:r>
        <w:rPr>
          <w:rFonts w:hint="default" w:ascii="Times New Roman" w:hAnsi="Times New Roman" w:eastAsia="宋体" w:cs="Times New Roman"/>
          <w:color w:val="auto"/>
          <w:highlight w:val="none"/>
        </w:rPr>
        <w:t>环境质量标准</w:t>
      </w:r>
      <w:bookmarkEnd w:id="44"/>
    </w:p>
    <w:p w14:paraId="0D026009">
      <w:pPr>
        <w:pStyle w:val="6"/>
        <w:numPr>
          <w:ilvl w:val="3"/>
          <w:numId w:val="4"/>
        </w:numPr>
        <w:spacing w:before="374" w:after="249"/>
        <w:rPr>
          <w:rFonts w:hint="default" w:ascii="Times New Roman" w:hAnsi="Times New Roman" w:eastAsia="宋体" w:cs="Times New Roman"/>
          <w:color w:val="auto"/>
          <w:highlight w:val="none"/>
        </w:rPr>
      </w:pPr>
      <w:bookmarkStart w:id="45" w:name="OLE_LINK2"/>
      <w:bookmarkStart w:id="46" w:name="OLE_LINK1"/>
      <w:r>
        <w:rPr>
          <w:rFonts w:hint="default" w:ascii="Times New Roman" w:hAnsi="Times New Roman" w:eastAsia="宋体" w:cs="Times New Roman"/>
          <w:color w:val="auto"/>
          <w:highlight w:val="none"/>
        </w:rPr>
        <w:t>地表水环境</w:t>
      </w:r>
    </w:p>
    <w:bookmarkEnd w:id="45"/>
    <w:bookmarkEnd w:id="46"/>
    <w:p w14:paraId="59639A9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曲靖市水功能区划（2014年修订）》，规划范围涉及一级水功能区58个，二级水功能区26个。规划范围涉及的水功能区共68个控制断面，至2030年，32个断面水质目标为Ⅱ类，36个断面水质目标为Ⅲ类，执行相应的《地表水环境质量标准》（GB3838-2002）Ⅱ、Ⅲ类水域的水环境质量标准限制。</w:t>
      </w:r>
    </w:p>
    <w:p w14:paraId="6C31D77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重点工程涉及小务龙水库扩建、新建大河水库、新建龙潭水库，3座水库均执行Ⅲ类，同时拟扩建（新建）的3座水库均有人饮功能，还应执行集中式生活饮用水地表水源地补充项目标准限值。各标准限值详见下表。</w:t>
      </w:r>
    </w:p>
    <w:p w14:paraId="0218E25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规划范围涉及水功能区划统计详见1.</w:t>
      </w:r>
      <w:r>
        <w:rPr>
          <w:rFonts w:hint="default" w:ascii="Times New Roman" w:hAnsi="Times New Roman" w:cs="Times New Roman"/>
          <w:color w:val="auto"/>
          <w:highlight w:val="none"/>
          <w:lang w:val="en-US" w:eastAsia="zh-CN"/>
        </w:rPr>
        <w:t>5.2</w:t>
      </w:r>
      <w:r>
        <w:rPr>
          <w:rFonts w:hint="default" w:ascii="Times New Roman" w:hAnsi="Times New Roman" w:cs="Times New Roman"/>
          <w:color w:val="auto"/>
          <w:highlight w:val="none"/>
        </w:rPr>
        <w:t>节评价范围内水功能区划分情况表。</w:t>
      </w:r>
    </w:p>
    <w:p w14:paraId="392C947E">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1.7.1-1</w:t>
      </w:r>
      <w:r>
        <w:rPr>
          <w:rFonts w:hint="default" w:ascii="Times New Roman" w:hAnsi="Times New Roman" w:cs="Times New Roman"/>
          <w:color w:val="auto"/>
          <w:highlight w:val="none"/>
        </w:rPr>
        <w:t xml:space="preserve">  地表水环境质量标准</w:t>
      </w:r>
    </w:p>
    <w:tbl>
      <w:tblPr>
        <w:tblStyle w:val="22"/>
        <w:tblpPr w:leftFromText="180" w:rightFromText="180" w:vertAnchor="text" w:tblpXSpec="center" w:tblpY="1"/>
        <w:tblOverlap w:val="never"/>
        <w:tblW w:w="83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52"/>
        <w:gridCol w:w="424"/>
        <w:gridCol w:w="739"/>
        <w:gridCol w:w="815"/>
        <w:gridCol w:w="673"/>
        <w:gridCol w:w="827"/>
        <w:gridCol w:w="519"/>
        <w:gridCol w:w="987"/>
        <w:gridCol w:w="519"/>
        <w:gridCol w:w="838"/>
        <w:gridCol w:w="452"/>
        <w:gridCol w:w="775"/>
        <w:gridCol w:w="442"/>
      </w:tblGrid>
      <w:tr w14:paraId="0839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blHeader/>
        </w:trPr>
        <w:tc>
          <w:tcPr>
            <w:tcW w:w="0" w:type="auto"/>
            <w:vAlign w:val="center"/>
          </w:tcPr>
          <w:p w14:paraId="147477AD">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br w:type="page"/>
            </w:r>
            <w:r>
              <w:rPr>
                <w:rFonts w:hint="default" w:ascii="Times New Roman" w:hAnsi="Times New Roman" w:eastAsia="宋体" w:cs="Times New Roman"/>
                <w:b w:val="0"/>
                <w:bCs w:val="0"/>
                <w:color w:val="auto"/>
                <w:highlight w:val="none"/>
              </w:rPr>
              <w:t>标准</w:t>
            </w:r>
          </w:p>
        </w:tc>
        <w:tc>
          <w:tcPr>
            <w:tcW w:w="8010" w:type="dxa"/>
            <w:gridSpan w:val="12"/>
            <w:vAlign w:val="center"/>
          </w:tcPr>
          <w:p w14:paraId="531FDB9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指标（pH无量纲、粪大肠菌群为个/L、其他为mg/L）</w:t>
            </w:r>
          </w:p>
        </w:tc>
      </w:tr>
      <w:tr w14:paraId="0677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blHeader/>
        </w:trPr>
        <w:tc>
          <w:tcPr>
            <w:tcW w:w="0" w:type="auto"/>
            <w:vMerge w:val="restart"/>
            <w:vAlign w:val="center"/>
          </w:tcPr>
          <w:p w14:paraId="19CAAF9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Ⅱ类</w:t>
            </w:r>
          </w:p>
        </w:tc>
        <w:tc>
          <w:tcPr>
            <w:tcW w:w="0" w:type="auto"/>
            <w:vAlign w:val="center"/>
          </w:tcPr>
          <w:p w14:paraId="0FBF9D09">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pH</w:t>
            </w:r>
          </w:p>
        </w:tc>
        <w:tc>
          <w:tcPr>
            <w:tcW w:w="0" w:type="auto"/>
            <w:vAlign w:val="center"/>
          </w:tcPr>
          <w:p w14:paraId="44F81FE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溶解氧</w:t>
            </w:r>
          </w:p>
        </w:tc>
        <w:tc>
          <w:tcPr>
            <w:tcW w:w="0" w:type="auto"/>
            <w:vAlign w:val="center"/>
          </w:tcPr>
          <w:p w14:paraId="7DEE007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高锰酸盐指数</w:t>
            </w:r>
          </w:p>
        </w:tc>
        <w:tc>
          <w:tcPr>
            <w:tcW w:w="0" w:type="auto"/>
            <w:vAlign w:val="center"/>
          </w:tcPr>
          <w:p w14:paraId="2E94E3F8">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化学需氧量</w:t>
            </w:r>
          </w:p>
        </w:tc>
        <w:tc>
          <w:tcPr>
            <w:tcW w:w="0" w:type="auto"/>
            <w:vAlign w:val="center"/>
          </w:tcPr>
          <w:p w14:paraId="20FA7BFC">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五日生化需氧量</w:t>
            </w:r>
          </w:p>
        </w:tc>
        <w:tc>
          <w:tcPr>
            <w:tcW w:w="0" w:type="auto"/>
            <w:vAlign w:val="center"/>
          </w:tcPr>
          <w:p w14:paraId="447332B0">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氨氮</w:t>
            </w:r>
          </w:p>
        </w:tc>
        <w:tc>
          <w:tcPr>
            <w:tcW w:w="0" w:type="auto"/>
            <w:vAlign w:val="center"/>
          </w:tcPr>
          <w:p w14:paraId="126C5000">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总磷</w:t>
            </w:r>
          </w:p>
        </w:tc>
        <w:tc>
          <w:tcPr>
            <w:tcW w:w="0" w:type="auto"/>
            <w:vAlign w:val="center"/>
          </w:tcPr>
          <w:p w14:paraId="6045BD1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总氮</w:t>
            </w:r>
          </w:p>
        </w:tc>
        <w:tc>
          <w:tcPr>
            <w:tcW w:w="0" w:type="auto"/>
            <w:vAlign w:val="center"/>
          </w:tcPr>
          <w:p w14:paraId="6E749BF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铜</w:t>
            </w:r>
          </w:p>
        </w:tc>
        <w:tc>
          <w:tcPr>
            <w:tcW w:w="0" w:type="auto"/>
            <w:vAlign w:val="center"/>
          </w:tcPr>
          <w:p w14:paraId="0A90F0F6">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锌</w:t>
            </w:r>
          </w:p>
        </w:tc>
        <w:tc>
          <w:tcPr>
            <w:tcW w:w="0" w:type="auto"/>
            <w:vAlign w:val="center"/>
          </w:tcPr>
          <w:p w14:paraId="7578BBB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氟化物</w:t>
            </w:r>
          </w:p>
        </w:tc>
        <w:tc>
          <w:tcPr>
            <w:tcW w:w="442" w:type="dxa"/>
            <w:vAlign w:val="center"/>
          </w:tcPr>
          <w:p w14:paraId="33C778F0">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硒</w:t>
            </w:r>
          </w:p>
        </w:tc>
      </w:tr>
      <w:tr w14:paraId="6EA5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blHeader/>
        </w:trPr>
        <w:tc>
          <w:tcPr>
            <w:tcW w:w="0" w:type="auto"/>
            <w:vMerge w:val="continue"/>
            <w:vAlign w:val="center"/>
          </w:tcPr>
          <w:p w14:paraId="29FA31C6">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c>
          <w:tcPr>
            <w:tcW w:w="0" w:type="auto"/>
            <w:vAlign w:val="center"/>
          </w:tcPr>
          <w:p w14:paraId="7E5445BA">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6~9</w:t>
            </w:r>
          </w:p>
        </w:tc>
        <w:tc>
          <w:tcPr>
            <w:tcW w:w="0" w:type="auto"/>
            <w:vAlign w:val="center"/>
          </w:tcPr>
          <w:p w14:paraId="0203F7B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6</w:t>
            </w:r>
          </w:p>
        </w:tc>
        <w:tc>
          <w:tcPr>
            <w:tcW w:w="0" w:type="auto"/>
            <w:vAlign w:val="center"/>
          </w:tcPr>
          <w:p w14:paraId="6D440192">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4</w:t>
            </w:r>
          </w:p>
        </w:tc>
        <w:tc>
          <w:tcPr>
            <w:tcW w:w="0" w:type="auto"/>
            <w:vAlign w:val="center"/>
          </w:tcPr>
          <w:p w14:paraId="64FD3E2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15</w:t>
            </w:r>
          </w:p>
        </w:tc>
        <w:tc>
          <w:tcPr>
            <w:tcW w:w="0" w:type="auto"/>
            <w:vAlign w:val="center"/>
          </w:tcPr>
          <w:p w14:paraId="6246D96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3</w:t>
            </w:r>
          </w:p>
        </w:tc>
        <w:tc>
          <w:tcPr>
            <w:tcW w:w="0" w:type="auto"/>
            <w:vAlign w:val="center"/>
          </w:tcPr>
          <w:p w14:paraId="530F1FD4">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0.5</w:t>
            </w:r>
          </w:p>
        </w:tc>
        <w:tc>
          <w:tcPr>
            <w:tcW w:w="0" w:type="auto"/>
            <w:vAlign w:val="center"/>
          </w:tcPr>
          <w:p w14:paraId="0644F8F0">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0.1</w:t>
            </w:r>
          </w:p>
          <w:p w14:paraId="1F0EB86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（湖库0.025）</w:t>
            </w:r>
          </w:p>
        </w:tc>
        <w:tc>
          <w:tcPr>
            <w:tcW w:w="0" w:type="auto"/>
            <w:vAlign w:val="center"/>
          </w:tcPr>
          <w:p w14:paraId="12C4F726">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0.5</w:t>
            </w:r>
          </w:p>
        </w:tc>
        <w:tc>
          <w:tcPr>
            <w:tcW w:w="0" w:type="auto"/>
            <w:vAlign w:val="center"/>
          </w:tcPr>
          <w:p w14:paraId="294A3B5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w:t>
            </w:r>
          </w:p>
        </w:tc>
        <w:tc>
          <w:tcPr>
            <w:tcW w:w="0" w:type="auto"/>
            <w:vAlign w:val="center"/>
          </w:tcPr>
          <w:p w14:paraId="1FD2ED2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w:t>
            </w:r>
          </w:p>
        </w:tc>
        <w:tc>
          <w:tcPr>
            <w:tcW w:w="0" w:type="auto"/>
            <w:vAlign w:val="center"/>
          </w:tcPr>
          <w:p w14:paraId="79E05FEE">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w:t>
            </w:r>
          </w:p>
        </w:tc>
        <w:tc>
          <w:tcPr>
            <w:tcW w:w="442" w:type="dxa"/>
            <w:vAlign w:val="center"/>
          </w:tcPr>
          <w:p w14:paraId="2FCD363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0.01</w:t>
            </w:r>
          </w:p>
        </w:tc>
      </w:tr>
      <w:tr w14:paraId="2429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blHeader/>
        </w:trPr>
        <w:tc>
          <w:tcPr>
            <w:tcW w:w="0" w:type="auto"/>
            <w:vMerge w:val="continue"/>
            <w:vAlign w:val="center"/>
          </w:tcPr>
          <w:p w14:paraId="57D7F0C1">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c>
          <w:tcPr>
            <w:tcW w:w="0" w:type="auto"/>
            <w:vAlign w:val="center"/>
          </w:tcPr>
          <w:p w14:paraId="123C10EE">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砷</w:t>
            </w:r>
          </w:p>
        </w:tc>
        <w:tc>
          <w:tcPr>
            <w:tcW w:w="0" w:type="auto"/>
            <w:vAlign w:val="center"/>
          </w:tcPr>
          <w:p w14:paraId="256234C2">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汞</w:t>
            </w:r>
          </w:p>
        </w:tc>
        <w:tc>
          <w:tcPr>
            <w:tcW w:w="0" w:type="auto"/>
            <w:vAlign w:val="center"/>
          </w:tcPr>
          <w:p w14:paraId="438EB61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镉</w:t>
            </w:r>
          </w:p>
        </w:tc>
        <w:tc>
          <w:tcPr>
            <w:tcW w:w="0" w:type="auto"/>
            <w:vAlign w:val="center"/>
          </w:tcPr>
          <w:p w14:paraId="54EC725C">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六价铬</w:t>
            </w:r>
          </w:p>
        </w:tc>
        <w:tc>
          <w:tcPr>
            <w:tcW w:w="0" w:type="auto"/>
            <w:vAlign w:val="center"/>
          </w:tcPr>
          <w:p w14:paraId="0DEC23BE">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铅</w:t>
            </w:r>
          </w:p>
        </w:tc>
        <w:tc>
          <w:tcPr>
            <w:tcW w:w="0" w:type="auto"/>
            <w:vAlign w:val="center"/>
          </w:tcPr>
          <w:p w14:paraId="3723EE3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氰化物</w:t>
            </w:r>
          </w:p>
        </w:tc>
        <w:tc>
          <w:tcPr>
            <w:tcW w:w="0" w:type="auto"/>
            <w:vAlign w:val="center"/>
          </w:tcPr>
          <w:p w14:paraId="787684AD">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挥发酚</w:t>
            </w:r>
          </w:p>
        </w:tc>
        <w:tc>
          <w:tcPr>
            <w:tcW w:w="0" w:type="auto"/>
            <w:vAlign w:val="center"/>
          </w:tcPr>
          <w:p w14:paraId="75CCD2BC">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石油类</w:t>
            </w:r>
          </w:p>
        </w:tc>
        <w:tc>
          <w:tcPr>
            <w:tcW w:w="0" w:type="auto"/>
            <w:vAlign w:val="center"/>
          </w:tcPr>
          <w:p w14:paraId="4DBD7A18">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阴离子表面活性剂</w:t>
            </w:r>
          </w:p>
        </w:tc>
        <w:tc>
          <w:tcPr>
            <w:tcW w:w="0" w:type="auto"/>
            <w:vAlign w:val="center"/>
          </w:tcPr>
          <w:p w14:paraId="7901D809">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硫化物</w:t>
            </w:r>
          </w:p>
        </w:tc>
        <w:tc>
          <w:tcPr>
            <w:tcW w:w="0" w:type="auto"/>
            <w:vAlign w:val="center"/>
          </w:tcPr>
          <w:p w14:paraId="56C9D1F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粪大肠菌群</w:t>
            </w:r>
          </w:p>
        </w:tc>
        <w:tc>
          <w:tcPr>
            <w:tcW w:w="442" w:type="dxa"/>
            <w:vAlign w:val="center"/>
          </w:tcPr>
          <w:p w14:paraId="1789FFE0">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r>
      <w:tr w14:paraId="6B852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blHeader/>
        </w:trPr>
        <w:tc>
          <w:tcPr>
            <w:tcW w:w="0" w:type="auto"/>
            <w:vMerge w:val="continue"/>
            <w:vAlign w:val="center"/>
          </w:tcPr>
          <w:p w14:paraId="7A22E029">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c>
          <w:tcPr>
            <w:tcW w:w="0" w:type="auto"/>
            <w:vAlign w:val="center"/>
          </w:tcPr>
          <w:p w14:paraId="26FE8579">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0.05</w:t>
            </w:r>
          </w:p>
        </w:tc>
        <w:tc>
          <w:tcPr>
            <w:tcW w:w="0" w:type="auto"/>
            <w:vAlign w:val="center"/>
          </w:tcPr>
          <w:p w14:paraId="0D53411C">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0.00005</w:t>
            </w:r>
          </w:p>
        </w:tc>
        <w:tc>
          <w:tcPr>
            <w:tcW w:w="0" w:type="auto"/>
            <w:vAlign w:val="center"/>
          </w:tcPr>
          <w:p w14:paraId="4DF593F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0.005</w:t>
            </w:r>
          </w:p>
        </w:tc>
        <w:tc>
          <w:tcPr>
            <w:tcW w:w="0" w:type="auto"/>
            <w:vAlign w:val="center"/>
          </w:tcPr>
          <w:p w14:paraId="6139EE1A">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0.05</w:t>
            </w:r>
          </w:p>
        </w:tc>
        <w:tc>
          <w:tcPr>
            <w:tcW w:w="0" w:type="auto"/>
            <w:vAlign w:val="center"/>
          </w:tcPr>
          <w:p w14:paraId="06703BF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0.01</w:t>
            </w:r>
          </w:p>
        </w:tc>
        <w:tc>
          <w:tcPr>
            <w:tcW w:w="0" w:type="auto"/>
            <w:vAlign w:val="center"/>
          </w:tcPr>
          <w:p w14:paraId="1AB8D7A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0.05</w:t>
            </w:r>
          </w:p>
        </w:tc>
        <w:tc>
          <w:tcPr>
            <w:tcW w:w="0" w:type="auto"/>
            <w:vAlign w:val="center"/>
          </w:tcPr>
          <w:p w14:paraId="40371876">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0.002</w:t>
            </w:r>
          </w:p>
        </w:tc>
        <w:tc>
          <w:tcPr>
            <w:tcW w:w="0" w:type="auto"/>
            <w:vAlign w:val="center"/>
          </w:tcPr>
          <w:p w14:paraId="1CB23013">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0.05</w:t>
            </w:r>
          </w:p>
        </w:tc>
        <w:tc>
          <w:tcPr>
            <w:tcW w:w="0" w:type="auto"/>
            <w:vAlign w:val="center"/>
          </w:tcPr>
          <w:p w14:paraId="7AEB0E22">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0.2</w:t>
            </w:r>
          </w:p>
        </w:tc>
        <w:tc>
          <w:tcPr>
            <w:tcW w:w="0" w:type="auto"/>
            <w:vAlign w:val="center"/>
          </w:tcPr>
          <w:p w14:paraId="268A2843">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0.1</w:t>
            </w:r>
          </w:p>
        </w:tc>
        <w:tc>
          <w:tcPr>
            <w:tcW w:w="0" w:type="auto"/>
            <w:vAlign w:val="center"/>
          </w:tcPr>
          <w:p w14:paraId="1D375A33">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2000</w:t>
            </w:r>
          </w:p>
        </w:tc>
        <w:tc>
          <w:tcPr>
            <w:tcW w:w="442" w:type="dxa"/>
            <w:vAlign w:val="center"/>
          </w:tcPr>
          <w:p w14:paraId="6F8C116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r>
      <w:tr w14:paraId="27C5B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blHeader/>
        </w:trPr>
        <w:tc>
          <w:tcPr>
            <w:tcW w:w="0" w:type="auto"/>
            <w:vMerge w:val="restart"/>
            <w:vAlign w:val="center"/>
          </w:tcPr>
          <w:p w14:paraId="6F2517E8">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Ⅲ类</w:t>
            </w:r>
          </w:p>
        </w:tc>
        <w:tc>
          <w:tcPr>
            <w:tcW w:w="0" w:type="auto"/>
            <w:vAlign w:val="center"/>
          </w:tcPr>
          <w:p w14:paraId="7D1319A3">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pH</w:t>
            </w:r>
          </w:p>
        </w:tc>
        <w:tc>
          <w:tcPr>
            <w:tcW w:w="0" w:type="auto"/>
            <w:vAlign w:val="center"/>
          </w:tcPr>
          <w:p w14:paraId="60CB73E1">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溶解氧</w:t>
            </w:r>
          </w:p>
        </w:tc>
        <w:tc>
          <w:tcPr>
            <w:tcW w:w="0" w:type="auto"/>
            <w:vAlign w:val="center"/>
          </w:tcPr>
          <w:p w14:paraId="78296DB4">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高锰酸盐指数</w:t>
            </w:r>
          </w:p>
        </w:tc>
        <w:tc>
          <w:tcPr>
            <w:tcW w:w="0" w:type="auto"/>
            <w:vAlign w:val="center"/>
          </w:tcPr>
          <w:p w14:paraId="686292F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化学需氧量</w:t>
            </w:r>
          </w:p>
        </w:tc>
        <w:tc>
          <w:tcPr>
            <w:tcW w:w="0" w:type="auto"/>
            <w:vAlign w:val="center"/>
          </w:tcPr>
          <w:p w14:paraId="28AD023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生化需氧量</w:t>
            </w:r>
          </w:p>
        </w:tc>
        <w:tc>
          <w:tcPr>
            <w:tcW w:w="0" w:type="auto"/>
            <w:vAlign w:val="center"/>
          </w:tcPr>
          <w:p w14:paraId="103BEFAD">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氨氮</w:t>
            </w:r>
          </w:p>
        </w:tc>
        <w:tc>
          <w:tcPr>
            <w:tcW w:w="0" w:type="auto"/>
            <w:vAlign w:val="center"/>
          </w:tcPr>
          <w:p w14:paraId="6666699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总磷</w:t>
            </w:r>
          </w:p>
        </w:tc>
        <w:tc>
          <w:tcPr>
            <w:tcW w:w="0" w:type="auto"/>
            <w:vAlign w:val="center"/>
          </w:tcPr>
          <w:p w14:paraId="01ED59A4">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总氮</w:t>
            </w:r>
          </w:p>
        </w:tc>
        <w:tc>
          <w:tcPr>
            <w:tcW w:w="0" w:type="auto"/>
            <w:vAlign w:val="center"/>
          </w:tcPr>
          <w:p w14:paraId="09949A42">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铜</w:t>
            </w:r>
          </w:p>
        </w:tc>
        <w:tc>
          <w:tcPr>
            <w:tcW w:w="0" w:type="auto"/>
            <w:vAlign w:val="center"/>
          </w:tcPr>
          <w:p w14:paraId="24EE99DE">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锌</w:t>
            </w:r>
          </w:p>
        </w:tc>
        <w:tc>
          <w:tcPr>
            <w:tcW w:w="0" w:type="auto"/>
            <w:vAlign w:val="center"/>
          </w:tcPr>
          <w:p w14:paraId="7091937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氟化物</w:t>
            </w:r>
          </w:p>
        </w:tc>
        <w:tc>
          <w:tcPr>
            <w:tcW w:w="442" w:type="dxa"/>
            <w:vAlign w:val="center"/>
          </w:tcPr>
          <w:p w14:paraId="1BD3CF5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硒</w:t>
            </w:r>
          </w:p>
        </w:tc>
      </w:tr>
      <w:tr w14:paraId="42C8F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blHeader/>
        </w:trPr>
        <w:tc>
          <w:tcPr>
            <w:tcW w:w="0" w:type="auto"/>
            <w:vMerge w:val="continue"/>
            <w:vAlign w:val="center"/>
          </w:tcPr>
          <w:p w14:paraId="665D519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c>
          <w:tcPr>
            <w:tcW w:w="0" w:type="auto"/>
            <w:vAlign w:val="center"/>
          </w:tcPr>
          <w:p w14:paraId="25108C3D">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6~9</w:t>
            </w:r>
          </w:p>
        </w:tc>
        <w:tc>
          <w:tcPr>
            <w:tcW w:w="0" w:type="auto"/>
            <w:vAlign w:val="center"/>
          </w:tcPr>
          <w:p w14:paraId="06E0CD5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5</w:t>
            </w:r>
          </w:p>
        </w:tc>
        <w:tc>
          <w:tcPr>
            <w:tcW w:w="0" w:type="auto"/>
            <w:vAlign w:val="center"/>
          </w:tcPr>
          <w:p w14:paraId="79323986">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6</w:t>
            </w:r>
          </w:p>
        </w:tc>
        <w:tc>
          <w:tcPr>
            <w:tcW w:w="0" w:type="auto"/>
            <w:vAlign w:val="center"/>
          </w:tcPr>
          <w:p w14:paraId="16D5CF5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20</w:t>
            </w:r>
          </w:p>
        </w:tc>
        <w:tc>
          <w:tcPr>
            <w:tcW w:w="0" w:type="auto"/>
            <w:vAlign w:val="center"/>
          </w:tcPr>
          <w:p w14:paraId="23808B56">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4</w:t>
            </w:r>
          </w:p>
        </w:tc>
        <w:tc>
          <w:tcPr>
            <w:tcW w:w="0" w:type="auto"/>
            <w:vAlign w:val="center"/>
          </w:tcPr>
          <w:p w14:paraId="156E1B5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w:t>
            </w:r>
          </w:p>
        </w:tc>
        <w:tc>
          <w:tcPr>
            <w:tcW w:w="0" w:type="auto"/>
            <w:vAlign w:val="center"/>
          </w:tcPr>
          <w:p w14:paraId="3C1B9BD1">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0.2</w:t>
            </w:r>
          </w:p>
          <w:p w14:paraId="0A35782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（湖库0.05）</w:t>
            </w:r>
          </w:p>
        </w:tc>
        <w:tc>
          <w:tcPr>
            <w:tcW w:w="0" w:type="auto"/>
            <w:vAlign w:val="center"/>
          </w:tcPr>
          <w:p w14:paraId="404EE76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w:t>
            </w:r>
          </w:p>
        </w:tc>
        <w:tc>
          <w:tcPr>
            <w:tcW w:w="0" w:type="auto"/>
            <w:vAlign w:val="center"/>
          </w:tcPr>
          <w:p w14:paraId="2E102A98">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w:t>
            </w:r>
          </w:p>
        </w:tc>
        <w:tc>
          <w:tcPr>
            <w:tcW w:w="0" w:type="auto"/>
            <w:vAlign w:val="center"/>
          </w:tcPr>
          <w:p w14:paraId="3D3ECA5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w:t>
            </w:r>
          </w:p>
        </w:tc>
        <w:tc>
          <w:tcPr>
            <w:tcW w:w="0" w:type="auto"/>
            <w:vAlign w:val="center"/>
          </w:tcPr>
          <w:p w14:paraId="2CE4F2CD">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w:t>
            </w:r>
          </w:p>
        </w:tc>
        <w:tc>
          <w:tcPr>
            <w:tcW w:w="442" w:type="dxa"/>
            <w:vAlign w:val="center"/>
          </w:tcPr>
          <w:p w14:paraId="664366B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0.01</w:t>
            </w:r>
          </w:p>
        </w:tc>
      </w:tr>
      <w:tr w14:paraId="7671A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blHeader/>
        </w:trPr>
        <w:tc>
          <w:tcPr>
            <w:tcW w:w="0" w:type="auto"/>
            <w:vMerge w:val="continue"/>
            <w:vAlign w:val="center"/>
          </w:tcPr>
          <w:p w14:paraId="3411172D">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c>
          <w:tcPr>
            <w:tcW w:w="0" w:type="auto"/>
            <w:vAlign w:val="center"/>
          </w:tcPr>
          <w:p w14:paraId="0EB2EEC5">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砷</w:t>
            </w:r>
          </w:p>
        </w:tc>
        <w:tc>
          <w:tcPr>
            <w:tcW w:w="0" w:type="auto"/>
            <w:vAlign w:val="center"/>
          </w:tcPr>
          <w:p w14:paraId="017EB1BE">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汞</w:t>
            </w:r>
          </w:p>
        </w:tc>
        <w:tc>
          <w:tcPr>
            <w:tcW w:w="0" w:type="auto"/>
            <w:vAlign w:val="center"/>
          </w:tcPr>
          <w:p w14:paraId="74758602">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镉</w:t>
            </w:r>
          </w:p>
        </w:tc>
        <w:tc>
          <w:tcPr>
            <w:tcW w:w="0" w:type="auto"/>
            <w:vAlign w:val="center"/>
          </w:tcPr>
          <w:p w14:paraId="5BA2FF93">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六价铬</w:t>
            </w:r>
          </w:p>
        </w:tc>
        <w:tc>
          <w:tcPr>
            <w:tcW w:w="0" w:type="auto"/>
            <w:vAlign w:val="center"/>
          </w:tcPr>
          <w:p w14:paraId="173391B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铅</w:t>
            </w:r>
          </w:p>
        </w:tc>
        <w:tc>
          <w:tcPr>
            <w:tcW w:w="0" w:type="auto"/>
            <w:vAlign w:val="center"/>
          </w:tcPr>
          <w:p w14:paraId="306A78E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氰化物</w:t>
            </w:r>
          </w:p>
        </w:tc>
        <w:tc>
          <w:tcPr>
            <w:tcW w:w="0" w:type="auto"/>
            <w:vAlign w:val="center"/>
          </w:tcPr>
          <w:p w14:paraId="7FAD9BD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挥发酚</w:t>
            </w:r>
          </w:p>
        </w:tc>
        <w:tc>
          <w:tcPr>
            <w:tcW w:w="0" w:type="auto"/>
            <w:vAlign w:val="center"/>
          </w:tcPr>
          <w:p w14:paraId="4241A54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石油类</w:t>
            </w:r>
          </w:p>
        </w:tc>
        <w:tc>
          <w:tcPr>
            <w:tcW w:w="0" w:type="auto"/>
            <w:vAlign w:val="center"/>
          </w:tcPr>
          <w:p w14:paraId="6B6FA5BB">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阴离子表面活性剂</w:t>
            </w:r>
          </w:p>
        </w:tc>
        <w:tc>
          <w:tcPr>
            <w:tcW w:w="0" w:type="auto"/>
            <w:vAlign w:val="center"/>
          </w:tcPr>
          <w:p w14:paraId="3535F590">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硫化物</w:t>
            </w:r>
          </w:p>
        </w:tc>
        <w:tc>
          <w:tcPr>
            <w:tcW w:w="0" w:type="auto"/>
            <w:vAlign w:val="center"/>
          </w:tcPr>
          <w:p w14:paraId="721A6E40">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粪大肠菌群</w:t>
            </w:r>
          </w:p>
        </w:tc>
        <w:tc>
          <w:tcPr>
            <w:tcW w:w="442" w:type="dxa"/>
            <w:vAlign w:val="center"/>
          </w:tcPr>
          <w:p w14:paraId="7B047E63">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r>
      <w:tr w14:paraId="44297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0" w:hRule="atLeast"/>
          <w:tblHeader/>
        </w:trPr>
        <w:tc>
          <w:tcPr>
            <w:tcW w:w="352" w:type="dxa"/>
            <w:vMerge w:val="continue"/>
            <w:vAlign w:val="center"/>
          </w:tcPr>
          <w:p w14:paraId="011EDCC0">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c>
          <w:tcPr>
            <w:tcW w:w="424" w:type="dxa"/>
            <w:vAlign w:val="center"/>
          </w:tcPr>
          <w:p w14:paraId="180759D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0.05</w:t>
            </w:r>
          </w:p>
        </w:tc>
        <w:tc>
          <w:tcPr>
            <w:tcW w:w="739" w:type="dxa"/>
            <w:vAlign w:val="center"/>
          </w:tcPr>
          <w:p w14:paraId="6D0E4766">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0.0001</w:t>
            </w:r>
          </w:p>
        </w:tc>
        <w:tc>
          <w:tcPr>
            <w:tcW w:w="815" w:type="dxa"/>
            <w:vAlign w:val="center"/>
          </w:tcPr>
          <w:p w14:paraId="57D60588">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0.005</w:t>
            </w:r>
          </w:p>
        </w:tc>
        <w:tc>
          <w:tcPr>
            <w:tcW w:w="673" w:type="dxa"/>
            <w:vAlign w:val="center"/>
          </w:tcPr>
          <w:p w14:paraId="489F232C">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0.05</w:t>
            </w:r>
          </w:p>
        </w:tc>
        <w:tc>
          <w:tcPr>
            <w:tcW w:w="827" w:type="dxa"/>
            <w:vAlign w:val="center"/>
          </w:tcPr>
          <w:p w14:paraId="1C1536FD">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0.05</w:t>
            </w:r>
          </w:p>
        </w:tc>
        <w:tc>
          <w:tcPr>
            <w:tcW w:w="519" w:type="dxa"/>
            <w:vAlign w:val="center"/>
          </w:tcPr>
          <w:p w14:paraId="74EB3FE1">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0.2</w:t>
            </w:r>
          </w:p>
        </w:tc>
        <w:tc>
          <w:tcPr>
            <w:tcW w:w="987" w:type="dxa"/>
            <w:vAlign w:val="center"/>
          </w:tcPr>
          <w:p w14:paraId="7FFE8EE0">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0.005</w:t>
            </w:r>
          </w:p>
        </w:tc>
        <w:tc>
          <w:tcPr>
            <w:tcW w:w="519" w:type="dxa"/>
            <w:vAlign w:val="center"/>
          </w:tcPr>
          <w:p w14:paraId="63BC1631">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0.05</w:t>
            </w:r>
          </w:p>
        </w:tc>
        <w:tc>
          <w:tcPr>
            <w:tcW w:w="838" w:type="dxa"/>
            <w:vAlign w:val="center"/>
          </w:tcPr>
          <w:p w14:paraId="41AC4884">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0.2</w:t>
            </w:r>
          </w:p>
        </w:tc>
        <w:tc>
          <w:tcPr>
            <w:tcW w:w="452" w:type="dxa"/>
            <w:vAlign w:val="center"/>
          </w:tcPr>
          <w:p w14:paraId="0966CD51">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0.2</w:t>
            </w:r>
          </w:p>
        </w:tc>
        <w:tc>
          <w:tcPr>
            <w:tcW w:w="775" w:type="dxa"/>
            <w:vAlign w:val="center"/>
          </w:tcPr>
          <w:p w14:paraId="47DF5C57">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r>
              <w:rPr>
                <w:rFonts w:hint="default" w:ascii="Times New Roman" w:hAnsi="Times New Roman" w:eastAsia="宋体" w:cs="Times New Roman"/>
                <w:b w:val="0"/>
                <w:bCs w:val="0"/>
                <w:color w:val="auto"/>
                <w:highlight w:val="none"/>
              </w:rPr>
              <w:t>10000</w:t>
            </w:r>
          </w:p>
        </w:tc>
        <w:tc>
          <w:tcPr>
            <w:tcW w:w="442" w:type="dxa"/>
            <w:vAlign w:val="center"/>
          </w:tcPr>
          <w:p w14:paraId="5EE64D1F">
            <w:pPr>
              <w:pStyle w:val="35"/>
              <w:keepNext/>
              <w:snapToGrid w:val="0"/>
              <w:spacing w:line="240" w:lineRule="auto"/>
              <w:ind w:firstLine="0" w:firstLineChars="0"/>
              <w:rPr>
                <w:rFonts w:hint="default" w:ascii="Times New Roman" w:hAnsi="Times New Roman" w:eastAsia="宋体" w:cs="Times New Roman"/>
                <w:b w:val="0"/>
                <w:bCs w:val="0"/>
                <w:color w:val="auto"/>
                <w:highlight w:val="none"/>
              </w:rPr>
            </w:pPr>
          </w:p>
        </w:tc>
      </w:tr>
    </w:tbl>
    <w:p w14:paraId="4FD242CC">
      <w:pPr>
        <w:pStyle w:val="29"/>
        <w:bidi w:val="0"/>
        <w:rPr>
          <w:rFonts w:hint="default" w:ascii="Times New Roman" w:hAnsi="Times New Roman" w:cs="Times New Roman"/>
          <w:color w:val="auto"/>
          <w:highlight w:val="none"/>
        </w:rPr>
      </w:pPr>
    </w:p>
    <w:p w14:paraId="57C432E5">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1.7.1-2</w:t>
      </w:r>
      <w:r>
        <w:rPr>
          <w:rFonts w:hint="default" w:ascii="Times New Roman" w:hAnsi="Times New Roman" w:cs="Times New Roman"/>
          <w:color w:val="auto"/>
          <w:highlight w:val="none"/>
        </w:rPr>
        <w:t xml:space="preserve">  地表水环境质量标准</w:t>
      </w:r>
    </w:p>
    <w:tbl>
      <w:tblPr>
        <w:tblStyle w:val="22"/>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28" w:type="dxa"/>
          <w:bottom w:w="0" w:type="dxa"/>
          <w:right w:w="28" w:type="dxa"/>
        </w:tblCellMar>
      </w:tblPr>
      <w:tblGrid>
        <w:gridCol w:w="1560"/>
        <w:gridCol w:w="3261"/>
        <w:gridCol w:w="3541"/>
      </w:tblGrid>
      <w:tr w14:paraId="393DB90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rPr>
        <w:tc>
          <w:tcPr>
            <w:tcW w:w="933" w:type="pct"/>
            <w:vAlign w:val="center"/>
          </w:tcPr>
          <w:p w14:paraId="0C77B61F">
            <w:pPr>
              <w:pStyle w:val="35"/>
              <w:kinsoku w:val="0"/>
              <w:overflowPunct w:val="0"/>
              <w:spacing w:line="240" w:lineRule="auto"/>
              <w:ind w:firstLine="0"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序号</w:t>
            </w:r>
          </w:p>
        </w:tc>
        <w:tc>
          <w:tcPr>
            <w:tcW w:w="1950" w:type="pct"/>
            <w:vAlign w:val="center"/>
          </w:tcPr>
          <w:p w14:paraId="67926880">
            <w:pPr>
              <w:pStyle w:val="35"/>
              <w:kinsoku w:val="0"/>
              <w:overflowPunct w:val="0"/>
              <w:spacing w:line="240" w:lineRule="auto"/>
              <w:ind w:firstLine="0"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项目</w:t>
            </w:r>
          </w:p>
        </w:tc>
        <w:tc>
          <w:tcPr>
            <w:tcW w:w="2117" w:type="pct"/>
            <w:vAlign w:val="center"/>
          </w:tcPr>
          <w:p w14:paraId="76BFDAE7">
            <w:pPr>
              <w:pStyle w:val="35"/>
              <w:kinsoku w:val="0"/>
              <w:overflowPunct w:val="0"/>
              <w:spacing w:line="240" w:lineRule="auto"/>
              <w:ind w:firstLine="0"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标准值</w:t>
            </w:r>
          </w:p>
        </w:tc>
      </w:tr>
      <w:tr w14:paraId="3FB0E3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rPr>
        <w:tc>
          <w:tcPr>
            <w:tcW w:w="933" w:type="pct"/>
            <w:vAlign w:val="center"/>
          </w:tcPr>
          <w:p w14:paraId="0FF0AED8">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p>
        </w:tc>
        <w:tc>
          <w:tcPr>
            <w:tcW w:w="1950" w:type="pct"/>
            <w:vAlign w:val="center"/>
          </w:tcPr>
          <w:p w14:paraId="1F7051C3">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硫酸盐（以SO</w:t>
            </w:r>
            <w:r>
              <w:rPr>
                <w:rFonts w:hint="default" w:ascii="Times New Roman" w:hAnsi="Times New Roman" w:eastAsia="宋体" w:cs="Times New Roman"/>
                <w:color w:val="auto"/>
                <w:highlight w:val="none"/>
                <w:vertAlign w:val="subscript"/>
              </w:rPr>
              <w:t>4</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w:t>
            </w:r>
          </w:p>
        </w:tc>
        <w:tc>
          <w:tcPr>
            <w:tcW w:w="2117" w:type="pct"/>
            <w:vAlign w:val="center"/>
          </w:tcPr>
          <w:p w14:paraId="32FD6FA5">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250</w:t>
            </w:r>
          </w:p>
        </w:tc>
      </w:tr>
      <w:tr w14:paraId="2C9710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rPr>
        <w:tc>
          <w:tcPr>
            <w:tcW w:w="933" w:type="pct"/>
            <w:vAlign w:val="center"/>
          </w:tcPr>
          <w:p w14:paraId="0016BDE5">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p>
        </w:tc>
        <w:tc>
          <w:tcPr>
            <w:tcW w:w="1950" w:type="pct"/>
            <w:vAlign w:val="center"/>
          </w:tcPr>
          <w:p w14:paraId="037F9E9C">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氯化物（以Cl</w:t>
            </w:r>
            <w:r>
              <w:rPr>
                <w:rFonts w:hint="default" w:ascii="Times New Roman" w:hAnsi="Times New Roman" w:eastAsia="宋体" w:cs="Times New Roman"/>
                <w:color w:val="auto"/>
                <w:highlight w:val="none"/>
                <w:vertAlign w:val="superscript"/>
              </w:rPr>
              <w:t>-</w:t>
            </w:r>
            <w:r>
              <w:rPr>
                <w:rFonts w:hint="default" w:ascii="Times New Roman" w:hAnsi="Times New Roman" w:eastAsia="宋体" w:cs="Times New Roman"/>
                <w:color w:val="auto"/>
                <w:highlight w:val="none"/>
              </w:rPr>
              <w:t>计）</w:t>
            </w:r>
          </w:p>
        </w:tc>
        <w:tc>
          <w:tcPr>
            <w:tcW w:w="2117" w:type="pct"/>
            <w:vAlign w:val="center"/>
          </w:tcPr>
          <w:p w14:paraId="51F484CA">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250</w:t>
            </w:r>
          </w:p>
        </w:tc>
      </w:tr>
      <w:tr w14:paraId="72204D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rPr>
        <w:tc>
          <w:tcPr>
            <w:tcW w:w="933" w:type="pct"/>
            <w:vAlign w:val="center"/>
          </w:tcPr>
          <w:p w14:paraId="3A6B1F99">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w:t>
            </w:r>
          </w:p>
        </w:tc>
        <w:tc>
          <w:tcPr>
            <w:tcW w:w="1950" w:type="pct"/>
            <w:vAlign w:val="center"/>
          </w:tcPr>
          <w:p w14:paraId="3AA7F5BE">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硝酸盐（以N计）</w:t>
            </w:r>
          </w:p>
        </w:tc>
        <w:tc>
          <w:tcPr>
            <w:tcW w:w="2117" w:type="pct"/>
            <w:vAlign w:val="center"/>
          </w:tcPr>
          <w:p w14:paraId="588B4699">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w:t>
            </w:r>
          </w:p>
        </w:tc>
      </w:tr>
      <w:tr w14:paraId="3670A2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rPr>
        <w:tc>
          <w:tcPr>
            <w:tcW w:w="933" w:type="pct"/>
            <w:vAlign w:val="center"/>
          </w:tcPr>
          <w:p w14:paraId="5C5757BF">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w:t>
            </w:r>
          </w:p>
        </w:tc>
        <w:tc>
          <w:tcPr>
            <w:tcW w:w="1950" w:type="pct"/>
            <w:vAlign w:val="center"/>
          </w:tcPr>
          <w:p w14:paraId="1DCE1308">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铁</w:t>
            </w:r>
          </w:p>
        </w:tc>
        <w:tc>
          <w:tcPr>
            <w:tcW w:w="2117" w:type="pct"/>
            <w:vAlign w:val="center"/>
          </w:tcPr>
          <w:p w14:paraId="05BCC8D1">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0.3</w:t>
            </w:r>
          </w:p>
        </w:tc>
      </w:tr>
      <w:tr w14:paraId="0E381F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rPr>
        <w:tc>
          <w:tcPr>
            <w:tcW w:w="933" w:type="pct"/>
            <w:vAlign w:val="center"/>
          </w:tcPr>
          <w:p w14:paraId="1A09ED7E">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w:t>
            </w:r>
          </w:p>
        </w:tc>
        <w:tc>
          <w:tcPr>
            <w:tcW w:w="1950" w:type="pct"/>
            <w:vAlign w:val="center"/>
          </w:tcPr>
          <w:p w14:paraId="09E8B226">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锰</w:t>
            </w:r>
          </w:p>
        </w:tc>
        <w:tc>
          <w:tcPr>
            <w:tcW w:w="2117" w:type="pct"/>
            <w:vAlign w:val="center"/>
          </w:tcPr>
          <w:p w14:paraId="3F071833">
            <w:pPr>
              <w:pStyle w:val="35"/>
              <w:kinsoku w:val="0"/>
              <w:overflowPunct w:val="0"/>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0.1</w:t>
            </w:r>
          </w:p>
        </w:tc>
      </w:tr>
    </w:tbl>
    <w:p w14:paraId="76B09ECB">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地下水环境</w:t>
      </w:r>
    </w:p>
    <w:p w14:paraId="150509E0">
      <w:pPr>
        <w:ind w:firstLine="480" w:firstLineChars="20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根据《地下水质量标准》（GB/T 14848-2017）的地下水质量分类，评价区内地下水以人群健康基准值为依据，执行地下水Ⅲ类质量标准，详见表1.</w:t>
      </w:r>
      <w:r>
        <w:rPr>
          <w:rFonts w:hint="default" w:ascii="Times New Roman" w:hAnsi="Times New Roman" w:cs="Times New Roman" w:eastAsiaTheme="minorEastAsia"/>
          <w:color w:val="auto"/>
          <w:highlight w:val="none"/>
          <w:lang w:val="en-US" w:eastAsia="zh-CN"/>
        </w:rPr>
        <w:t>7</w:t>
      </w:r>
      <w:r>
        <w:rPr>
          <w:rFonts w:hint="default" w:ascii="Times New Roman" w:hAnsi="Times New Roman" w:cs="Times New Roman" w:eastAsiaTheme="minorEastAsia"/>
          <w:color w:val="auto"/>
          <w:highlight w:val="none"/>
        </w:rPr>
        <w:t>.1-</w:t>
      </w:r>
      <w:r>
        <w:rPr>
          <w:rFonts w:hint="default" w:ascii="Times New Roman" w:hAnsi="Times New Roman" w:cs="Times New Roman" w:eastAsiaTheme="minorEastAsia"/>
          <w:color w:val="auto"/>
          <w:highlight w:val="none"/>
          <w:lang w:val="en-US" w:eastAsia="zh-CN"/>
        </w:rPr>
        <w:t>3</w:t>
      </w:r>
      <w:r>
        <w:rPr>
          <w:rFonts w:hint="default" w:ascii="Times New Roman" w:hAnsi="Times New Roman" w:cs="Times New Roman" w:eastAsiaTheme="minorEastAsia"/>
          <w:color w:val="auto"/>
          <w:highlight w:val="none"/>
        </w:rPr>
        <w:t>所示。</w:t>
      </w:r>
    </w:p>
    <w:p w14:paraId="0E96E189">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 xml:space="preserve"> 地下水质量标准</w:t>
      </w:r>
    </w:p>
    <w:tbl>
      <w:tblPr>
        <w:tblStyle w:val="22"/>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6"/>
        <w:gridCol w:w="4512"/>
        <w:gridCol w:w="2864"/>
      </w:tblGrid>
      <w:tr w14:paraId="2B81D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tblHeader/>
          <w:jc w:val="center"/>
        </w:trPr>
        <w:tc>
          <w:tcPr>
            <w:tcW w:w="936" w:type="dxa"/>
            <w:vAlign w:val="center"/>
          </w:tcPr>
          <w:p w14:paraId="4B305AFA">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4512" w:type="dxa"/>
            <w:vAlign w:val="center"/>
          </w:tcPr>
          <w:p w14:paraId="191F02BD">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项目</w:t>
            </w:r>
          </w:p>
        </w:tc>
        <w:tc>
          <w:tcPr>
            <w:tcW w:w="2864" w:type="dxa"/>
            <w:vAlign w:val="center"/>
          </w:tcPr>
          <w:p w14:paraId="55B8BEF0">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Ⅲ</w:t>
            </w:r>
            <w:r>
              <w:rPr>
                <w:rFonts w:hint="default" w:ascii="Times New Roman" w:hAnsi="Times New Roman" w:cs="Times New Roman"/>
                <w:color w:val="auto"/>
                <w:highlight w:val="none"/>
              </w:rPr>
              <w:t xml:space="preserve"> 类标准值</w:t>
            </w:r>
          </w:p>
        </w:tc>
      </w:tr>
      <w:tr w14:paraId="24F85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8312" w:type="dxa"/>
            <w:gridSpan w:val="3"/>
            <w:vAlign w:val="center"/>
          </w:tcPr>
          <w:p w14:paraId="2E73A11B">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感官性状及一般化学指标</w:t>
            </w:r>
          </w:p>
        </w:tc>
      </w:tr>
      <w:tr w14:paraId="60E7EE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6549CA5E">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4512" w:type="dxa"/>
            <w:vAlign w:val="center"/>
          </w:tcPr>
          <w:p w14:paraId="5AE55AE7">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色度（铂钴色度单位）</w:t>
            </w:r>
          </w:p>
        </w:tc>
        <w:tc>
          <w:tcPr>
            <w:tcW w:w="2864" w:type="dxa"/>
            <w:vAlign w:val="center"/>
          </w:tcPr>
          <w:p w14:paraId="2BDD3932">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≤15</w:t>
            </w:r>
          </w:p>
        </w:tc>
      </w:tr>
      <w:tr w14:paraId="49EBEC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3CB5C5AC">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4512" w:type="dxa"/>
            <w:vAlign w:val="center"/>
          </w:tcPr>
          <w:p w14:paraId="246D2629">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嗅和味</w:t>
            </w:r>
          </w:p>
        </w:tc>
        <w:tc>
          <w:tcPr>
            <w:tcW w:w="2864" w:type="dxa"/>
            <w:vAlign w:val="center"/>
          </w:tcPr>
          <w:p w14:paraId="0A5DC219">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无</w:t>
            </w:r>
          </w:p>
        </w:tc>
      </w:tr>
      <w:tr w14:paraId="13A132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7AD65C01">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c>
          <w:tcPr>
            <w:tcW w:w="4512" w:type="dxa"/>
            <w:vAlign w:val="center"/>
          </w:tcPr>
          <w:p w14:paraId="0C949E7C">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浑浊度/NTU</w:t>
            </w:r>
          </w:p>
        </w:tc>
        <w:tc>
          <w:tcPr>
            <w:tcW w:w="2864" w:type="dxa"/>
            <w:vAlign w:val="center"/>
          </w:tcPr>
          <w:p w14:paraId="3C90A1EF">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w:t>
            </w:r>
          </w:p>
        </w:tc>
      </w:tr>
      <w:tr w14:paraId="51700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2A0B0474">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4</w:t>
            </w:r>
          </w:p>
        </w:tc>
        <w:tc>
          <w:tcPr>
            <w:tcW w:w="4512" w:type="dxa"/>
            <w:vAlign w:val="center"/>
          </w:tcPr>
          <w:p w14:paraId="03B6B228">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肉眼可见物</w:t>
            </w:r>
          </w:p>
        </w:tc>
        <w:tc>
          <w:tcPr>
            <w:tcW w:w="2864" w:type="dxa"/>
            <w:vAlign w:val="center"/>
          </w:tcPr>
          <w:p w14:paraId="12DD5E1C">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无</w:t>
            </w:r>
          </w:p>
        </w:tc>
      </w:tr>
      <w:tr w14:paraId="5A66E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51C0D962">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5</w:t>
            </w:r>
          </w:p>
        </w:tc>
        <w:tc>
          <w:tcPr>
            <w:tcW w:w="4512" w:type="dxa"/>
            <w:vAlign w:val="center"/>
          </w:tcPr>
          <w:p w14:paraId="6E605D50">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pH</w:t>
            </w:r>
          </w:p>
        </w:tc>
        <w:tc>
          <w:tcPr>
            <w:tcW w:w="2864" w:type="dxa"/>
            <w:vAlign w:val="center"/>
          </w:tcPr>
          <w:p w14:paraId="01E8C8AB">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6.5≤pH≤8.5</w:t>
            </w:r>
          </w:p>
        </w:tc>
      </w:tr>
      <w:tr w14:paraId="6B87A2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398488A4">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6</w:t>
            </w:r>
          </w:p>
        </w:tc>
        <w:tc>
          <w:tcPr>
            <w:tcW w:w="4512" w:type="dxa"/>
            <w:vAlign w:val="center"/>
          </w:tcPr>
          <w:p w14:paraId="2C7AC250">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总硬度/（以 CaCO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 xml:space="preserve"> 计，mg/L）</w:t>
            </w:r>
          </w:p>
        </w:tc>
        <w:tc>
          <w:tcPr>
            <w:tcW w:w="2864" w:type="dxa"/>
            <w:vAlign w:val="center"/>
          </w:tcPr>
          <w:p w14:paraId="7C7D3C85">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≤450</w:t>
            </w:r>
          </w:p>
        </w:tc>
      </w:tr>
      <w:tr w14:paraId="51037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4D7C1B22">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7</w:t>
            </w:r>
          </w:p>
        </w:tc>
        <w:tc>
          <w:tcPr>
            <w:tcW w:w="4512" w:type="dxa"/>
            <w:vAlign w:val="center"/>
          </w:tcPr>
          <w:p w14:paraId="2D29D0C7">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溶解性总固体/（mg/L）</w:t>
            </w:r>
          </w:p>
        </w:tc>
        <w:tc>
          <w:tcPr>
            <w:tcW w:w="2864" w:type="dxa"/>
            <w:vAlign w:val="center"/>
          </w:tcPr>
          <w:p w14:paraId="383B2B93">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≤1000</w:t>
            </w:r>
          </w:p>
        </w:tc>
      </w:tr>
      <w:tr w14:paraId="6D2FD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0C5073BC">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8</w:t>
            </w:r>
          </w:p>
        </w:tc>
        <w:tc>
          <w:tcPr>
            <w:tcW w:w="4512" w:type="dxa"/>
            <w:vAlign w:val="center"/>
          </w:tcPr>
          <w:p w14:paraId="0574BB75">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硫酸盐/（mg/L）</w:t>
            </w:r>
          </w:p>
        </w:tc>
        <w:tc>
          <w:tcPr>
            <w:tcW w:w="2864" w:type="dxa"/>
            <w:vAlign w:val="center"/>
          </w:tcPr>
          <w:p w14:paraId="6A4827E8">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≤250</w:t>
            </w:r>
          </w:p>
        </w:tc>
      </w:tr>
      <w:tr w14:paraId="1AF55C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5F37A56E">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9</w:t>
            </w:r>
          </w:p>
        </w:tc>
        <w:tc>
          <w:tcPr>
            <w:tcW w:w="4512" w:type="dxa"/>
            <w:vAlign w:val="center"/>
          </w:tcPr>
          <w:p w14:paraId="74D25230">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氯化物/（mg/L）</w:t>
            </w:r>
          </w:p>
        </w:tc>
        <w:tc>
          <w:tcPr>
            <w:tcW w:w="2864" w:type="dxa"/>
            <w:vAlign w:val="center"/>
          </w:tcPr>
          <w:p w14:paraId="43A7E47D">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≤250</w:t>
            </w:r>
          </w:p>
        </w:tc>
      </w:tr>
      <w:tr w14:paraId="33F748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51E5242A">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4512" w:type="dxa"/>
            <w:vAlign w:val="center"/>
          </w:tcPr>
          <w:p w14:paraId="5EA94AEE">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铁/（mg/L）</w:t>
            </w:r>
          </w:p>
        </w:tc>
        <w:tc>
          <w:tcPr>
            <w:tcW w:w="2864" w:type="dxa"/>
            <w:vAlign w:val="center"/>
          </w:tcPr>
          <w:p w14:paraId="1FAC66FA">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≤0.3</w:t>
            </w:r>
          </w:p>
        </w:tc>
      </w:tr>
      <w:tr w14:paraId="6C0590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30A47159">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11</w:t>
            </w:r>
          </w:p>
        </w:tc>
        <w:tc>
          <w:tcPr>
            <w:tcW w:w="4512" w:type="dxa"/>
            <w:vAlign w:val="center"/>
          </w:tcPr>
          <w:p w14:paraId="2F9D34EE">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锰/（mg/L）</w:t>
            </w:r>
          </w:p>
        </w:tc>
        <w:tc>
          <w:tcPr>
            <w:tcW w:w="2864" w:type="dxa"/>
            <w:vAlign w:val="center"/>
          </w:tcPr>
          <w:p w14:paraId="3D0460E2">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≤0.10</w:t>
            </w:r>
          </w:p>
        </w:tc>
      </w:tr>
      <w:tr w14:paraId="656004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2C835728">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12</w:t>
            </w:r>
          </w:p>
        </w:tc>
        <w:tc>
          <w:tcPr>
            <w:tcW w:w="4512" w:type="dxa"/>
            <w:vAlign w:val="center"/>
          </w:tcPr>
          <w:p w14:paraId="45B3692E">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铜/（mg/L）</w:t>
            </w:r>
          </w:p>
        </w:tc>
        <w:tc>
          <w:tcPr>
            <w:tcW w:w="2864" w:type="dxa"/>
            <w:vAlign w:val="center"/>
          </w:tcPr>
          <w:p w14:paraId="0ED6E6C6">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r>
      <w:tr w14:paraId="096B67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2F9318E1">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13</w:t>
            </w:r>
          </w:p>
        </w:tc>
        <w:tc>
          <w:tcPr>
            <w:tcW w:w="4512" w:type="dxa"/>
            <w:vAlign w:val="center"/>
          </w:tcPr>
          <w:p w14:paraId="392E4E13">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锌/（mg/L）</w:t>
            </w:r>
          </w:p>
        </w:tc>
        <w:tc>
          <w:tcPr>
            <w:tcW w:w="2864" w:type="dxa"/>
            <w:vAlign w:val="center"/>
          </w:tcPr>
          <w:p w14:paraId="4075FCAE">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r>
      <w:tr w14:paraId="5FE46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786F17A7">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14</w:t>
            </w:r>
          </w:p>
        </w:tc>
        <w:tc>
          <w:tcPr>
            <w:tcW w:w="4512" w:type="dxa"/>
            <w:vAlign w:val="center"/>
          </w:tcPr>
          <w:p w14:paraId="58EB66AA">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铝/（mg/L）</w:t>
            </w:r>
          </w:p>
        </w:tc>
        <w:tc>
          <w:tcPr>
            <w:tcW w:w="2864" w:type="dxa"/>
            <w:vAlign w:val="center"/>
          </w:tcPr>
          <w:p w14:paraId="59CE717B">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≤0.20</w:t>
            </w:r>
          </w:p>
        </w:tc>
      </w:tr>
      <w:tr w14:paraId="34C61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5763D3D2">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15</w:t>
            </w:r>
          </w:p>
        </w:tc>
        <w:tc>
          <w:tcPr>
            <w:tcW w:w="4512" w:type="dxa"/>
            <w:vAlign w:val="center"/>
          </w:tcPr>
          <w:p w14:paraId="2BC21694">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挥发性酚类（以苯酚计）/（mg/L）</w:t>
            </w:r>
          </w:p>
        </w:tc>
        <w:tc>
          <w:tcPr>
            <w:tcW w:w="2864" w:type="dxa"/>
            <w:vAlign w:val="center"/>
          </w:tcPr>
          <w:p w14:paraId="4FE8E5D6">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≤0.002</w:t>
            </w:r>
          </w:p>
        </w:tc>
      </w:tr>
      <w:tr w14:paraId="392F29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2DF300EF">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16</w:t>
            </w:r>
          </w:p>
        </w:tc>
        <w:tc>
          <w:tcPr>
            <w:tcW w:w="4512" w:type="dxa"/>
            <w:vAlign w:val="center"/>
          </w:tcPr>
          <w:p w14:paraId="5E7799A7">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阴离子表面活性剂/（mg/L）</w:t>
            </w:r>
          </w:p>
        </w:tc>
        <w:tc>
          <w:tcPr>
            <w:tcW w:w="2864" w:type="dxa"/>
            <w:vAlign w:val="center"/>
          </w:tcPr>
          <w:p w14:paraId="2D4E8ACA">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≤0.3</w:t>
            </w:r>
          </w:p>
        </w:tc>
      </w:tr>
      <w:tr w14:paraId="1F186F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614B42E4">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17</w:t>
            </w:r>
          </w:p>
        </w:tc>
        <w:tc>
          <w:tcPr>
            <w:tcW w:w="4512" w:type="dxa"/>
            <w:vAlign w:val="center"/>
          </w:tcPr>
          <w:p w14:paraId="1F5210BA">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耗氧量（COD</w:t>
            </w:r>
            <w:r>
              <w:rPr>
                <w:rFonts w:hint="default" w:ascii="Times New Roman" w:hAnsi="Times New Roman" w:cs="Times New Roman"/>
                <w:color w:val="auto"/>
                <w:highlight w:val="none"/>
                <w:vertAlign w:val="subscript"/>
                <w:lang w:val="en-US" w:eastAsia="zh-CN"/>
              </w:rPr>
              <w:t>Mn</w:t>
            </w:r>
            <w:r>
              <w:rPr>
                <w:rFonts w:hint="default" w:ascii="Times New Roman" w:hAnsi="Times New Roman" w:cs="Times New Roman"/>
                <w:color w:val="auto"/>
                <w:highlight w:val="none"/>
              </w:rPr>
              <w:t>法，以 O</w:t>
            </w:r>
            <w:r>
              <w:rPr>
                <w:rFonts w:hint="default" w:ascii="Times New Roman" w:hAnsi="Times New Roman" w:cs="Times New Roman"/>
                <w:color w:val="auto"/>
                <w:highlight w:val="none"/>
                <w:vertAlign w:val="subscript"/>
              </w:rPr>
              <w:t>2</w:t>
            </w:r>
            <w:r>
              <w:rPr>
                <w:rFonts w:hint="default" w:ascii="Times New Roman" w:hAnsi="Times New Roman" w:cs="Times New Roman"/>
                <w:color w:val="auto"/>
                <w:highlight w:val="none"/>
              </w:rPr>
              <w:t xml:space="preserve"> 计）/（mg/L）</w:t>
            </w:r>
          </w:p>
        </w:tc>
        <w:tc>
          <w:tcPr>
            <w:tcW w:w="2864" w:type="dxa"/>
            <w:vAlign w:val="center"/>
          </w:tcPr>
          <w:p w14:paraId="2A5878A1">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≤3.0</w:t>
            </w:r>
          </w:p>
        </w:tc>
      </w:tr>
      <w:tr w14:paraId="4B1FBC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07854DCF">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18</w:t>
            </w:r>
          </w:p>
        </w:tc>
        <w:tc>
          <w:tcPr>
            <w:tcW w:w="4512" w:type="dxa"/>
            <w:vAlign w:val="center"/>
          </w:tcPr>
          <w:p w14:paraId="2006C53C">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氨氮（以N 计）/（mg/L）</w:t>
            </w:r>
          </w:p>
        </w:tc>
        <w:tc>
          <w:tcPr>
            <w:tcW w:w="2864" w:type="dxa"/>
            <w:vAlign w:val="center"/>
          </w:tcPr>
          <w:p w14:paraId="3EC949C4">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≤0.50</w:t>
            </w:r>
          </w:p>
        </w:tc>
      </w:tr>
      <w:tr w14:paraId="63DFDA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1B82A0E7">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19</w:t>
            </w:r>
          </w:p>
        </w:tc>
        <w:tc>
          <w:tcPr>
            <w:tcW w:w="4512" w:type="dxa"/>
            <w:vAlign w:val="center"/>
          </w:tcPr>
          <w:p w14:paraId="7D638B3E">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硫化物/（mg/L）</w:t>
            </w:r>
          </w:p>
        </w:tc>
        <w:tc>
          <w:tcPr>
            <w:tcW w:w="2864" w:type="dxa"/>
            <w:vAlign w:val="center"/>
          </w:tcPr>
          <w:p w14:paraId="6EE1B4BE">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≤0.02</w:t>
            </w:r>
          </w:p>
        </w:tc>
      </w:tr>
      <w:tr w14:paraId="050847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1DCF507A">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20</w:t>
            </w:r>
          </w:p>
        </w:tc>
        <w:tc>
          <w:tcPr>
            <w:tcW w:w="4512" w:type="dxa"/>
            <w:vAlign w:val="center"/>
          </w:tcPr>
          <w:p w14:paraId="354F0D38">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钠/（mg/L）</w:t>
            </w:r>
          </w:p>
        </w:tc>
        <w:tc>
          <w:tcPr>
            <w:tcW w:w="2864" w:type="dxa"/>
            <w:vAlign w:val="center"/>
          </w:tcPr>
          <w:p w14:paraId="34BB0053">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≤200</w:t>
            </w:r>
          </w:p>
        </w:tc>
      </w:tr>
      <w:tr w14:paraId="710C00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8312" w:type="dxa"/>
            <w:gridSpan w:val="3"/>
            <w:vAlign w:val="center"/>
          </w:tcPr>
          <w:p w14:paraId="29BDCA70">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微生物指标</w:t>
            </w:r>
          </w:p>
        </w:tc>
      </w:tr>
      <w:tr w14:paraId="31CFA7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7472A815">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21</w:t>
            </w:r>
          </w:p>
        </w:tc>
        <w:tc>
          <w:tcPr>
            <w:tcW w:w="4512" w:type="dxa"/>
            <w:vAlign w:val="center"/>
          </w:tcPr>
          <w:p w14:paraId="6DA7322D">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总大肠菌群/（MPN/100mL 或 CFU/100mL）</w:t>
            </w:r>
          </w:p>
        </w:tc>
        <w:tc>
          <w:tcPr>
            <w:tcW w:w="2864" w:type="dxa"/>
            <w:vAlign w:val="center"/>
          </w:tcPr>
          <w:p w14:paraId="423CCEA0">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≤3.0</w:t>
            </w:r>
          </w:p>
        </w:tc>
      </w:tr>
      <w:tr w14:paraId="73C735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0661FE49">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22</w:t>
            </w:r>
          </w:p>
        </w:tc>
        <w:tc>
          <w:tcPr>
            <w:tcW w:w="4512" w:type="dxa"/>
            <w:vAlign w:val="center"/>
          </w:tcPr>
          <w:p w14:paraId="7864F216">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菌落总数/（CFU/mL）</w:t>
            </w:r>
          </w:p>
        </w:tc>
        <w:tc>
          <w:tcPr>
            <w:tcW w:w="2864" w:type="dxa"/>
            <w:vAlign w:val="center"/>
          </w:tcPr>
          <w:p w14:paraId="53A81F57">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r>
      <w:tr w14:paraId="54A4A0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8312" w:type="dxa"/>
            <w:gridSpan w:val="3"/>
            <w:vAlign w:val="center"/>
          </w:tcPr>
          <w:p w14:paraId="3C599B39">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毒理学指标</w:t>
            </w:r>
          </w:p>
        </w:tc>
      </w:tr>
      <w:tr w14:paraId="503437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4AB4741F">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23</w:t>
            </w:r>
          </w:p>
        </w:tc>
        <w:tc>
          <w:tcPr>
            <w:tcW w:w="4512" w:type="dxa"/>
            <w:vAlign w:val="center"/>
          </w:tcPr>
          <w:p w14:paraId="07D7A55A">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亚硝酸盐（以N计）/（mg/L）</w:t>
            </w:r>
          </w:p>
        </w:tc>
        <w:tc>
          <w:tcPr>
            <w:tcW w:w="2864" w:type="dxa"/>
            <w:vAlign w:val="center"/>
          </w:tcPr>
          <w:p w14:paraId="76EF2A3C">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r>
      <w:tr w14:paraId="08A9AA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7E2F2143">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24</w:t>
            </w:r>
          </w:p>
        </w:tc>
        <w:tc>
          <w:tcPr>
            <w:tcW w:w="4512" w:type="dxa"/>
            <w:vAlign w:val="center"/>
          </w:tcPr>
          <w:p w14:paraId="711C09DD">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硝酸盐（以N计）/（mg/L）</w:t>
            </w:r>
          </w:p>
        </w:tc>
        <w:tc>
          <w:tcPr>
            <w:tcW w:w="2864" w:type="dxa"/>
            <w:vAlign w:val="center"/>
          </w:tcPr>
          <w:p w14:paraId="5BB34D4F">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≤20.0</w:t>
            </w:r>
          </w:p>
        </w:tc>
      </w:tr>
      <w:tr w14:paraId="2BDB36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6FFC6340">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25</w:t>
            </w:r>
          </w:p>
        </w:tc>
        <w:tc>
          <w:tcPr>
            <w:tcW w:w="4512" w:type="dxa"/>
            <w:vAlign w:val="center"/>
          </w:tcPr>
          <w:p w14:paraId="407882EA">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氰化物/（mg/L）</w:t>
            </w:r>
          </w:p>
        </w:tc>
        <w:tc>
          <w:tcPr>
            <w:tcW w:w="2864" w:type="dxa"/>
            <w:vAlign w:val="center"/>
          </w:tcPr>
          <w:p w14:paraId="6A431DCD">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≤0.05</w:t>
            </w:r>
          </w:p>
        </w:tc>
      </w:tr>
      <w:tr w14:paraId="1B85D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13CCCE89">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26</w:t>
            </w:r>
          </w:p>
        </w:tc>
        <w:tc>
          <w:tcPr>
            <w:tcW w:w="4512" w:type="dxa"/>
            <w:vAlign w:val="center"/>
          </w:tcPr>
          <w:p w14:paraId="331C08C8">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氟化物/（mg/L）</w:t>
            </w:r>
          </w:p>
        </w:tc>
        <w:tc>
          <w:tcPr>
            <w:tcW w:w="2864" w:type="dxa"/>
            <w:vAlign w:val="center"/>
          </w:tcPr>
          <w:p w14:paraId="55899E2C">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r>
      <w:tr w14:paraId="4D2BD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797062EA">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27</w:t>
            </w:r>
          </w:p>
        </w:tc>
        <w:tc>
          <w:tcPr>
            <w:tcW w:w="4512" w:type="dxa"/>
            <w:vAlign w:val="center"/>
          </w:tcPr>
          <w:p w14:paraId="678FAB6F">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碘化物/（mg/L）</w:t>
            </w:r>
          </w:p>
        </w:tc>
        <w:tc>
          <w:tcPr>
            <w:tcW w:w="2864" w:type="dxa"/>
            <w:vAlign w:val="center"/>
          </w:tcPr>
          <w:p w14:paraId="0DB0A80E">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≤0.08</w:t>
            </w:r>
          </w:p>
        </w:tc>
      </w:tr>
      <w:tr w14:paraId="010F6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25B1880C">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28</w:t>
            </w:r>
          </w:p>
        </w:tc>
        <w:tc>
          <w:tcPr>
            <w:tcW w:w="4512" w:type="dxa"/>
            <w:vAlign w:val="center"/>
          </w:tcPr>
          <w:p w14:paraId="26BCF64C">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汞/（mg/L）</w:t>
            </w:r>
          </w:p>
        </w:tc>
        <w:tc>
          <w:tcPr>
            <w:tcW w:w="2864" w:type="dxa"/>
            <w:vAlign w:val="center"/>
          </w:tcPr>
          <w:p w14:paraId="3A419574">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≤0.001</w:t>
            </w:r>
          </w:p>
        </w:tc>
      </w:tr>
      <w:tr w14:paraId="372E36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46E769EA">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29</w:t>
            </w:r>
          </w:p>
        </w:tc>
        <w:tc>
          <w:tcPr>
            <w:tcW w:w="4512" w:type="dxa"/>
            <w:vAlign w:val="center"/>
          </w:tcPr>
          <w:p w14:paraId="36D70CA1">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砷/（mg/L）</w:t>
            </w:r>
          </w:p>
        </w:tc>
        <w:tc>
          <w:tcPr>
            <w:tcW w:w="2864" w:type="dxa"/>
            <w:vAlign w:val="center"/>
          </w:tcPr>
          <w:p w14:paraId="730C3A87">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≤0.01</w:t>
            </w:r>
          </w:p>
        </w:tc>
      </w:tr>
      <w:tr w14:paraId="075F0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02E0E378">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30</w:t>
            </w:r>
          </w:p>
        </w:tc>
        <w:tc>
          <w:tcPr>
            <w:tcW w:w="4512" w:type="dxa"/>
            <w:vAlign w:val="center"/>
          </w:tcPr>
          <w:p w14:paraId="08832FE4">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硒/（mg/L）</w:t>
            </w:r>
          </w:p>
        </w:tc>
        <w:tc>
          <w:tcPr>
            <w:tcW w:w="2864" w:type="dxa"/>
            <w:vAlign w:val="center"/>
          </w:tcPr>
          <w:p w14:paraId="2BD0E146">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≤0.01</w:t>
            </w:r>
          </w:p>
        </w:tc>
      </w:tr>
      <w:tr w14:paraId="0CFEF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62D030D6">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31</w:t>
            </w:r>
          </w:p>
        </w:tc>
        <w:tc>
          <w:tcPr>
            <w:tcW w:w="4512" w:type="dxa"/>
            <w:vAlign w:val="center"/>
          </w:tcPr>
          <w:p w14:paraId="67EE61E9">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镉/（mg/L）</w:t>
            </w:r>
          </w:p>
        </w:tc>
        <w:tc>
          <w:tcPr>
            <w:tcW w:w="2864" w:type="dxa"/>
            <w:vAlign w:val="center"/>
          </w:tcPr>
          <w:p w14:paraId="3F2F19D6">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≤0.005</w:t>
            </w:r>
          </w:p>
        </w:tc>
      </w:tr>
      <w:tr w14:paraId="49125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2CBDB1B3">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32</w:t>
            </w:r>
          </w:p>
        </w:tc>
        <w:tc>
          <w:tcPr>
            <w:tcW w:w="4512" w:type="dxa"/>
            <w:vAlign w:val="center"/>
          </w:tcPr>
          <w:p w14:paraId="0456F4ED">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铬（六价）/（mg/L）</w:t>
            </w:r>
          </w:p>
        </w:tc>
        <w:tc>
          <w:tcPr>
            <w:tcW w:w="2864" w:type="dxa"/>
            <w:vAlign w:val="center"/>
          </w:tcPr>
          <w:p w14:paraId="16FED3DC">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≤0.05</w:t>
            </w:r>
          </w:p>
        </w:tc>
      </w:tr>
      <w:tr w14:paraId="40524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5F62DF8D">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33</w:t>
            </w:r>
          </w:p>
        </w:tc>
        <w:tc>
          <w:tcPr>
            <w:tcW w:w="4512" w:type="dxa"/>
            <w:vAlign w:val="center"/>
          </w:tcPr>
          <w:p w14:paraId="6F271895">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铅/（mg/L）</w:t>
            </w:r>
          </w:p>
        </w:tc>
        <w:tc>
          <w:tcPr>
            <w:tcW w:w="2864" w:type="dxa"/>
            <w:vAlign w:val="center"/>
          </w:tcPr>
          <w:p w14:paraId="49E70FB4">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≤0.01</w:t>
            </w:r>
          </w:p>
        </w:tc>
      </w:tr>
      <w:tr w14:paraId="26108E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2F2399B1">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34</w:t>
            </w:r>
          </w:p>
        </w:tc>
        <w:tc>
          <w:tcPr>
            <w:tcW w:w="4512" w:type="dxa"/>
            <w:vAlign w:val="center"/>
          </w:tcPr>
          <w:p w14:paraId="03CBFA64">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三氯甲烷/（µg/L）</w:t>
            </w:r>
          </w:p>
        </w:tc>
        <w:tc>
          <w:tcPr>
            <w:tcW w:w="2864" w:type="dxa"/>
            <w:vAlign w:val="center"/>
          </w:tcPr>
          <w:p w14:paraId="43516EB3">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≤60</w:t>
            </w:r>
          </w:p>
        </w:tc>
      </w:tr>
      <w:tr w14:paraId="754BC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6437137F">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35</w:t>
            </w:r>
          </w:p>
        </w:tc>
        <w:tc>
          <w:tcPr>
            <w:tcW w:w="4512" w:type="dxa"/>
            <w:vAlign w:val="center"/>
          </w:tcPr>
          <w:p w14:paraId="2FF3D0EB">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四氯化碳/（µg/L）</w:t>
            </w:r>
          </w:p>
        </w:tc>
        <w:tc>
          <w:tcPr>
            <w:tcW w:w="2864" w:type="dxa"/>
            <w:vAlign w:val="center"/>
          </w:tcPr>
          <w:p w14:paraId="37A2A2C9">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w:t>
            </w:r>
          </w:p>
        </w:tc>
      </w:tr>
      <w:tr w14:paraId="62F60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769AADF9">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36</w:t>
            </w:r>
          </w:p>
        </w:tc>
        <w:tc>
          <w:tcPr>
            <w:tcW w:w="4512" w:type="dxa"/>
            <w:vAlign w:val="center"/>
          </w:tcPr>
          <w:p w14:paraId="27112611">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苯/（µg/L）</w:t>
            </w:r>
          </w:p>
        </w:tc>
        <w:tc>
          <w:tcPr>
            <w:tcW w:w="2864" w:type="dxa"/>
            <w:vAlign w:val="center"/>
          </w:tcPr>
          <w:p w14:paraId="57EE1059">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≤10.0</w:t>
            </w:r>
          </w:p>
        </w:tc>
      </w:tr>
      <w:tr w14:paraId="73A8A5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14517410">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37</w:t>
            </w:r>
          </w:p>
        </w:tc>
        <w:tc>
          <w:tcPr>
            <w:tcW w:w="4512" w:type="dxa"/>
            <w:vAlign w:val="center"/>
          </w:tcPr>
          <w:p w14:paraId="13DE3F2A">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甲苯/（µg/L）</w:t>
            </w:r>
          </w:p>
        </w:tc>
        <w:tc>
          <w:tcPr>
            <w:tcW w:w="2864" w:type="dxa"/>
            <w:vAlign w:val="center"/>
          </w:tcPr>
          <w:p w14:paraId="5029EE52">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≤700</w:t>
            </w:r>
          </w:p>
        </w:tc>
      </w:tr>
      <w:tr w14:paraId="27622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8312" w:type="dxa"/>
            <w:gridSpan w:val="3"/>
            <w:vAlign w:val="center"/>
          </w:tcPr>
          <w:p w14:paraId="27D8131E">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放射性指标</w:t>
            </w:r>
          </w:p>
        </w:tc>
      </w:tr>
      <w:tr w14:paraId="1CF5E8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7B68730A">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38</w:t>
            </w:r>
          </w:p>
        </w:tc>
        <w:tc>
          <w:tcPr>
            <w:tcW w:w="4512" w:type="dxa"/>
            <w:vAlign w:val="center"/>
          </w:tcPr>
          <w:p w14:paraId="71125239">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总α放射性（Bq/L）</w:t>
            </w:r>
          </w:p>
        </w:tc>
        <w:tc>
          <w:tcPr>
            <w:tcW w:w="2864" w:type="dxa"/>
            <w:vAlign w:val="center"/>
          </w:tcPr>
          <w:p w14:paraId="66E93DD4">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≤0.5</w:t>
            </w:r>
          </w:p>
        </w:tc>
      </w:tr>
      <w:tr w14:paraId="48B104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 w:hRule="atLeast"/>
          <w:jc w:val="center"/>
        </w:trPr>
        <w:tc>
          <w:tcPr>
            <w:tcW w:w="936" w:type="dxa"/>
            <w:vAlign w:val="center"/>
          </w:tcPr>
          <w:p w14:paraId="20DAB65D">
            <w:pPr>
              <w:pStyle w:val="36"/>
              <w:adjustRightInd w:val="0"/>
              <w:spacing w:line="240" w:lineRule="exact"/>
              <w:rPr>
                <w:rFonts w:hint="default" w:ascii="Times New Roman" w:hAnsi="Times New Roman" w:cs="Times New Roman"/>
                <w:color w:val="auto"/>
                <w:highlight w:val="none"/>
              </w:rPr>
            </w:pPr>
            <w:r>
              <w:rPr>
                <w:rFonts w:hint="default" w:ascii="Times New Roman" w:hAnsi="Times New Roman" w:cs="Times New Roman"/>
                <w:color w:val="auto"/>
                <w:highlight w:val="none"/>
              </w:rPr>
              <w:t>39</w:t>
            </w:r>
          </w:p>
        </w:tc>
        <w:tc>
          <w:tcPr>
            <w:tcW w:w="4512" w:type="dxa"/>
            <w:vAlign w:val="center"/>
          </w:tcPr>
          <w:p w14:paraId="0192D798">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总β放射性（Bq/L）</w:t>
            </w:r>
          </w:p>
        </w:tc>
        <w:tc>
          <w:tcPr>
            <w:tcW w:w="2864" w:type="dxa"/>
            <w:vAlign w:val="center"/>
          </w:tcPr>
          <w:p w14:paraId="79659278">
            <w:pPr>
              <w:pStyle w:val="36"/>
              <w:adjustRightInd w:val="0"/>
              <w:spacing w:line="240" w:lineRule="exact"/>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r>
    </w:tbl>
    <w:p w14:paraId="41E06891">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土壤环境</w:t>
      </w:r>
    </w:p>
    <w:p w14:paraId="125BBAA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规划工程占地范围内涉及2km范围内农用地土壤环境质量执行《土壤环境质量农用地土壤污染风险管控标准（试行）》（GB15618-2018），详见表1.</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、表1.</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。工程区的建设用地土壤环境执行《土壤环境质量 建设用地土壤污染风险管控标准（试行）》（GB36600-2018）第二类用地标准，详见表1.</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w:t>
      </w:r>
    </w:p>
    <w:p w14:paraId="64155F0E">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 xml:space="preserve">  农用地土壤污染风险筛选值（基本项目）   单位：mg/kg</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766"/>
        <w:gridCol w:w="992"/>
        <w:gridCol w:w="1532"/>
        <w:gridCol w:w="1608"/>
        <w:gridCol w:w="1495"/>
        <w:gridCol w:w="1391"/>
      </w:tblGrid>
      <w:tr w14:paraId="0DD80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22EC7E9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序号</w:t>
            </w:r>
          </w:p>
        </w:tc>
        <w:tc>
          <w:tcPr>
            <w:tcW w:w="1758" w:type="dxa"/>
            <w:gridSpan w:val="2"/>
            <w:vMerge w:val="restart"/>
            <w:vAlign w:val="center"/>
          </w:tcPr>
          <w:p w14:paraId="65C247C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污染物项目</w:t>
            </w:r>
          </w:p>
        </w:tc>
        <w:tc>
          <w:tcPr>
            <w:tcW w:w="6026" w:type="dxa"/>
            <w:gridSpan w:val="4"/>
            <w:vAlign w:val="center"/>
          </w:tcPr>
          <w:p w14:paraId="6948184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风险筛选值</w:t>
            </w:r>
          </w:p>
        </w:tc>
      </w:tr>
      <w:tr w14:paraId="59D8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33D486F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1758" w:type="dxa"/>
            <w:gridSpan w:val="2"/>
            <w:vMerge w:val="continue"/>
            <w:vAlign w:val="center"/>
          </w:tcPr>
          <w:p w14:paraId="7B4B7E8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1532" w:type="dxa"/>
            <w:vAlign w:val="center"/>
          </w:tcPr>
          <w:p w14:paraId="1A432E4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PH≤5.5</w:t>
            </w:r>
          </w:p>
        </w:tc>
        <w:tc>
          <w:tcPr>
            <w:tcW w:w="1608" w:type="dxa"/>
            <w:vAlign w:val="center"/>
          </w:tcPr>
          <w:p w14:paraId="1E54580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5.5≤PH≤6.5</w:t>
            </w:r>
          </w:p>
        </w:tc>
        <w:tc>
          <w:tcPr>
            <w:tcW w:w="1495" w:type="dxa"/>
            <w:vAlign w:val="center"/>
          </w:tcPr>
          <w:p w14:paraId="24C0E6E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6.5≤PH≤7.5</w:t>
            </w:r>
          </w:p>
        </w:tc>
        <w:tc>
          <w:tcPr>
            <w:tcW w:w="1391" w:type="dxa"/>
            <w:vAlign w:val="center"/>
          </w:tcPr>
          <w:p w14:paraId="1766B27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PH&gt;7.5</w:t>
            </w:r>
          </w:p>
        </w:tc>
      </w:tr>
      <w:tr w14:paraId="46ED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58DA55C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w:t>
            </w:r>
          </w:p>
        </w:tc>
        <w:tc>
          <w:tcPr>
            <w:tcW w:w="766" w:type="dxa"/>
            <w:vMerge w:val="restart"/>
            <w:vAlign w:val="center"/>
          </w:tcPr>
          <w:p w14:paraId="4B1986E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镉</w:t>
            </w:r>
          </w:p>
        </w:tc>
        <w:tc>
          <w:tcPr>
            <w:tcW w:w="992" w:type="dxa"/>
            <w:vAlign w:val="center"/>
          </w:tcPr>
          <w:p w14:paraId="2D598DC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水田</w:t>
            </w:r>
          </w:p>
        </w:tc>
        <w:tc>
          <w:tcPr>
            <w:tcW w:w="1532" w:type="dxa"/>
            <w:vAlign w:val="center"/>
          </w:tcPr>
          <w:p w14:paraId="5FA021A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0.3</w:t>
            </w:r>
          </w:p>
        </w:tc>
        <w:tc>
          <w:tcPr>
            <w:tcW w:w="1608" w:type="dxa"/>
            <w:vAlign w:val="center"/>
          </w:tcPr>
          <w:p w14:paraId="1D378C7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0.4</w:t>
            </w:r>
          </w:p>
        </w:tc>
        <w:tc>
          <w:tcPr>
            <w:tcW w:w="1495" w:type="dxa"/>
            <w:vAlign w:val="center"/>
          </w:tcPr>
          <w:p w14:paraId="771361D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0.6</w:t>
            </w:r>
          </w:p>
        </w:tc>
        <w:tc>
          <w:tcPr>
            <w:tcW w:w="1391" w:type="dxa"/>
            <w:vAlign w:val="center"/>
          </w:tcPr>
          <w:p w14:paraId="3D9CE43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0.8</w:t>
            </w:r>
          </w:p>
        </w:tc>
      </w:tr>
      <w:tr w14:paraId="486F1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12840E7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6" w:type="dxa"/>
            <w:vMerge w:val="continue"/>
            <w:vAlign w:val="center"/>
          </w:tcPr>
          <w:p w14:paraId="6F2B1F7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992" w:type="dxa"/>
            <w:vAlign w:val="center"/>
          </w:tcPr>
          <w:p w14:paraId="6463730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其他</w:t>
            </w:r>
          </w:p>
        </w:tc>
        <w:tc>
          <w:tcPr>
            <w:tcW w:w="1532" w:type="dxa"/>
            <w:vAlign w:val="center"/>
          </w:tcPr>
          <w:p w14:paraId="56406FA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0.3</w:t>
            </w:r>
          </w:p>
        </w:tc>
        <w:tc>
          <w:tcPr>
            <w:tcW w:w="1608" w:type="dxa"/>
            <w:vAlign w:val="center"/>
          </w:tcPr>
          <w:p w14:paraId="0107C4D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0.3</w:t>
            </w:r>
          </w:p>
        </w:tc>
        <w:tc>
          <w:tcPr>
            <w:tcW w:w="1495" w:type="dxa"/>
            <w:vAlign w:val="center"/>
          </w:tcPr>
          <w:p w14:paraId="221732E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0.3</w:t>
            </w:r>
          </w:p>
        </w:tc>
        <w:tc>
          <w:tcPr>
            <w:tcW w:w="1391" w:type="dxa"/>
            <w:vAlign w:val="center"/>
          </w:tcPr>
          <w:p w14:paraId="6F09076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0.6</w:t>
            </w:r>
          </w:p>
        </w:tc>
      </w:tr>
      <w:tr w14:paraId="5C9C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69BE521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w:t>
            </w:r>
          </w:p>
        </w:tc>
        <w:tc>
          <w:tcPr>
            <w:tcW w:w="766" w:type="dxa"/>
            <w:vMerge w:val="restart"/>
            <w:vAlign w:val="center"/>
          </w:tcPr>
          <w:p w14:paraId="455FE59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汞</w:t>
            </w:r>
          </w:p>
        </w:tc>
        <w:tc>
          <w:tcPr>
            <w:tcW w:w="992" w:type="dxa"/>
            <w:vAlign w:val="center"/>
          </w:tcPr>
          <w:p w14:paraId="0AF6C1C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水田</w:t>
            </w:r>
          </w:p>
        </w:tc>
        <w:tc>
          <w:tcPr>
            <w:tcW w:w="1532" w:type="dxa"/>
            <w:vAlign w:val="center"/>
          </w:tcPr>
          <w:p w14:paraId="3774711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c>
          <w:tcPr>
            <w:tcW w:w="1608" w:type="dxa"/>
            <w:vAlign w:val="center"/>
          </w:tcPr>
          <w:p w14:paraId="092366F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0.5</w:t>
            </w:r>
          </w:p>
        </w:tc>
        <w:tc>
          <w:tcPr>
            <w:tcW w:w="1495" w:type="dxa"/>
            <w:vAlign w:val="center"/>
          </w:tcPr>
          <w:p w14:paraId="2E328D0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0.6</w:t>
            </w:r>
          </w:p>
        </w:tc>
        <w:tc>
          <w:tcPr>
            <w:tcW w:w="1391" w:type="dxa"/>
            <w:vAlign w:val="center"/>
          </w:tcPr>
          <w:p w14:paraId="64599B0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w:t>
            </w:r>
          </w:p>
        </w:tc>
      </w:tr>
      <w:tr w14:paraId="61D55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01EE0A6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6" w:type="dxa"/>
            <w:vMerge w:val="continue"/>
            <w:vAlign w:val="center"/>
          </w:tcPr>
          <w:p w14:paraId="2412571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992" w:type="dxa"/>
            <w:vAlign w:val="center"/>
          </w:tcPr>
          <w:p w14:paraId="6EA37A8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其他</w:t>
            </w:r>
          </w:p>
        </w:tc>
        <w:tc>
          <w:tcPr>
            <w:tcW w:w="1532" w:type="dxa"/>
            <w:vAlign w:val="center"/>
          </w:tcPr>
          <w:p w14:paraId="10A14D5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1.3</w:t>
            </w:r>
          </w:p>
        </w:tc>
        <w:tc>
          <w:tcPr>
            <w:tcW w:w="1608" w:type="dxa"/>
            <w:vAlign w:val="center"/>
          </w:tcPr>
          <w:p w14:paraId="1721B00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w:t>
            </w:r>
          </w:p>
        </w:tc>
        <w:tc>
          <w:tcPr>
            <w:tcW w:w="1495" w:type="dxa"/>
            <w:vAlign w:val="center"/>
          </w:tcPr>
          <w:p w14:paraId="026B65E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2.4</w:t>
            </w:r>
          </w:p>
        </w:tc>
        <w:tc>
          <w:tcPr>
            <w:tcW w:w="1391" w:type="dxa"/>
            <w:vAlign w:val="center"/>
          </w:tcPr>
          <w:p w14:paraId="6D2FE79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3.4</w:t>
            </w:r>
          </w:p>
        </w:tc>
      </w:tr>
      <w:tr w14:paraId="281B1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506206E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w:t>
            </w:r>
          </w:p>
        </w:tc>
        <w:tc>
          <w:tcPr>
            <w:tcW w:w="766" w:type="dxa"/>
            <w:vMerge w:val="restart"/>
            <w:vAlign w:val="center"/>
          </w:tcPr>
          <w:p w14:paraId="5BAF2A8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砷</w:t>
            </w:r>
          </w:p>
        </w:tc>
        <w:tc>
          <w:tcPr>
            <w:tcW w:w="992" w:type="dxa"/>
            <w:vAlign w:val="center"/>
          </w:tcPr>
          <w:p w14:paraId="69FE49E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水田</w:t>
            </w:r>
          </w:p>
        </w:tc>
        <w:tc>
          <w:tcPr>
            <w:tcW w:w="1532" w:type="dxa"/>
            <w:vAlign w:val="center"/>
          </w:tcPr>
          <w:p w14:paraId="5B657E0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w:t>
            </w:r>
          </w:p>
        </w:tc>
        <w:tc>
          <w:tcPr>
            <w:tcW w:w="1608" w:type="dxa"/>
            <w:vAlign w:val="center"/>
          </w:tcPr>
          <w:p w14:paraId="5FA1AAD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w:t>
            </w:r>
          </w:p>
        </w:tc>
        <w:tc>
          <w:tcPr>
            <w:tcW w:w="1495" w:type="dxa"/>
            <w:vAlign w:val="center"/>
          </w:tcPr>
          <w:p w14:paraId="5823C61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w:t>
            </w:r>
          </w:p>
        </w:tc>
        <w:tc>
          <w:tcPr>
            <w:tcW w:w="1391" w:type="dxa"/>
            <w:vAlign w:val="center"/>
          </w:tcPr>
          <w:p w14:paraId="6F72F48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r>
      <w:tr w14:paraId="07189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32C579D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6" w:type="dxa"/>
            <w:vMerge w:val="continue"/>
            <w:vAlign w:val="center"/>
          </w:tcPr>
          <w:p w14:paraId="5CDF120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992" w:type="dxa"/>
            <w:vAlign w:val="center"/>
          </w:tcPr>
          <w:p w14:paraId="74C28A5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其他</w:t>
            </w:r>
          </w:p>
        </w:tc>
        <w:tc>
          <w:tcPr>
            <w:tcW w:w="1532" w:type="dxa"/>
            <w:vAlign w:val="center"/>
          </w:tcPr>
          <w:p w14:paraId="66427E4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1608" w:type="dxa"/>
            <w:vAlign w:val="center"/>
          </w:tcPr>
          <w:p w14:paraId="1FF4477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1495" w:type="dxa"/>
            <w:vAlign w:val="center"/>
          </w:tcPr>
          <w:p w14:paraId="79672F0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w:t>
            </w:r>
          </w:p>
        </w:tc>
        <w:tc>
          <w:tcPr>
            <w:tcW w:w="1391" w:type="dxa"/>
            <w:vAlign w:val="center"/>
          </w:tcPr>
          <w:p w14:paraId="0683BDE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w:t>
            </w:r>
          </w:p>
        </w:tc>
      </w:tr>
      <w:tr w14:paraId="2BFBF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564D278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w:t>
            </w:r>
          </w:p>
        </w:tc>
        <w:tc>
          <w:tcPr>
            <w:tcW w:w="766" w:type="dxa"/>
            <w:vMerge w:val="restart"/>
            <w:vAlign w:val="center"/>
          </w:tcPr>
          <w:p w14:paraId="68F1536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铅</w:t>
            </w:r>
          </w:p>
        </w:tc>
        <w:tc>
          <w:tcPr>
            <w:tcW w:w="992" w:type="dxa"/>
            <w:vAlign w:val="center"/>
          </w:tcPr>
          <w:p w14:paraId="0D19AAE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水田</w:t>
            </w:r>
          </w:p>
        </w:tc>
        <w:tc>
          <w:tcPr>
            <w:tcW w:w="1532" w:type="dxa"/>
            <w:vAlign w:val="center"/>
          </w:tcPr>
          <w:p w14:paraId="2CBF206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80</w:t>
            </w:r>
          </w:p>
        </w:tc>
        <w:tc>
          <w:tcPr>
            <w:tcW w:w="1608" w:type="dxa"/>
            <w:vAlign w:val="center"/>
          </w:tcPr>
          <w:p w14:paraId="3B4A4B1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1495" w:type="dxa"/>
            <w:vAlign w:val="center"/>
          </w:tcPr>
          <w:p w14:paraId="2C2F4BA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140</w:t>
            </w:r>
          </w:p>
        </w:tc>
        <w:tc>
          <w:tcPr>
            <w:tcW w:w="1391" w:type="dxa"/>
            <w:vAlign w:val="center"/>
          </w:tcPr>
          <w:p w14:paraId="2D763C8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240</w:t>
            </w:r>
          </w:p>
        </w:tc>
      </w:tr>
      <w:tr w14:paraId="6F434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7D4657A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6" w:type="dxa"/>
            <w:vMerge w:val="continue"/>
            <w:vAlign w:val="center"/>
          </w:tcPr>
          <w:p w14:paraId="0E9CA79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992" w:type="dxa"/>
            <w:vAlign w:val="center"/>
          </w:tcPr>
          <w:p w14:paraId="2AD6E9B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其他</w:t>
            </w:r>
          </w:p>
        </w:tc>
        <w:tc>
          <w:tcPr>
            <w:tcW w:w="1532" w:type="dxa"/>
            <w:vAlign w:val="center"/>
          </w:tcPr>
          <w:p w14:paraId="11D09D0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70</w:t>
            </w:r>
          </w:p>
        </w:tc>
        <w:tc>
          <w:tcPr>
            <w:tcW w:w="1608" w:type="dxa"/>
            <w:vAlign w:val="center"/>
          </w:tcPr>
          <w:p w14:paraId="0B24A19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90</w:t>
            </w:r>
          </w:p>
        </w:tc>
        <w:tc>
          <w:tcPr>
            <w:tcW w:w="1495" w:type="dxa"/>
            <w:vAlign w:val="center"/>
          </w:tcPr>
          <w:p w14:paraId="17589A8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120</w:t>
            </w:r>
          </w:p>
        </w:tc>
        <w:tc>
          <w:tcPr>
            <w:tcW w:w="1391" w:type="dxa"/>
            <w:vAlign w:val="center"/>
          </w:tcPr>
          <w:p w14:paraId="3D2C805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170</w:t>
            </w:r>
          </w:p>
        </w:tc>
      </w:tr>
      <w:tr w14:paraId="6C576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02E2EAB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w:t>
            </w:r>
          </w:p>
        </w:tc>
        <w:tc>
          <w:tcPr>
            <w:tcW w:w="766" w:type="dxa"/>
            <w:vMerge w:val="restart"/>
            <w:vAlign w:val="center"/>
          </w:tcPr>
          <w:p w14:paraId="565241E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铬</w:t>
            </w:r>
          </w:p>
        </w:tc>
        <w:tc>
          <w:tcPr>
            <w:tcW w:w="992" w:type="dxa"/>
            <w:vAlign w:val="center"/>
          </w:tcPr>
          <w:p w14:paraId="2CB7C85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水田</w:t>
            </w:r>
          </w:p>
        </w:tc>
        <w:tc>
          <w:tcPr>
            <w:tcW w:w="1532" w:type="dxa"/>
            <w:vAlign w:val="center"/>
          </w:tcPr>
          <w:p w14:paraId="218E692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250</w:t>
            </w:r>
          </w:p>
        </w:tc>
        <w:tc>
          <w:tcPr>
            <w:tcW w:w="1608" w:type="dxa"/>
            <w:vAlign w:val="center"/>
          </w:tcPr>
          <w:p w14:paraId="6F65076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250</w:t>
            </w:r>
          </w:p>
        </w:tc>
        <w:tc>
          <w:tcPr>
            <w:tcW w:w="1495" w:type="dxa"/>
            <w:vAlign w:val="center"/>
          </w:tcPr>
          <w:p w14:paraId="11DA25D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300</w:t>
            </w:r>
          </w:p>
        </w:tc>
        <w:tc>
          <w:tcPr>
            <w:tcW w:w="1391" w:type="dxa"/>
            <w:vAlign w:val="center"/>
          </w:tcPr>
          <w:p w14:paraId="78EB0CC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350</w:t>
            </w:r>
          </w:p>
        </w:tc>
      </w:tr>
      <w:tr w14:paraId="43ADF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6F491DD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6" w:type="dxa"/>
            <w:vMerge w:val="continue"/>
            <w:vAlign w:val="center"/>
          </w:tcPr>
          <w:p w14:paraId="630B0F3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992" w:type="dxa"/>
            <w:vAlign w:val="center"/>
          </w:tcPr>
          <w:p w14:paraId="3A543EF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其他</w:t>
            </w:r>
          </w:p>
        </w:tc>
        <w:tc>
          <w:tcPr>
            <w:tcW w:w="1532" w:type="dxa"/>
            <w:vAlign w:val="center"/>
          </w:tcPr>
          <w:p w14:paraId="4CFFB51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1608" w:type="dxa"/>
            <w:vAlign w:val="center"/>
          </w:tcPr>
          <w:p w14:paraId="08D1F6E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1495" w:type="dxa"/>
            <w:vAlign w:val="center"/>
          </w:tcPr>
          <w:p w14:paraId="79FA292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1391" w:type="dxa"/>
            <w:vAlign w:val="center"/>
          </w:tcPr>
          <w:p w14:paraId="0D09953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250</w:t>
            </w:r>
          </w:p>
        </w:tc>
      </w:tr>
      <w:tr w14:paraId="29CDF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restart"/>
            <w:vAlign w:val="center"/>
          </w:tcPr>
          <w:p w14:paraId="04BF89F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w:t>
            </w:r>
          </w:p>
        </w:tc>
        <w:tc>
          <w:tcPr>
            <w:tcW w:w="766" w:type="dxa"/>
            <w:vMerge w:val="restart"/>
            <w:vAlign w:val="center"/>
          </w:tcPr>
          <w:p w14:paraId="431BA3A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铜</w:t>
            </w:r>
          </w:p>
        </w:tc>
        <w:tc>
          <w:tcPr>
            <w:tcW w:w="992" w:type="dxa"/>
            <w:vAlign w:val="center"/>
          </w:tcPr>
          <w:p w14:paraId="166284A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水田</w:t>
            </w:r>
          </w:p>
        </w:tc>
        <w:tc>
          <w:tcPr>
            <w:tcW w:w="1532" w:type="dxa"/>
            <w:vAlign w:val="center"/>
          </w:tcPr>
          <w:p w14:paraId="5C88CB7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1608" w:type="dxa"/>
            <w:vAlign w:val="center"/>
          </w:tcPr>
          <w:p w14:paraId="06F2A6A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1495" w:type="dxa"/>
            <w:vAlign w:val="center"/>
          </w:tcPr>
          <w:p w14:paraId="25EFB89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1391" w:type="dxa"/>
            <w:vAlign w:val="center"/>
          </w:tcPr>
          <w:p w14:paraId="78888E7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r>
      <w:tr w14:paraId="38D63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Merge w:val="continue"/>
            <w:vAlign w:val="center"/>
          </w:tcPr>
          <w:p w14:paraId="5E24950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766" w:type="dxa"/>
            <w:vMerge w:val="continue"/>
            <w:vAlign w:val="center"/>
          </w:tcPr>
          <w:p w14:paraId="3C7745E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992" w:type="dxa"/>
            <w:vAlign w:val="center"/>
          </w:tcPr>
          <w:p w14:paraId="46C1868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其他</w:t>
            </w:r>
          </w:p>
        </w:tc>
        <w:tc>
          <w:tcPr>
            <w:tcW w:w="1532" w:type="dxa"/>
            <w:vAlign w:val="center"/>
          </w:tcPr>
          <w:p w14:paraId="0952100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c>
          <w:tcPr>
            <w:tcW w:w="1608" w:type="dxa"/>
            <w:vAlign w:val="center"/>
          </w:tcPr>
          <w:p w14:paraId="2C3DBE7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w:t>
            </w:r>
          </w:p>
        </w:tc>
        <w:tc>
          <w:tcPr>
            <w:tcW w:w="1495" w:type="dxa"/>
            <w:vAlign w:val="center"/>
          </w:tcPr>
          <w:p w14:paraId="57C1114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1391" w:type="dxa"/>
            <w:vAlign w:val="center"/>
          </w:tcPr>
          <w:p w14:paraId="24C1C60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r>
      <w:tr w14:paraId="2726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0C327E9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w:t>
            </w:r>
          </w:p>
        </w:tc>
        <w:tc>
          <w:tcPr>
            <w:tcW w:w="766" w:type="dxa"/>
            <w:vAlign w:val="center"/>
          </w:tcPr>
          <w:p w14:paraId="082DFFA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镍</w:t>
            </w:r>
          </w:p>
        </w:tc>
        <w:tc>
          <w:tcPr>
            <w:tcW w:w="992" w:type="dxa"/>
            <w:vAlign w:val="center"/>
          </w:tcPr>
          <w:p w14:paraId="67B4887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水田</w:t>
            </w:r>
          </w:p>
        </w:tc>
        <w:tc>
          <w:tcPr>
            <w:tcW w:w="1532" w:type="dxa"/>
            <w:vAlign w:val="center"/>
          </w:tcPr>
          <w:p w14:paraId="13E5552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60</w:t>
            </w:r>
          </w:p>
        </w:tc>
        <w:tc>
          <w:tcPr>
            <w:tcW w:w="1608" w:type="dxa"/>
            <w:vAlign w:val="center"/>
          </w:tcPr>
          <w:p w14:paraId="60001A3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70</w:t>
            </w:r>
          </w:p>
        </w:tc>
        <w:tc>
          <w:tcPr>
            <w:tcW w:w="1495" w:type="dxa"/>
            <w:vAlign w:val="center"/>
          </w:tcPr>
          <w:p w14:paraId="7EFAD5D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c>
          <w:tcPr>
            <w:tcW w:w="1391" w:type="dxa"/>
            <w:vAlign w:val="center"/>
          </w:tcPr>
          <w:p w14:paraId="77EBABB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190</w:t>
            </w:r>
          </w:p>
        </w:tc>
      </w:tr>
      <w:tr w14:paraId="04EA9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8" w:type="dxa"/>
            <w:vAlign w:val="center"/>
          </w:tcPr>
          <w:p w14:paraId="1068DA7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w:t>
            </w:r>
          </w:p>
        </w:tc>
        <w:tc>
          <w:tcPr>
            <w:tcW w:w="766" w:type="dxa"/>
            <w:vAlign w:val="center"/>
          </w:tcPr>
          <w:p w14:paraId="2191827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锌</w:t>
            </w:r>
          </w:p>
        </w:tc>
        <w:tc>
          <w:tcPr>
            <w:tcW w:w="992" w:type="dxa"/>
            <w:vAlign w:val="center"/>
          </w:tcPr>
          <w:p w14:paraId="6645C48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其他</w:t>
            </w:r>
          </w:p>
        </w:tc>
        <w:tc>
          <w:tcPr>
            <w:tcW w:w="1532" w:type="dxa"/>
            <w:vAlign w:val="center"/>
          </w:tcPr>
          <w:p w14:paraId="1D92221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1608" w:type="dxa"/>
            <w:vAlign w:val="center"/>
          </w:tcPr>
          <w:p w14:paraId="0A3300D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1495" w:type="dxa"/>
            <w:vAlign w:val="center"/>
          </w:tcPr>
          <w:p w14:paraId="61B4C15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250</w:t>
            </w:r>
          </w:p>
        </w:tc>
        <w:tc>
          <w:tcPr>
            <w:tcW w:w="1391" w:type="dxa"/>
            <w:vAlign w:val="center"/>
          </w:tcPr>
          <w:p w14:paraId="6E6A73D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300</w:t>
            </w:r>
          </w:p>
        </w:tc>
      </w:tr>
    </w:tbl>
    <w:p w14:paraId="06251C79">
      <w:pPr>
        <w:numPr>
          <w:ilvl w:val="5"/>
          <w:numId w:val="0"/>
        </w:numPr>
        <w:tabs>
          <w:tab w:val="left" w:pos="0"/>
        </w:tabs>
        <w:ind w:leftChars="0"/>
        <w:jc w:val="center"/>
        <w:rPr>
          <w:rFonts w:hint="default" w:ascii="Times New Roman" w:hAnsi="Times New Roman" w:cs="Times New Roman"/>
          <w:color w:val="auto"/>
          <w:highlight w:val="none"/>
        </w:rPr>
      </w:pPr>
    </w:p>
    <w:p w14:paraId="38061027">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 xml:space="preserve">  农用地土壤污染风险管制值   单位：mg/kg</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842"/>
        <w:gridCol w:w="1418"/>
        <w:gridCol w:w="1560"/>
        <w:gridCol w:w="1416"/>
        <w:gridCol w:w="1611"/>
      </w:tblGrid>
      <w:tr w14:paraId="1DD94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restart"/>
            <w:vAlign w:val="center"/>
          </w:tcPr>
          <w:p w14:paraId="5BA685D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序号</w:t>
            </w:r>
          </w:p>
        </w:tc>
        <w:tc>
          <w:tcPr>
            <w:tcW w:w="1081" w:type="pct"/>
            <w:vMerge w:val="restart"/>
            <w:vAlign w:val="center"/>
          </w:tcPr>
          <w:p w14:paraId="1E68F1C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污染物项目</w:t>
            </w:r>
          </w:p>
        </w:tc>
        <w:tc>
          <w:tcPr>
            <w:tcW w:w="3523" w:type="pct"/>
            <w:gridSpan w:val="4"/>
            <w:vAlign w:val="center"/>
          </w:tcPr>
          <w:p w14:paraId="3B1132D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风险筛选值</w:t>
            </w:r>
          </w:p>
        </w:tc>
      </w:tr>
      <w:tr w14:paraId="6FC13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Merge w:val="continue"/>
            <w:vAlign w:val="center"/>
          </w:tcPr>
          <w:p w14:paraId="34DE282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1081" w:type="pct"/>
            <w:vMerge w:val="continue"/>
            <w:vAlign w:val="center"/>
          </w:tcPr>
          <w:p w14:paraId="49B71D1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p>
        </w:tc>
        <w:tc>
          <w:tcPr>
            <w:tcW w:w="832" w:type="pct"/>
            <w:vAlign w:val="center"/>
          </w:tcPr>
          <w:p w14:paraId="10E3A25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pH≤5.5</w:t>
            </w:r>
          </w:p>
        </w:tc>
        <w:tc>
          <w:tcPr>
            <w:tcW w:w="915" w:type="pct"/>
            <w:vAlign w:val="center"/>
          </w:tcPr>
          <w:p w14:paraId="07D6E8A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5.5＜pH≤6.5</w:t>
            </w:r>
          </w:p>
        </w:tc>
        <w:tc>
          <w:tcPr>
            <w:tcW w:w="831" w:type="pct"/>
            <w:vAlign w:val="center"/>
          </w:tcPr>
          <w:p w14:paraId="5AA7FF5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6.5＜pH≤7.5</w:t>
            </w:r>
          </w:p>
        </w:tc>
        <w:tc>
          <w:tcPr>
            <w:tcW w:w="945" w:type="pct"/>
            <w:vAlign w:val="center"/>
          </w:tcPr>
          <w:p w14:paraId="79FCBBE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pH＞7.5</w:t>
            </w:r>
          </w:p>
        </w:tc>
      </w:tr>
      <w:tr w14:paraId="3D66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639996D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w:t>
            </w:r>
          </w:p>
        </w:tc>
        <w:tc>
          <w:tcPr>
            <w:tcW w:w="1081" w:type="pct"/>
            <w:vAlign w:val="center"/>
          </w:tcPr>
          <w:p w14:paraId="163BD15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镉</w:t>
            </w:r>
          </w:p>
        </w:tc>
        <w:tc>
          <w:tcPr>
            <w:tcW w:w="832" w:type="pct"/>
            <w:vAlign w:val="center"/>
          </w:tcPr>
          <w:p w14:paraId="0FDA519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w:t>
            </w:r>
          </w:p>
        </w:tc>
        <w:tc>
          <w:tcPr>
            <w:tcW w:w="915" w:type="pct"/>
            <w:vAlign w:val="center"/>
          </w:tcPr>
          <w:p w14:paraId="4578F20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831" w:type="pct"/>
            <w:vAlign w:val="center"/>
          </w:tcPr>
          <w:p w14:paraId="4BEA177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3.0</w:t>
            </w:r>
          </w:p>
        </w:tc>
        <w:tc>
          <w:tcPr>
            <w:tcW w:w="945" w:type="pct"/>
            <w:vAlign w:val="center"/>
          </w:tcPr>
          <w:p w14:paraId="6E93F68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r>
      <w:tr w14:paraId="06AF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0F362E1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w:t>
            </w:r>
          </w:p>
        </w:tc>
        <w:tc>
          <w:tcPr>
            <w:tcW w:w="1081" w:type="pct"/>
            <w:vAlign w:val="center"/>
          </w:tcPr>
          <w:p w14:paraId="2C92FDA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汞</w:t>
            </w:r>
          </w:p>
        </w:tc>
        <w:tc>
          <w:tcPr>
            <w:tcW w:w="832" w:type="pct"/>
            <w:vAlign w:val="center"/>
          </w:tcPr>
          <w:p w14:paraId="1E18B1B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w:t>
            </w:r>
          </w:p>
        </w:tc>
        <w:tc>
          <w:tcPr>
            <w:tcW w:w="915" w:type="pct"/>
            <w:vAlign w:val="center"/>
          </w:tcPr>
          <w:p w14:paraId="3466F4C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w:t>
            </w:r>
          </w:p>
        </w:tc>
        <w:tc>
          <w:tcPr>
            <w:tcW w:w="831" w:type="pct"/>
            <w:vAlign w:val="center"/>
          </w:tcPr>
          <w:p w14:paraId="6CCA3A3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w:t>
            </w:r>
          </w:p>
        </w:tc>
        <w:tc>
          <w:tcPr>
            <w:tcW w:w="945" w:type="pct"/>
            <w:vAlign w:val="center"/>
          </w:tcPr>
          <w:p w14:paraId="2527E60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6.0</w:t>
            </w:r>
          </w:p>
        </w:tc>
      </w:tr>
      <w:tr w14:paraId="1D4F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2004D57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w:t>
            </w:r>
          </w:p>
        </w:tc>
        <w:tc>
          <w:tcPr>
            <w:tcW w:w="1081" w:type="pct"/>
            <w:vAlign w:val="center"/>
          </w:tcPr>
          <w:p w14:paraId="747D68F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砷</w:t>
            </w:r>
          </w:p>
        </w:tc>
        <w:tc>
          <w:tcPr>
            <w:tcW w:w="832" w:type="pct"/>
            <w:vAlign w:val="center"/>
          </w:tcPr>
          <w:p w14:paraId="0A31349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w:t>
            </w:r>
          </w:p>
        </w:tc>
        <w:tc>
          <w:tcPr>
            <w:tcW w:w="915" w:type="pct"/>
            <w:vAlign w:val="center"/>
          </w:tcPr>
          <w:p w14:paraId="1CBC0CD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150</w:t>
            </w:r>
          </w:p>
        </w:tc>
        <w:tc>
          <w:tcPr>
            <w:tcW w:w="831" w:type="pct"/>
            <w:vAlign w:val="center"/>
          </w:tcPr>
          <w:p w14:paraId="7544F7C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120</w:t>
            </w:r>
          </w:p>
        </w:tc>
        <w:tc>
          <w:tcPr>
            <w:tcW w:w="945" w:type="pct"/>
            <w:vAlign w:val="center"/>
          </w:tcPr>
          <w:p w14:paraId="71E29A8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w:t>
            </w:r>
          </w:p>
        </w:tc>
      </w:tr>
      <w:tr w14:paraId="1C588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03CC418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w:t>
            </w:r>
          </w:p>
        </w:tc>
        <w:tc>
          <w:tcPr>
            <w:tcW w:w="1081" w:type="pct"/>
            <w:vAlign w:val="center"/>
          </w:tcPr>
          <w:p w14:paraId="4DFA041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铅</w:t>
            </w:r>
          </w:p>
        </w:tc>
        <w:tc>
          <w:tcPr>
            <w:tcW w:w="832" w:type="pct"/>
            <w:vAlign w:val="center"/>
          </w:tcPr>
          <w:p w14:paraId="0B7D08A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400</w:t>
            </w:r>
          </w:p>
        </w:tc>
        <w:tc>
          <w:tcPr>
            <w:tcW w:w="915" w:type="pct"/>
            <w:vAlign w:val="center"/>
          </w:tcPr>
          <w:p w14:paraId="56C2D8D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500</w:t>
            </w:r>
          </w:p>
        </w:tc>
        <w:tc>
          <w:tcPr>
            <w:tcW w:w="831" w:type="pct"/>
            <w:vAlign w:val="center"/>
          </w:tcPr>
          <w:p w14:paraId="0C06BECD">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700</w:t>
            </w:r>
          </w:p>
        </w:tc>
        <w:tc>
          <w:tcPr>
            <w:tcW w:w="945" w:type="pct"/>
            <w:vAlign w:val="center"/>
          </w:tcPr>
          <w:p w14:paraId="79D2858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1000</w:t>
            </w:r>
          </w:p>
        </w:tc>
      </w:tr>
      <w:tr w14:paraId="77CF7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 w:type="pct"/>
            <w:vAlign w:val="center"/>
          </w:tcPr>
          <w:p w14:paraId="0B47613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w:t>
            </w:r>
          </w:p>
        </w:tc>
        <w:tc>
          <w:tcPr>
            <w:tcW w:w="1081" w:type="pct"/>
            <w:vAlign w:val="center"/>
          </w:tcPr>
          <w:p w14:paraId="4C68F22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铬</w:t>
            </w:r>
          </w:p>
        </w:tc>
        <w:tc>
          <w:tcPr>
            <w:tcW w:w="832" w:type="pct"/>
            <w:vAlign w:val="center"/>
          </w:tcPr>
          <w:p w14:paraId="711E184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800</w:t>
            </w:r>
          </w:p>
        </w:tc>
        <w:tc>
          <w:tcPr>
            <w:tcW w:w="915" w:type="pct"/>
            <w:vAlign w:val="center"/>
          </w:tcPr>
          <w:p w14:paraId="2A966DC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850</w:t>
            </w:r>
          </w:p>
        </w:tc>
        <w:tc>
          <w:tcPr>
            <w:tcW w:w="831" w:type="pct"/>
            <w:vAlign w:val="center"/>
          </w:tcPr>
          <w:p w14:paraId="67FD58A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1000</w:t>
            </w:r>
          </w:p>
        </w:tc>
        <w:tc>
          <w:tcPr>
            <w:tcW w:w="945" w:type="pct"/>
            <w:vAlign w:val="center"/>
          </w:tcPr>
          <w:p w14:paraId="7D3F132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1300</w:t>
            </w:r>
          </w:p>
        </w:tc>
      </w:tr>
    </w:tbl>
    <w:p w14:paraId="01024F69">
      <w:pPr>
        <w:numPr>
          <w:ilvl w:val="5"/>
          <w:numId w:val="0"/>
        </w:numPr>
        <w:tabs>
          <w:tab w:val="left" w:pos="0"/>
        </w:tabs>
        <w:ind w:leftChars="0"/>
        <w:jc w:val="both"/>
        <w:rPr>
          <w:rFonts w:hint="default" w:ascii="Times New Roman" w:hAnsi="Times New Roman" w:cs="Times New Roman"/>
          <w:color w:val="auto"/>
          <w:highlight w:val="none"/>
        </w:rPr>
      </w:pPr>
    </w:p>
    <w:p w14:paraId="6E606568">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 xml:space="preserve">  建设用地土壤污染风险筛选值和管制值（基本项目）（单位：mg/kg）</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1699"/>
        <w:gridCol w:w="2978"/>
        <w:gridCol w:w="3168"/>
      </w:tblGrid>
      <w:tr w14:paraId="029F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31F34D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序号</w:t>
            </w:r>
          </w:p>
        </w:tc>
        <w:tc>
          <w:tcPr>
            <w:tcW w:w="997" w:type="pct"/>
            <w:vAlign w:val="center"/>
          </w:tcPr>
          <w:p w14:paraId="5F3B629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污染物项目</w:t>
            </w:r>
          </w:p>
        </w:tc>
        <w:tc>
          <w:tcPr>
            <w:tcW w:w="1747" w:type="pct"/>
            <w:vAlign w:val="center"/>
          </w:tcPr>
          <w:p w14:paraId="04421B1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筛选值（第二类）</w:t>
            </w:r>
          </w:p>
        </w:tc>
        <w:tc>
          <w:tcPr>
            <w:tcW w:w="1859" w:type="pct"/>
            <w:vAlign w:val="center"/>
          </w:tcPr>
          <w:p w14:paraId="77152E5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管制值（第二类）</w:t>
            </w:r>
          </w:p>
        </w:tc>
      </w:tr>
      <w:tr w14:paraId="3DED3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492050D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w:t>
            </w:r>
          </w:p>
        </w:tc>
        <w:tc>
          <w:tcPr>
            <w:tcW w:w="997" w:type="pct"/>
            <w:vAlign w:val="center"/>
          </w:tcPr>
          <w:p w14:paraId="77C96281">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砷</w:t>
            </w:r>
          </w:p>
        </w:tc>
        <w:tc>
          <w:tcPr>
            <w:tcW w:w="1747" w:type="pct"/>
            <w:vAlign w:val="center"/>
          </w:tcPr>
          <w:p w14:paraId="03D4D40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60</w:t>
            </w:r>
          </w:p>
        </w:tc>
        <w:tc>
          <w:tcPr>
            <w:tcW w:w="1859" w:type="pct"/>
            <w:vAlign w:val="center"/>
          </w:tcPr>
          <w:p w14:paraId="16D67FB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140</w:t>
            </w:r>
          </w:p>
        </w:tc>
      </w:tr>
      <w:tr w14:paraId="3EBCA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510DE98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w:t>
            </w:r>
          </w:p>
        </w:tc>
        <w:tc>
          <w:tcPr>
            <w:tcW w:w="997" w:type="pct"/>
            <w:vAlign w:val="center"/>
          </w:tcPr>
          <w:p w14:paraId="1DC43EC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镉</w:t>
            </w:r>
          </w:p>
        </w:tc>
        <w:tc>
          <w:tcPr>
            <w:tcW w:w="1747" w:type="pct"/>
            <w:vAlign w:val="center"/>
          </w:tcPr>
          <w:p w14:paraId="0CA9194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65</w:t>
            </w:r>
          </w:p>
        </w:tc>
        <w:tc>
          <w:tcPr>
            <w:tcW w:w="1859" w:type="pct"/>
            <w:vAlign w:val="center"/>
          </w:tcPr>
          <w:p w14:paraId="4E3ABEF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172</w:t>
            </w:r>
          </w:p>
        </w:tc>
      </w:tr>
      <w:tr w14:paraId="44FB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7B3C2F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w:t>
            </w:r>
          </w:p>
        </w:tc>
        <w:tc>
          <w:tcPr>
            <w:tcW w:w="997" w:type="pct"/>
            <w:vAlign w:val="center"/>
          </w:tcPr>
          <w:p w14:paraId="764A9BF2">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铬（六价）</w:t>
            </w:r>
          </w:p>
        </w:tc>
        <w:tc>
          <w:tcPr>
            <w:tcW w:w="1747" w:type="pct"/>
            <w:vAlign w:val="center"/>
          </w:tcPr>
          <w:p w14:paraId="274D918B">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5.7</w:t>
            </w:r>
          </w:p>
        </w:tc>
        <w:tc>
          <w:tcPr>
            <w:tcW w:w="1859" w:type="pct"/>
            <w:vAlign w:val="center"/>
          </w:tcPr>
          <w:p w14:paraId="65D55A6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78</w:t>
            </w:r>
          </w:p>
        </w:tc>
      </w:tr>
      <w:tr w14:paraId="2E93D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6A4CAB5">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4</w:t>
            </w:r>
          </w:p>
        </w:tc>
        <w:tc>
          <w:tcPr>
            <w:tcW w:w="997" w:type="pct"/>
            <w:vAlign w:val="center"/>
          </w:tcPr>
          <w:p w14:paraId="2B0171D9">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铜</w:t>
            </w:r>
          </w:p>
        </w:tc>
        <w:tc>
          <w:tcPr>
            <w:tcW w:w="1747" w:type="pct"/>
            <w:vAlign w:val="center"/>
          </w:tcPr>
          <w:p w14:paraId="7179617A">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18000</w:t>
            </w:r>
          </w:p>
        </w:tc>
        <w:tc>
          <w:tcPr>
            <w:tcW w:w="1859" w:type="pct"/>
            <w:vAlign w:val="center"/>
          </w:tcPr>
          <w:p w14:paraId="589D88B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36000</w:t>
            </w:r>
          </w:p>
        </w:tc>
      </w:tr>
      <w:tr w14:paraId="21DF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77E9DA1F">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5</w:t>
            </w:r>
          </w:p>
        </w:tc>
        <w:tc>
          <w:tcPr>
            <w:tcW w:w="997" w:type="pct"/>
            <w:vAlign w:val="center"/>
          </w:tcPr>
          <w:p w14:paraId="6161D3B7">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铅</w:t>
            </w:r>
          </w:p>
        </w:tc>
        <w:tc>
          <w:tcPr>
            <w:tcW w:w="1747" w:type="pct"/>
            <w:vAlign w:val="center"/>
          </w:tcPr>
          <w:p w14:paraId="0104087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800</w:t>
            </w:r>
          </w:p>
        </w:tc>
        <w:tc>
          <w:tcPr>
            <w:tcW w:w="1859" w:type="pct"/>
            <w:vAlign w:val="center"/>
          </w:tcPr>
          <w:p w14:paraId="12C4C5A6">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2500</w:t>
            </w:r>
          </w:p>
        </w:tc>
      </w:tr>
      <w:tr w14:paraId="0E1C0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0928631C">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6</w:t>
            </w:r>
          </w:p>
        </w:tc>
        <w:tc>
          <w:tcPr>
            <w:tcW w:w="997" w:type="pct"/>
            <w:vAlign w:val="center"/>
          </w:tcPr>
          <w:p w14:paraId="6D6ED45E">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汞</w:t>
            </w:r>
          </w:p>
        </w:tc>
        <w:tc>
          <w:tcPr>
            <w:tcW w:w="1747" w:type="pct"/>
            <w:vAlign w:val="center"/>
          </w:tcPr>
          <w:p w14:paraId="4FD5FC4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38</w:t>
            </w:r>
          </w:p>
        </w:tc>
        <w:tc>
          <w:tcPr>
            <w:tcW w:w="1859" w:type="pct"/>
            <w:vAlign w:val="center"/>
          </w:tcPr>
          <w:p w14:paraId="5F3BA45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82</w:t>
            </w:r>
          </w:p>
        </w:tc>
      </w:tr>
      <w:tr w14:paraId="5416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7" w:type="pct"/>
            <w:vAlign w:val="center"/>
          </w:tcPr>
          <w:p w14:paraId="65137AE4">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7</w:t>
            </w:r>
          </w:p>
        </w:tc>
        <w:tc>
          <w:tcPr>
            <w:tcW w:w="997" w:type="pct"/>
            <w:vAlign w:val="center"/>
          </w:tcPr>
          <w:p w14:paraId="375E69A0">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镍</w:t>
            </w:r>
          </w:p>
        </w:tc>
        <w:tc>
          <w:tcPr>
            <w:tcW w:w="1747" w:type="pct"/>
            <w:vAlign w:val="center"/>
          </w:tcPr>
          <w:p w14:paraId="3C06EF13">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900</w:t>
            </w:r>
          </w:p>
        </w:tc>
        <w:tc>
          <w:tcPr>
            <w:tcW w:w="1859" w:type="pct"/>
            <w:vAlign w:val="center"/>
          </w:tcPr>
          <w:p w14:paraId="710E7E78">
            <w:pPr>
              <w:widowControl/>
              <w:spacing w:line="240" w:lineRule="auto"/>
              <w:jc w:val="center"/>
              <w:textAlignment w:val="center"/>
              <w:rPr>
                <w:rFonts w:hint="default" w:ascii="Times New Roman" w:hAnsi="Times New Roman" w:cs="Times New Roman"/>
                <w:color w:val="auto"/>
                <w:kern w:val="0"/>
                <w:sz w:val="21"/>
                <w:szCs w:val="21"/>
                <w:highlight w:val="none"/>
                <w:lang w:bidi="ar"/>
              </w:rPr>
            </w:pPr>
            <w:r>
              <w:rPr>
                <w:rFonts w:hint="default" w:ascii="Times New Roman" w:hAnsi="Times New Roman" w:cs="Times New Roman"/>
                <w:color w:val="auto"/>
                <w:kern w:val="0"/>
                <w:sz w:val="21"/>
                <w:szCs w:val="21"/>
                <w:highlight w:val="none"/>
                <w:lang w:bidi="ar"/>
              </w:rPr>
              <w:t>2000</w:t>
            </w:r>
          </w:p>
        </w:tc>
      </w:tr>
    </w:tbl>
    <w:p w14:paraId="3A601A7D">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污染物排放标准</w:t>
      </w:r>
    </w:p>
    <w:p w14:paraId="5082AD99">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位于《地表水环境质量标准》（GB3838-2002）Ⅱ类区水域的规划项目，施工期及运行期间，所有生产生活废污水均经处理后回用，禁止外排。</w:t>
      </w:r>
    </w:p>
    <w:p w14:paraId="1DAF3DB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位于《地表水环境质量标准》（GB3838-2002）Ⅲ类水域的规划项目，施工期及运行期废污水经处理后尽可能回用，回用于降尘、绿化、建筑施工的，其水质须满足《城市污水再生利用 城市杂用水水质》（GB/T18920-2020）相应的水质标准要求。不可回用部分必须经处理达到《污水综合排放标准》（GB8978-1996）一级标准要求后方能排放。</w:t>
      </w:r>
    </w:p>
    <w:p w14:paraId="002B4BE2">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1.7.2-1</w:t>
      </w:r>
      <w:r>
        <w:rPr>
          <w:rFonts w:hint="default" w:ascii="Times New Roman" w:hAnsi="Times New Roman" w:cs="Times New Roman"/>
          <w:color w:val="auto"/>
          <w:highlight w:val="none"/>
        </w:rPr>
        <w:t xml:space="preserve">  《城市污水再生利用 城市杂用水水质》基本控制项目分析方法</w:t>
      </w:r>
    </w:p>
    <w:tbl>
      <w:tblPr>
        <w:tblStyle w:val="22"/>
        <w:tblW w:w="4997" w:type="pct"/>
        <w:tblInd w:w="0" w:type="dxa"/>
        <w:tblLayout w:type="autofit"/>
        <w:tblCellMar>
          <w:top w:w="0" w:type="dxa"/>
          <w:left w:w="108" w:type="dxa"/>
          <w:bottom w:w="0" w:type="dxa"/>
          <w:right w:w="108" w:type="dxa"/>
        </w:tblCellMar>
      </w:tblPr>
      <w:tblGrid>
        <w:gridCol w:w="492"/>
        <w:gridCol w:w="3586"/>
        <w:gridCol w:w="1875"/>
        <w:gridCol w:w="2564"/>
      </w:tblGrid>
      <w:tr w14:paraId="3C5560F1">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252D864F">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序号</w:t>
            </w:r>
          </w:p>
        </w:tc>
        <w:tc>
          <w:tcPr>
            <w:tcW w:w="2105" w:type="pct"/>
            <w:tcBorders>
              <w:top w:val="single" w:color="000000" w:sz="4" w:space="0"/>
              <w:left w:val="single" w:color="000000" w:sz="4" w:space="0"/>
              <w:bottom w:val="single" w:color="000000" w:sz="4" w:space="0"/>
              <w:right w:val="single" w:color="000000" w:sz="4" w:space="0"/>
            </w:tcBorders>
            <w:vAlign w:val="center"/>
          </w:tcPr>
          <w:p w14:paraId="5E8639D2">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项 目</w:t>
            </w:r>
          </w:p>
        </w:tc>
        <w:tc>
          <w:tcPr>
            <w:tcW w:w="1101" w:type="pct"/>
            <w:tcBorders>
              <w:top w:val="single" w:color="000000" w:sz="4" w:space="0"/>
              <w:left w:val="single" w:color="000000" w:sz="4" w:space="0"/>
              <w:bottom w:val="single" w:color="000000" w:sz="4" w:space="0"/>
              <w:right w:val="single" w:color="000000" w:sz="4" w:space="0"/>
            </w:tcBorders>
            <w:vAlign w:val="center"/>
          </w:tcPr>
          <w:p w14:paraId="5E65252C">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冲厕、车辆冲洗</w:t>
            </w:r>
          </w:p>
        </w:tc>
        <w:tc>
          <w:tcPr>
            <w:tcW w:w="1505" w:type="pct"/>
            <w:tcBorders>
              <w:top w:val="single" w:color="000000" w:sz="4" w:space="0"/>
              <w:left w:val="single" w:color="000000" w:sz="4" w:space="0"/>
              <w:bottom w:val="single" w:color="000000" w:sz="4" w:space="0"/>
              <w:right w:val="single" w:color="000000" w:sz="4" w:space="0"/>
            </w:tcBorders>
            <w:vAlign w:val="center"/>
          </w:tcPr>
          <w:p w14:paraId="694FFACC">
            <w:pPr>
              <w:widowControl/>
              <w:spacing w:line="240" w:lineRule="auto"/>
              <w:jc w:val="center"/>
              <w:textAlignment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kern w:val="0"/>
                <w:sz w:val="21"/>
                <w:szCs w:val="21"/>
                <w:highlight w:val="none"/>
                <w:lang w:bidi="ar"/>
              </w:rPr>
              <w:t>城市绿化、道路清扫、消防、建筑施工</w:t>
            </w:r>
          </w:p>
        </w:tc>
      </w:tr>
      <w:tr w14:paraId="327AD047">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3274C88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 </w:t>
            </w:r>
          </w:p>
        </w:tc>
        <w:tc>
          <w:tcPr>
            <w:tcW w:w="2105" w:type="pct"/>
            <w:tcBorders>
              <w:top w:val="single" w:color="000000" w:sz="4" w:space="0"/>
              <w:left w:val="single" w:color="000000" w:sz="4" w:space="0"/>
              <w:bottom w:val="single" w:color="000000" w:sz="4" w:space="0"/>
              <w:right w:val="single" w:color="000000" w:sz="4" w:space="0"/>
            </w:tcBorders>
            <w:vAlign w:val="center"/>
          </w:tcPr>
          <w:p w14:paraId="453EC29B">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pH</w:t>
            </w:r>
          </w:p>
        </w:tc>
        <w:tc>
          <w:tcPr>
            <w:tcW w:w="1101" w:type="pct"/>
            <w:tcBorders>
              <w:top w:val="single" w:color="000000" w:sz="4" w:space="0"/>
              <w:left w:val="single" w:color="000000" w:sz="4" w:space="0"/>
              <w:bottom w:val="single" w:color="000000" w:sz="4" w:space="0"/>
              <w:right w:val="single" w:color="000000" w:sz="4" w:space="0"/>
            </w:tcBorders>
            <w:vAlign w:val="center"/>
          </w:tcPr>
          <w:p w14:paraId="13BC980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6.0~9.0</w:t>
            </w:r>
          </w:p>
        </w:tc>
        <w:tc>
          <w:tcPr>
            <w:tcW w:w="1505" w:type="pct"/>
            <w:tcBorders>
              <w:top w:val="single" w:color="000000" w:sz="4" w:space="0"/>
              <w:left w:val="single" w:color="000000" w:sz="4" w:space="0"/>
              <w:bottom w:val="single" w:color="000000" w:sz="4" w:space="0"/>
              <w:right w:val="single" w:color="000000" w:sz="4" w:space="0"/>
            </w:tcBorders>
            <w:vAlign w:val="center"/>
          </w:tcPr>
          <w:p w14:paraId="4521886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6.0~9.0</w:t>
            </w:r>
          </w:p>
        </w:tc>
      </w:tr>
      <w:tr w14:paraId="05607A1E">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2C950D1C">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2 </w:t>
            </w:r>
          </w:p>
        </w:tc>
        <w:tc>
          <w:tcPr>
            <w:tcW w:w="2105" w:type="pct"/>
            <w:tcBorders>
              <w:top w:val="single" w:color="000000" w:sz="4" w:space="0"/>
              <w:left w:val="single" w:color="000000" w:sz="4" w:space="0"/>
              <w:bottom w:val="single" w:color="000000" w:sz="4" w:space="0"/>
              <w:right w:val="single" w:color="000000" w:sz="4" w:space="0"/>
            </w:tcBorders>
            <w:vAlign w:val="center"/>
          </w:tcPr>
          <w:p w14:paraId="6D24B26D">
            <w:pPr>
              <w:widowControl/>
              <w:spacing w:line="240" w:lineRule="auto"/>
              <w:jc w:val="both"/>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色度，铂钴色度单位      </w:t>
            </w:r>
            <w:r>
              <w:rPr>
                <w:rFonts w:hint="default" w:ascii="Times New Roman" w:hAnsi="Times New Roman" w:cs="Times New Roman"/>
                <w:color w:val="auto"/>
                <w:kern w:val="0"/>
                <w:sz w:val="21"/>
                <w:szCs w:val="21"/>
                <w:highlight w:val="none"/>
                <w:lang w:val="en-US" w:eastAsia="zh-CN" w:bidi="ar"/>
              </w:rPr>
              <w:t xml:space="preserve">   </w:t>
            </w:r>
            <w:r>
              <w:rPr>
                <w:rFonts w:hint="default" w:ascii="Times New Roman" w:hAnsi="Times New Roman" w:cs="Times New Roman"/>
                <w:color w:val="auto"/>
                <w:kern w:val="0"/>
                <w:sz w:val="21"/>
                <w:szCs w:val="21"/>
                <w:highlight w:val="none"/>
                <w:lang w:bidi="ar"/>
              </w:rPr>
              <w:t xml:space="preserve">    </w:t>
            </w:r>
            <w:r>
              <w:rPr>
                <w:rFonts w:hint="default" w:ascii="Times New Roman" w:hAnsi="Times New Roman" w:cs="Times New Roman"/>
                <w:color w:val="auto"/>
                <w:sz w:val="21"/>
                <w:szCs w:val="21"/>
                <w:highlight w:val="none"/>
                <w:lang w:bidi="ar"/>
              </w:rPr>
              <w:t>≤</w:t>
            </w:r>
          </w:p>
        </w:tc>
        <w:tc>
          <w:tcPr>
            <w:tcW w:w="1101" w:type="pct"/>
            <w:tcBorders>
              <w:top w:val="single" w:color="000000" w:sz="4" w:space="0"/>
              <w:left w:val="single" w:color="000000" w:sz="4" w:space="0"/>
              <w:bottom w:val="single" w:color="000000" w:sz="4" w:space="0"/>
              <w:right w:val="single" w:color="000000" w:sz="4" w:space="0"/>
            </w:tcBorders>
            <w:vAlign w:val="center"/>
          </w:tcPr>
          <w:p w14:paraId="33DDF5D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15 </w:t>
            </w:r>
          </w:p>
        </w:tc>
        <w:tc>
          <w:tcPr>
            <w:tcW w:w="1505" w:type="pct"/>
            <w:tcBorders>
              <w:top w:val="single" w:color="000000" w:sz="4" w:space="0"/>
              <w:left w:val="single" w:color="000000" w:sz="4" w:space="0"/>
              <w:bottom w:val="single" w:color="000000" w:sz="4" w:space="0"/>
              <w:right w:val="single" w:color="000000" w:sz="4" w:space="0"/>
            </w:tcBorders>
            <w:vAlign w:val="center"/>
          </w:tcPr>
          <w:p w14:paraId="652CDE7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30</w:t>
            </w:r>
          </w:p>
        </w:tc>
      </w:tr>
      <w:tr w14:paraId="4F9DF5A1">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61398B6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3 </w:t>
            </w:r>
          </w:p>
        </w:tc>
        <w:tc>
          <w:tcPr>
            <w:tcW w:w="2105" w:type="pct"/>
            <w:tcBorders>
              <w:top w:val="single" w:color="000000" w:sz="4" w:space="0"/>
              <w:left w:val="single" w:color="000000" w:sz="4" w:space="0"/>
              <w:bottom w:val="single" w:color="000000" w:sz="4" w:space="0"/>
              <w:right w:val="single" w:color="000000" w:sz="4" w:space="0"/>
            </w:tcBorders>
            <w:vAlign w:val="center"/>
          </w:tcPr>
          <w:p w14:paraId="77A65C63">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嗅</w:t>
            </w:r>
          </w:p>
        </w:tc>
        <w:tc>
          <w:tcPr>
            <w:tcW w:w="1101" w:type="pct"/>
            <w:tcBorders>
              <w:top w:val="single" w:color="000000" w:sz="4" w:space="0"/>
              <w:left w:val="single" w:color="000000" w:sz="4" w:space="0"/>
              <w:bottom w:val="single" w:color="000000" w:sz="4" w:space="0"/>
              <w:right w:val="single" w:color="000000" w:sz="4" w:space="0"/>
            </w:tcBorders>
            <w:vAlign w:val="center"/>
          </w:tcPr>
          <w:p w14:paraId="44333DF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无不快感</w:t>
            </w:r>
          </w:p>
        </w:tc>
        <w:tc>
          <w:tcPr>
            <w:tcW w:w="1505" w:type="pct"/>
            <w:tcBorders>
              <w:top w:val="single" w:color="000000" w:sz="4" w:space="0"/>
              <w:left w:val="single" w:color="000000" w:sz="4" w:space="0"/>
              <w:bottom w:val="single" w:color="000000" w:sz="4" w:space="0"/>
              <w:right w:val="single" w:color="000000" w:sz="4" w:space="0"/>
            </w:tcBorders>
            <w:vAlign w:val="center"/>
          </w:tcPr>
          <w:p w14:paraId="7CDD449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无不快感</w:t>
            </w:r>
          </w:p>
        </w:tc>
      </w:tr>
      <w:tr w14:paraId="35854EEA">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79E4FD1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4 </w:t>
            </w:r>
          </w:p>
        </w:tc>
        <w:tc>
          <w:tcPr>
            <w:tcW w:w="2105" w:type="pct"/>
            <w:tcBorders>
              <w:top w:val="single" w:color="000000" w:sz="4" w:space="0"/>
              <w:left w:val="single" w:color="000000" w:sz="4" w:space="0"/>
              <w:bottom w:val="single" w:color="000000" w:sz="4" w:space="0"/>
              <w:right w:val="single" w:color="000000" w:sz="4" w:space="0"/>
            </w:tcBorders>
            <w:vAlign w:val="center"/>
          </w:tcPr>
          <w:p w14:paraId="60CF9415">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浊度/</w:t>
            </w:r>
            <w:r>
              <w:rPr>
                <w:rFonts w:hint="default" w:ascii="Times New Roman" w:hAnsi="Times New Roman" w:cs="Times New Roman"/>
                <w:color w:val="auto"/>
                <w:sz w:val="21"/>
                <w:szCs w:val="21"/>
                <w:highlight w:val="none"/>
                <w:lang w:bidi="ar"/>
              </w:rPr>
              <w:t xml:space="preserve">NTU               </w:t>
            </w:r>
            <w:r>
              <w:rPr>
                <w:rFonts w:hint="default" w:ascii="Times New Roman" w:hAnsi="Times New Roman" w:cs="Times New Roman"/>
                <w:color w:val="auto"/>
                <w:sz w:val="21"/>
                <w:szCs w:val="21"/>
                <w:highlight w:val="none"/>
                <w:lang w:val="en-US" w:eastAsia="zh-CN" w:bidi="ar"/>
              </w:rPr>
              <w:t xml:space="preserve">   </w:t>
            </w:r>
            <w:r>
              <w:rPr>
                <w:rFonts w:hint="default" w:ascii="Times New Roman" w:hAnsi="Times New Roman" w:cs="Times New Roman"/>
                <w:color w:val="auto"/>
                <w:sz w:val="21"/>
                <w:szCs w:val="21"/>
                <w:highlight w:val="none"/>
                <w:lang w:bidi="ar"/>
              </w:rPr>
              <w:t xml:space="preserve">    ≤</w:t>
            </w:r>
          </w:p>
        </w:tc>
        <w:tc>
          <w:tcPr>
            <w:tcW w:w="1101" w:type="pct"/>
            <w:tcBorders>
              <w:top w:val="single" w:color="000000" w:sz="4" w:space="0"/>
              <w:left w:val="single" w:color="000000" w:sz="4" w:space="0"/>
              <w:bottom w:val="single" w:color="000000" w:sz="4" w:space="0"/>
              <w:right w:val="single" w:color="000000" w:sz="4" w:space="0"/>
            </w:tcBorders>
            <w:vAlign w:val="center"/>
          </w:tcPr>
          <w:p w14:paraId="1670D35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5 </w:t>
            </w:r>
          </w:p>
        </w:tc>
        <w:tc>
          <w:tcPr>
            <w:tcW w:w="1505" w:type="pct"/>
            <w:tcBorders>
              <w:top w:val="single" w:color="000000" w:sz="4" w:space="0"/>
              <w:left w:val="single" w:color="000000" w:sz="4" w:space="0"/>
              <w:bottom w:val="single" w:color="000000" w:sz="4" w:space="0"/>
              <w:right w:val="single" w:color="000000" w:sz="4" w:space="0"/>
            </w:tcBorders>
            <w:vAlign w:val="center"/>
          </w:tcPr>
          <w:p w14:paraId="016908D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10 </w:t>
            </w:r>
          </w:p>
        </w:tc>
      </w:tr>
      <w:tr w14:paraId="131960F9">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563137E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5 </w:t>
            </w:r>
          </w:p>
        </w:tc>
        <w:tc>
          <w:tcPr>
            <w:tcW w:w="2105" w:type="pct"/>
            <w:tcBorders>
              <w:top w:val="single" w:color="000000" w:sz="4" w:space="0"/>
              <w:left w:val="single" w:color="000000" w:sz="4" w:space="0"/>
              <w:bottom w:val="single" w:color="000000" w:sz="4" w:space="0"/>
              <w:right w:val="single" w:color="000000" w:sz="4" w:space="0"/>
            </w:tcBorders>
            <w:vAlign w:val="center"/>
          </w:tcPr>
          <w:p w14:paraId="393B915C">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五日生化需氧量(</w:t>
            </w:r>
            <w:r>
              <w:rPr>
                <w:rFonts w:hint="default" w:ascii="Times New Roman" w:hAnsi="Times New Roman" w:cs="Times New Roman"/>
                <w:color w:val="auto"/>
                <w:sz w:val="21"/>
                <w:szCs w:val="21"/>
                <w:highlight w:val="none"/>
                <w:lang w:bidi="ar"/>
              </w:rPr>
              <w:t>BOD</w:t>
            </w:r>
            <w:r>
              <w:rPr>
                <w:rFonts w:hint="default" w:ascii="Times New Roman" w:hAnsi="Times New Roman" w:cs="Times New Roman"/>
                <w:color w:val="auto"/>
                <w:kern w:val="0"/>
                <w:sz w:val="21"/>
                <w:szCs w:val="21"/>
                <w:highlight w:val="none"/>
                <w:lang w:bidi="ar"/>
              </w:rPr>
              <w:t>5</w:t>
            </w:r>
            <w:r>
              <w:rPr>
                <w:rFonts w:hint="default" w:ascii="Times New Roman" w:hAnsi="Times New Roman" w:eastAsia="宋体" w:cs="Times New Roman"/>
                <w:color w:val="auto"/>
                <w:sz w:val="21"/>
                <w:szCs w:val="21"/>
                <w:highlight w:val="none"/>
                <w:lang w:bidi="ar"/>
              </w:rPr>
              <w:t>)/ (</w:t>
            </w:r>
            <w:r>
              <w:rPr>
                <w:rFonts w:hint="default" w:ascii="Times New Roman" w:hAnsi="Times New Roman" w:cs="Times New Roman"/>
                <w:color w:val="auto"/>
                <w:kern w:val="0"/>
                <w:sz w:val="21"/>
                <w:szCs w:val="21"/>
                <w:highlight w:val="none"/>
                <w:lang w:bidi="ar"/>
              </w:rPr>
              <w:t>mg</w:t>
            </w:r>
            <w:r>
              <w:rPr>
                <w:rFonts w:hint="default" w:ascii="Times New Roman" w:hAnsi="Times New Roman" w:eastAsia="宋体" w:cs="Times New Roman"/>
                <w:color w:val="auto"/>
                <w:sz w:val="21"/>
                <w:szCs w:val="21"/>
                <w:highlight w:val="none"/>
                <w:lang w:bidi="ar"/>
              </w:rPr>
              <w:t>/</w:t>
            </w:r>
            <w:r>
              <w:rPr>
                <w:rFonts w:hint="default" w:ascii="Times New Roman" w:hAnsi="Times New Roman" w:cs="Times New Roman"/>
                <w:color w:val="auto"/>
                <w:kern w:val="0"/>
                <w:sz w:val="21"/>
                <w:szCs w:val="21"/>
                <w:highlight w:val="none"/>
                <w:lang w:bidi="ar"/>
              </w:rPr>
              <w:t>L</w:t>
            </w:r>
            <w:r>
              <w:rPr>
                <w:rFonts w:hint="default" w:ascii="Times New Roman" w:hAnsi="Times New Roman" w:eastAsia="宋体" w:cs="Times New Roman"/>
                <w:color w:val="auto"/>
                <w:sz w:val="21"/>
                <w:szCs w:val="21"/>
                <w:highlight w:val="none"/>
                <w:lang w:bidi="ar"/>
              </w:rPr>
              <w:t xml:space="preserve">)   </w:t>
            </w:r>
            <w:r>
              <w:rPr>
                <w:rFonts w:hint="default" w:ascii="Times New Roman" w:hAnsi="Times New Roman" w:cs="Times New Roman"/>
                <w:color w:val="auto"/>
                <w:kern w:val="0"/>
                <w:sz w:val="21"/>
                <w:szCs w:val="21"/>
                <w:highlight w:val="none"/>
                <w:lang w:bidi="ar"/>
              </w:rPr>
              <w:t>≤</w:t>
            </w:r>
          </w:p>
        </w:tc>
        <w:tc>
          <w:tcPr>
            <w:tcW w:w="1101" w:type="pct"/>
            <w:tcBorders>
              <w:top w:val="single" w:color="000000" w:sz="4" w:space="0"/>
              <w:left w:val="single" w:color="000000" w:sz="4" w:space="0"/>
              <w:bottom w:val="single" w:color="000000" w:sz="4" w:space="0"/>
              <w:right w:val="single" w:color="000000" w:sz="4" w:space="0"/>
            </w:tcBorders>
            <w:vAlign w:val="center"/>
          </w:tcPr>
          <w:p w14:paraId="3D443F7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10 </w:t>
            </w:r>
          </w:p>
        </w:tc>
        <w:tc>
          <w:tcPr>
            <w:tcW w:w="1505" w:type="pct"/>
            <w:tcBorders>
              <w:top w:val="single" w:color="000000" w:sz="4" w:space="0"/>
              <w:left w:val="single" w:color="000000" w:sz="4" w:space="0"/>
              <w:bottom w:val="single" w:color="000000" w:sz="4" w:space="0"/>
              <w:right w:val="single" w:color="000000" w:sz="4" w:space="0"/>
            </w:tcBorders>
            <w:vAlign w:val="center"/>
          </w:tcPr>
          <w:p w14:paraId="7E4408F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10 </w:t>
            </w:r>
          </w:p>
        </w:tc>
      </w:tr>
      <w:tr w14:paraId="2AB8F87F">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4FA9F790">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6 </w:t>
            </w:r>
          </w:p>
        </w:tc>
        <w:tc>
          <w:tcPr>
            <w:tcW w:w="2105" w:type="pct"/>
            <w:tcBorders>
              <w:top w:val="single" w:color="000000" w:sz="4" w:space="0"/>
              <w:left w:val="single" w:color="000000" w:sz="4" w:space="0"/>
              <w:bottom w:val="single" w:color="000000" w:sz="4" w:space="0"/>
              <w:right w:val="single" w:color="000000" w:sz="4" w:space="0"/>
            </w:tcBorders>
            <w:vAlign w:val="center"/>
          </w:tcPr>
          <w:p w14:paraId="468B379D">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氨氮/ (</w:t>
            </w:r>
            <w:r>
              <w:rPr>
                <w:rFonts w:hint="default" w:ascii="Times New Roman" w:hAnsi="Times New Roman" w:cs="Times New Roman"/>
                <w:color w:val="auto"/>
                <w:sz w:val="21"/>
                <w:szCs w:val="21"/>
                <w:highlight w:val="none"/>
                <w:lang w:bidi="ar"/>
              </w:rPr>
              <w:t>mg</w:t>
            </w: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sz w:val="21"/>
                <w:szCs w:val="21"/>
                <w:highlight w:val="none"/>
                <w:lang w:bidi="ar"/>
              </w:rPr>
              <w:t>L</w:t>
            </w:r>
            <w:r>
              <w:rPr>
                <w:rFonts w:hint="default" w:ascii="Times New Roman" w:hAnsi="Times New Roman" w:cs="Times New Roman"/>
                <w:color w:val="auto"/>
                <w:kern w:val="0"/>
                <w:sz w:val="21"/>
                <w:szCs w:val="21"/>
                <w:highlight w:val="none"/>
                <w:lang w:bidi="ar"/>
              </w:rPr>
              <w:t xml:space="preserve">)                  </w:t>
            </w:r>
            <w:r>
              <w:rPr>
                <w:rFonts w:hint="default" w:ascii="Times New Roman" w:hAnsi="Times New Roman" w:cs="Times New Roman"/>
                <w:color w:val="auto"/>
                <w:kern w:val="0"/>
                <w:sz w:val="21"/>
                <w:szCs w:val="21"/>
                <w:highlight w:val="none"/>
                <w:lang w:val="en-US" w:eastAsia="zh-CN" w:bidi="ar"/>
              </w:rPr>
              <w:t xml:space="preserve"> </w:t>
            </w:r>
            <w:r>
              <w:rPr>
                <w:rFonts w:hint="default" w:ascii="Times New Roman" w:hAnsi="Times New Roman" w:cs="Times New Roman"/>
                <w:color w:val="auto"/>
                <w:kern w:val="0"/>
                <w:sz w:val="21"/>
                <w:szCs w:val="21"/>
                <w:highlight w:val="none"/>
                <w:lang w:bidi="ar"/>
              </w:rPr>
              <w:t xml:space="preserve"> </w:t>
            </w:r>
            <w:r>
              <w:rPr>
                <w:rFonts w:hint="default" w:ascii="Times New Roman" w:hAnsi="Times New Roman" w:cs="Times New Roman"/>
                <w:color w:val="auto"/>
                <w:sz w:val="21"/>
                <w:szCs w:val="21"/>
                <w:highlight w:val="none"/>
                <w:lang w:bidi="ar"/>
              </w:rPr>
              <w:t>≤</w:t>
            </w:r>
          </w:p>
        </w:tc>
        <w:tc>
          <w:tcPr>
            <w:tcW w:w="1101" w:type="pct"/>
            <w:tcBorders>
              <w:top w:val="single" w:color="000000" w:sz="4" w:space="0"/>
              <w:left w:val="single" w:color="000000" w:sz="4" w:space="0"/>
              <w:bottom w:val="single" w:color="000000" w:sz="4" w:space="0"/>
              <w:right w:val="single" w:color="000000" w:sz="4" w:space="0"/>
            </w:tcBorders>
            <w:vAlign w:val="center"/>
          </w:tcPr>
          <w:p w14:paraId="65E155E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5 </w:t>
            </w:r>
          </w:p>
        </w:tc>
        <w:tc>
          <w:tcPr>
            <w:tcW w:w="1505" w:type="pct"/>
            <w:tcBorders>
              <w:top w:val="single" w:color="000000" w:sz="4" w:space="0"/>
              <w:left w:val="single" w:color="000000" w:sz="4" w:space="0"/>
              <w:bottom w:val="single" w:color="000000" w:sz="4" w:space="0"/>
              <w:right w:val="single" w:color="000000" w:sz="4" w:space="0"/>
            </w:tcBorders>
            <w:vAlign w:val="center"/>
          </w:tcPr>
          <w:p w14:paraId="10A87C65">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8 </w:t>
            </w:r>
          </w:p>
        </w:tc>
      </w:tr>
      <w:tr w14:paraId="1BE0CCEF">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1521F6C2">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7 </w:t>
            </w:r>
          </w:p>
        </w:tc>
        <w:tc>
          <w:tcPr>
            <w:tcW w:w="2105" w:type="pct"/>
            <w:tcBorders>
              <w:top w:val="single" w:color="000000" w:sz="4" w:space="0"/>
              <w:left w:val="single" w:color="000000" w:sz="4" w:space="0"/>
              <w:bottom w:val="single" w:color="000000" w:sz="4" w:space="0"/>
              <w:right w:val="single" w:color="000000" w:sz="4" w:space="0"/>
            </w:tcBorders>
            <w:vAlign w:val="center"/>
          </w:tcPr>
          <w:p w14:paraId="5304230D">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阴离子表面活性剂/ (</w:t>
            </w:r>
            <w:r>
              <w:rPr>
                <w:rFonts w:hint="default" w:ascii="Times New Roman" w:hAnsi="Times New Roman" w:cs="Times New Roman"/>
                <w:color w:val="auto"/>
                <w:sz w:val="21"/>
                <w:szCs w:val="21"/>
                <w:highlight w:val="none"/>
                <w:lang w:bidi="ar"/>
              </w:rPr>
              <w:t>mg</w:t>
            </w: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sz w:val="21"/>
                <w:szCs w:val="21"/>
                <w:highlight w:val="none"/>
                <w:lang w:bidi="ar"/>
              </w:rPr>
              <w:t>L</w:t>
            </w:r>
            <w:r>
              <w:rPr>
                <w:rFonts w:hint="default" w:ascii="Times New Roman" w:hAnsi="Times New Roman" w:cs="Times New Roman"/>
                <w:color w:val="auto"/>
                <w:kern w:val="0"/>
                <w:sz w:val="21"/>
                <w:szCs w:val="21"/>
                <w:highlight w:val="none"/>
                <w:lang w:bidi="ar"/>
              </w:rPr>
              <w:t xml:space="preserve">)        </w:t>
            </w:r>
            <w:r>
              <w:rPr>
                <w:rFonts w:hint="default" w:ascii="Times New Roman" w:hAnsi="Times New Roman" w:cs="Times New Roman"/>
                <w:color w:val="auto"/>
                <w:sz w:val="21"/>
                <w:szCs w:val="21"/>
                <w:highlight w:val="none"/>
                <w:lang w:bidi="ar"/>
              </w:rPr>
              <w:t>≤</w:t>
            </w:r>
          </w:p>
        </w:tc>
        <w:tc>
          <w:tcPr>
            <w:tcW w:w="1101" w:type="pct"/>
            <w:tcBorders>
              <w:top w:val="single" w:color="000000" w:sz="4" w:space="0"/>
              <w:left w:val="single" w:color="000000" w:sz="4" w:space="0"/>
              <w:bottom w:val="single" w:color="000000" w:sz="4" w:space="0"/>
              <w:right w:val="single" w:color="000000" w:sz="4" w:space="0"/>
            </w:tcBorders>
            <w:vAlign w:val="center"/>
          </w:tcPr>
          <w:p w14:paraId="60C19AD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w:t>
            </w:r>
            <w:r>
              <w:rPr>
                <w:rFonts w:hint="default" w:ascii="Times New Roman" w:hAnsi="Times New Roman" w:cs="Times New Roman"/>
                <w:color w:val="auto"/>
                <w:highlight w:val="none"/>
                <w:lang w:bidi="ar"/>
              </w:rPr>
              <w:t>.</w:t>
            </w:r>
            <w:r>
              <w:rPr>
                <w:rFonts w:hint="default" w:ascii="Times New Roman" w:hAnsi="Times New Roman" w:cs="Times New Roman"/>
                <w:color w:val="auto"/>
                <w:kern w:val="0"/>
                <w:sz w:val="21"/>
                <w:szCs w:val="21"/>
                <w:highlight w:val="none"/>
                <w:lang w:bidi="ar"/>
              </w:rPr>
              <w:t>5</w:t>
            </w:r>
          </w:p>
        </w:tc>
        <w:tc>
          <w:tcPr>
            <w:tcW w:w="1505" w:type="pct"/>
            <w:tcBorders>
              <w:top w:val="single" w:color="000000" w:sz="4" w:space="0"/>
              <w:left w:val="single" w:color="000000" w:sz="4" w:space="0"/>
              <w:bottom w:val="single" w:color="000000" w:sz="4" w:space="0"/>
              <w:right w:val="single" w:color="000000" w:sz="4" w:space="0"/>
            </w:tcBorders>
            <w:vAlign w:val="center"/>
          </w:tcPr>
          <w:p w14:paraId="7E5EF4C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w:t>
            </w:r>
            <w:r>
              <w:rPr>
                <w:rFonts w:hint="default" w:ascii="Times New Roman" w:hAnsi="Times New Roman" w:cs="Times New Roman"/>
                <w:color w:val="auto"/>
                <w:highlight w:val="none"/>
                <w:lang w:bidi="ar"/>
              </w:rPr>
              <w:t>.</w:t>
            </w:r>
            <w:r>
              <w:rPr>
                <w:rFonts w:hint="default" w:ascii="Times New Roman" w:hAnsi="Times New Roman" w:cs="Times New Roman"/>
                <w:color w:val="auto"/>
                <w:kern w:val="0"/>
                <w:sz w:val="21"/>
                <w:szCs w:val="21"/>
                <w:highlight w:val="none"/>
                <w:lang w:bidi="ar"/>
              </w:rPr>
              <w:t>5</w:t>
            </w:r>
          </w:p>
        </w:tc>
      </w:tr>
      <w:tr w14:paraId="09747B4F">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1A22BC7A">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8 </w:t>
            </w:r>
          </w:p>
        </w:tc>
        <w:tc>
          <w:tcPr>
            <w:tcW w:w="2105" w:type="pct"/>
            <w:tcBorders>
              <w:top w:val="single" w:color="000000" w:sz="4" w:space="0"/>
              <w:left w:val="single" w:color="000000" w:sz="4" w:space="0"/>
              <w:bottom w:val="single" w:color="000000" w:sz="4" w:space="0"/>
              <w:right w:val="single" w:color="000000" w:sz="4" w:space="0"/>
            </w:tcBorders>
            <w:vAlign w:val="center"/>
          </w:tcPr>
          <w:p w14:paraId="41A54B05">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铁 </w:t>
            </w:r>
            <w:r>
              <w:rPr>
                <w:rFonts w:hint="default" w:ascii="Times New Roman" w:hAnsi="Times New Roman" w:cs="Times New Roman"/>
                <w:color w:val="auto"/>
                <w:sz w:val="21"/>
                <w:szCs w:val="21"/>
                <w:highlight w:val="none"/>
                <w:vertAlign w:val="baseline"/>
                <w:lang w:bidi="ar"/>
              </w:rPr>
              <w:t>/(</w:t>
            </w:r>
            <w:r>
              <w:rPr>
                <w:rFonts w:hint="default" w:ascii="Times New Roman" w:hAnsi="Times New Roman" w:cs="Times New Roman"/>
                <w:color w:val="auto"/>
                <w:highlight w:val="none"/>
                <w:vertAlign w:val="baseline"/>
                <w:lang w:bidi="ar"/>
              </w:rPr>
              <w:t>mg</w:t>
            </w:r>
            <w:r>
              <w:rPr>
                <w:rFonts w:hint="default" w:ascii="Times New Roman" w:hAnsi="Times New Roman" w:cs="Times New Roman"/>
                <w:color w:val="auto"/>
                <w:sz w:val="21"/>
                <w:szCs w:val="21"/>
                <w:highlight w:val="none"/>
                <w:vertAlign w:val="baseline"/>
                <w:lang w:bidi="ar"/>
              </w:rPr>
              <w:t>/</w:t>
            </w:r>
            <w:r>
              <w:rPr>
                <w:rFonts w:hint="default" w:ascii="Times New Roman" w:hAnsi="Times New Roman" w:cs="Times New Roman"/>
                <w:color w:val="auto"/>
                <w:highlight w:val="none"/>
                <w:vertAlign w:val="baseline"/>
                <w:lang w:bidi="ar"/>
              </w:rPr>
              <w:t>L</w:t>
            </w:r>
            <w:r>
              <w:rPr>
                <w:rFonts w:hint="default" w:ascii="Times New Roman" w:hAnsi="Times New Roman" w:cs="Times New Roman"/>
                <w:color w:val="auto"/>
                <w:sz w:val="21"/>
                <w:szCs w:val="21"/>
                <w:highlight w:val="none"/>
                <w:vertAlign w:val="baseline"/>
                <w:lang w:bidi="ar"/>
              </w:rPr>
              <w:t xml:space="preserve">)                     </w:t>
            </w:r>
            <w:r>
              <w:rPr>
                <w:rFonts w:hint="default" w:ascii="Times New Roman" w:hAnsi="Times New Roman" w:cs="Times New Roman"/>
                <w:color w:val="auto"/>
                <w:highlight w:val="none"/>
                <w:vertAlign w:val="baseline"/>
                <w:lang w:bidi="ar"/>
              </w:rPr>
              <w:t>≤</w:t>
            </w:r>
          </w:p>
        </w:tc>
        <w:tc>
          <w:tcPr>
            <w:tcW w:w="1101" w:type="pct"/>
            <w:tcBorders>
              <w:top w:val="single" w:color="000000" w:sz="4" w:space="0"/>
              <w:left w:val="single" w:color="000000" w:sz="4" w:space="0"/>
              <w:bottom w:val="single" w:color="000000" w:sz="4" w:space="0"/>
              <w:right w:val="single" w:color="000000" w:sz="4" w:space="0"/>
            </w:tcBorders>
            <w:vAlign w:val="center"/>
          </w:tcPr>
          <w:p w14:paraId="7D3BC93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w:t>
            </w:r>
            <w:r>
              <w:rPr>
                <w:rFonts w:hint="default" w:ascii="Times New Roman" w:hAnsi="Times New Roman" w:cs="Times New Roman"/>
                <w:color w:val="auto"/>
                <w:highlight w:val="none"/>
                <w:lang w:bidi="ar"/>
              </w:rPr>
              <w:t>.</w:t>
            </w:r>
            <w:r>
              <w:rPr>
                <w:rFonts w:hint="default" w:ascii="Times New Roman" w:hAnsi="Times New Roman" w:cs="Times New Roman"/>
                <w:color w:val="auto"/>
                <w:kern w:val="0"/>
                <w:sz w:val="21"/>
                <w:szCs w:val="21"/>
                <w:highlight w:val="none"/>
                <w:lang w:bidi="ar"/>
              </w:rPr>
              <w:t>3</w:t>
            </w:r>
          </w:p>
        </w:tc>
        <w:tc>
          <w:tcPr>
            <w:tcW w:w="1505" w:type="pct"/>
            <w:tcBorders>
              <w:top w:val="single" w:color="000000" w:sz="4" w:space="0"/>
              <w:left w:val="single" w:color="000000" w:sz="4" w:space="0"/>
              <w:bottom w:val="single" w:color="000000" w:sz="4" w:space="0"/>
              <w:right w:val="single" w:color="000000" w:sz="4" w:space="0"/>
            </w:tcBorders>
            <w:vAlign w:val="center"/>
          </w:tcPr>
          <w:p w14:paraId="79A3515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p>
        </w:tc>
      </w:tr>
      <w:tr w14:paraId="73B87C65">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54AB2D2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9 </w:t>
            </w:r>
          </w:p>
        </w:tc>
        <w:tc>
          <w:tcPr>
            <w:tcW w:w="2105" w:type="pct"/>
            <w:tcBorders>
              <w:top w:val="single" w:color="000000" w:sz="4" w:space="0"/>
              <w:left w:val="single" w:color="000000" w:sz="4" w:space="0"/>
              <w:bottom w:val="single" w:color="000000" w:sz="4" w:space="0"/>
              <w:right w:val="single" w:color="000000" w:sz="4" w:space="0"/>
            </w:tcBorders>
            <w:vAlign w:val="center"/>
          </w:tcPr>
          <w:p w14:paraId="45F159B6">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锰 </w:t>
            </w:r>
            <w:r>
              <w:rPr>
                <w:rFonts w:hint="default" w:ascii="Times New Roman" w:hAnsi="Times New Roman" w:cs="Times New Roman"/>
                <w:color w:val="auto"/>
                <w:sz w:val="21"/>
                <w:szCs w:val="21"/>
                <w:highlight w:val="none"/>
                <w:vertAlign w:val="baseline"/>
                <w:lang w:bidi="ar"/>
              </w:rPr>
              <w:t>/(</w:t>
            </w:r>
            <w:r>
              <w:rPr>
                <w:rFonts w:hint="default" w:ascii="Times New Roman" w:hAnsi="Times New Roman" w:cs="Times New Roman"/>
                <w:color w:val="auto"/>
                <w:highlight w:val="none"/>
                <w:vertAlign w:val="baseline"/>
                <w:lang w:bidi="ar"/>
              </w:rPr>
              <w:t>mg</w:t>
            </w:r>
            <w:r>
              <w:rPr>
                <w:rFonts w:hint="default" w:ascii="Times New Roman" w:hAnsi="Times New Roman" w:cs="Times New Roman"/>
                <w:color w:val="auto"/>
                <w:sz w:val="21"/>
                <w:szCs w:val="21"/>
                <w:highlight w:val="none"/>
                <w:vertAlign w:val="baseline"/>
                <w:lang w:bidi="ar"/>
              </w:rPr>
              <w:t>/</w:t>
            </w:r>
            <w:r>
              <w:rPr>
                <w:rFonts w:hint="default" w:ascii="Times New Roman" w:hAnsi="Times New Roman" w:cs="Times New Roman"/>
                <w:color w:val="auto"/>
                <w:highlight w:val="none"/>
                <w:vertAlign w:val="baseline"/>
                <w:lang w:bidi="ar"/>
              </w:rPr>
              <w:t>L</w:t>
            </w:r>
            <w:r>
              <w:rPr>
                <w:rFonts w:hint="default" w:ascii="Times New Roman" w:hAnsi="Times New Roman" w:cs="Times New Roman"/>
                <w:color w:val="auto"/>
                <w:sz w:val="21"/>
                <w:szCs w:val="21"/>
                <w:highlight w:val="none"/>
                <w:vertAlign w:val="baseline"/>
                <w:lang w:bidi="ar"/>
              </w:rPr>
              <w:t xml:space="preserve">)                     </w:t>
            </w:r>
            <w:r>
              <w:rPr>
                <w:rFonts w:hint="default" w:ascii="Times New Roman" w:hAnsi="Times New Roman" w:cs="Times New Roman"/>
                <w:color w:val="auto"/>
                <w:highlight w:val="none"/>
                <w:vertAlign w:val="baseline"/>
                <w:lang w:bidi="ar"/>
              </w:rPr>
              <w:t>≤</w:t>
            </w:r>
          </w:p>
        </w:tc>
        <w:tc>
          <w:tcPr>
            <w:tcW w:w="1101" w:type="pct"/>
            <w:tcBorders>
              <w:top w:val="single" w:color="000000" w:sz="4" w:space="0"/>
              <w:left w:val="single" w:color="000000" w:sz="4" w:space="0"/>
              <w:bottom w:val="single" w:color="000000" w:sz="4" w:space="0"/>
              <w:right w:val="single" w:color="000000" w:sz="4" w:space="0"/>
            </w:tcBorders>
            <w:vAlign w:val="center"/>
          </w:tcPr>
          <w:p w14:paraId="570B7BB3">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0</w:t>
            </w:r>
            <w:r>
              <w:rPr>
                <w:rFonts w:hint="default" w:ascii="Times New Roman" w:hAnsi="Times New Roman" w:cs="Times New Roman"/>
                <w:color w:val="auto"/>
                <w:highlight w:val="none"/>
                <w:lang w:bidi="ar"/>
              </w:rPr>
              <w:t>.</w:t>
            </w:r>
            <w:r>
              <w:rPr>
                <w:rFonts w:hint="default" w:ascii="Times New Roman" w:hAnsi="Times New Roman" w:cs="Times New Roman"/>
                <w:color w:val="auto"/>
                <w:kern w:val="0"/>
                <w:sz w:val="21"/>
                <w:szCs w:val="21"/>
                <w:highlight w:val="none"/>
                <w:lang w:bidi="ar"/>
              </w:rPr>
              <w:t>1</w:t>
            </w:r>
          </w:p>
        </w:tc>
        <w:tc>
          <w:tcPr>
            <w:tcW w:w="1505" w:type="pct"/>
            <w:tcBorders>
              <w:top w:val="single" w:color="000000" w:sz="4" w:space="0"/>
              <w:left w:val="single" w:color="000000" w:sz="4" w:space="0"/>
              <w:bottom w:val="single" w:color="000000" w:sz="4" w:space="0"/>
              <w:right w:val="single" w:color="000000" w:sz="4" w:space="0"/>
            </w:tcBorders>
            <w:vAlign w:val="center"/>
          </w:tcPr>
          <w:p w14:paraId="6E95610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w:t>
            </w:r>
          </w:p>
        </w:tc>
      </w:tr>
      <w:tr w14:paraId="2BE8533B">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07891EB7">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10 </w:t>
            </w:r>
          </w:p>
        </w:tc>
        <w:tc>
          <w:tcPr>
            <w:tcW w:w="2105" w:type="pct"/>
            <w:tcBorders>
              <w:top w:val="single" w:color="000000" w:sz="4" w:space="0"/>
              <w:left w:val="single" w:color="000000" w:sz="4" w:space="0"/>
              <w:bottom w:val="single" w:color="000000" w:sz="4" w:space="0"/>
              <w:right w:val="single" w:color="000000" w:sz="4" w:space="0"/>
            </w:tcBorders>
            <w:vAlign w:val="center"/>
          </w:tcPr>
          <w:p w14:paraId="326BF4E0">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溶解性总固体/ (</w:t>
            </w:r>
            <w:r>
              <w:rPr>
                <w:rFonts w:hint="default" w:ascii="Times New Roman" w:hAnsi="Times New Roman" w:cs="Times New Roman"/>
                <w:color w:val="auto"/>
                <w:sz w:val="21"/>
                <w:szCs w:val="21"/>
                <w:highlight w:val="none"/>
                <w:lang w:bidi="ar"/>
              </w:rPr>
              <w:t>mg</w:t>
            </w: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sz w:val="21"/>
                <w:szCs w:val="21"/>
                <w:highlight w:val="none"/>
                <w:lang w:bidi="ar"/>
              </w:rPr>
              <w:t>L</w:t>
            </w:r>
            <w:r>
              <w:rPr>
                <w:rFonts w:hint="default" w:ascii="Times New Roman" w:hAnsi="Times New Roman" w:cs="Times New Roman"/>
                <w:color w:val="auto"/>
                <w:kern w:val="0"/>
                <w:sz w:val="21"/>
                <w:szCs w:val="21"/>
                <w:highlight w:val="none"/>
                <w:lang w:bidi="ar"/>
              </w:rPr>
              <w:t xml:space="preserve">)            </w:t>
            </w:r>
            <w:r>
              <w:rPr>
                <w:rFonts w:hint="default" w:ascii="Times New Roman" w:hAnsi="Times New Roman" w:cs="Times New Roman"/>
                <w:color w:val="auto"/>
                <w:sz w:val="21"/>
                <w:szCs w:val="21"/>
                <w:highlight w:val="none"/>
                <w:lang w:bidi="ar"/>
              </w:rPr>
              <w:t>≤</w:t>
            </w:r>
          </w:p>
        </w:tc>
        <w:tc>
          <w:tcPr>
            <w:tcW w:w="1101" w:type="pct"/>
            <w:tcBorders>
              <w:top w:val="single" w:color="000000" w:sz="4" w:space="0"/>
              <w:left w:val="single" w:color="000000" w:sz="4" w:space="0"/>
              <w:bottom w:val="single" w:color="000000" w:sz="4" w:space="0"/>
              <w:right w:val="single" w:color="000000" w:sz="4" w:space="0"/>
            </w:tcBorders>
            <w:vAlign w:val="center"/>
          </w:tcPr>
          <w:p w14:paraId="729DF72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1000 (2000) </w:t>
            </w:r>
            <w:r>
              <w:rPr>
                <w:rFonts w:hint="default" w:ascii="Times New Roman" w:hAnsi="Times New Roman" w:cs="Times New Roman"/>
                <w:color w:val="auto"/>
                <w:sz w:val="21"/>
                <w:szCs w:val="21"/>
                <w:highlight w:val="none"/>
                <w:lang w:bidi="ar"/>
              </w:rPr>
              <w:t>a</w:t>
            </w:r>
          </w:p>
        </w:tc>
        <w:tc>
          <w:tcPr>
            <w:tcW w:w="1505" w:type="pct"/>
            <w:tcBorders>
              <w:top w:val="single" w:color="000000" w:sz="4" w:space="0"/>
              <w:left w:val="single" w:color="000000" w:sz="4" w:space="0"/>
              <w:bottom w:val="single" w:color="000000" w:sz="4" w:space="0"/>
              <w:right w:val="single" w:color="000000" w:sz="4" w:space="0"/>
            </w:tcBorders>
            <w:vAlign w:val="center"/>
          </w:tcPr>
          <w:p w14:paraId="311FCC2B">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1000 (2000) </w:t>
            </w:r>
            <w:r>
              <w:rPr>
                <w:rFonts w:hint="default" w:ascii="Times New Roman" w:hAnsi="Times New Roman" w:cs="Times New Roman"/>
                <w:color w:val="auto"/>
                <w:sz w:val="21"/>
                <w:szCs w:val="21"/>
                <w:highlight w:val="none"/>
                <w:lang w:bidi="ar"/>
              </w:rPr>
              <w:t>a</w:t>
            </w:r>
          </w:p>
        </w:tc>
      </w:tr>
      <w:tr w14:paraId="1BD7D483">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0ACDCE76">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11 </w:t>
            </w:r>
          </w:p>
        </w:tc>
        <w:tc>
          <w:tcPr>
            <w:tcW w:w="2105" w:type="pct"/>
            <w:tcBorders>
              <w:top w:val="single" w:color="000000" w:sz="4" w:space="0"/>
              <w:left w:val="single" w:color="000000" w:sz="4" w:space="0"/>
              <w:bottom w:val="single" w:color="000000" w:sz="4" w:space="0"/>
              <w:right w:val="single" w:color="000000" w:sz="4" w:space="0"/>
            </w:tcBorders>
            <w:vAlign w:val="center"/>
          </w:tcPr>
          <w:p w14:paraId="1476380C">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溶解氧/ (</w:t>
            </w:r>
            <w:r>
              <w:rPr>
                <w:rFonts w:hint="default" w:ascii="Times New Roman" w:hAnsi="Times New Roman" w:cs="Times New Roman"/>
                <w:color w:val="auto"/>
                <w:sz w:val="21"/>
                <w:szCs w:val="21"/>
                <w:highlight w:val="none"/>
                <w:lang w:bidi="ar"/>
              </w:rPr>
              <w:t>mg</w:t>
            </w:r>
            <w:r>
              <w:rPr>
                <w:rFonts w:hint="default" w:ascii="Times New Roman" w:hAnsi="Times New Roman" w:cs="Times New Roman"/>
                <w:color w:val="auto"/>
                <w:kern w:val="0"/>
                <w:sz w:val="21"/>
                <w:szCs w:val="21"/>
                <w:highlight w:val="none"/>
                <w:lang w:bidi="ar"/>
              </w:rPr>
              <w:t>/</w:t>
            </w:r>
            <w:r>
              <w:rPr>
                <w:rFonts w:hint="default" w:ascii="Times New Roman" w:hAnsi="Times New Roman" w:cs="Times New Roman"/>
                <w:color w:val="auto"/>
                <w:sz w:val="21"/>
                <w:szCs w:val="21"/>
                <w:highlight w:val="none"/>
                <w:lang w:bidi="ar"/>
              </w:rPr>
              <w:t>L</w:t>
            </w:r>
            <w:r>
              <w:rPr>
                <w:rFonts w:hint="default" w:ascii="Times New Roman" w:hAnsi="Times New Roman" w:cs="Times New Roman"/>
                <w:color w:val="auto"/>
                <w:kern w:val="0"/>
                <w:sz w:val="21"/>
                <w:szCs w:val="21"/>
                <w:highlight w:val="none"/>
                <w:lang w:bidi="ar"/>
              </w:rPr>
              <w:t xml:space="preserve">)                  </w:t>
            </w:r>
            <w:r>
              <w:rPr>
                <w:rFonts w:hint="default" w:ascii="Times New Roman" w:hAnsi="Times New Roman" w:cs="Times New Roman"/>
                <w:color w:val="auto"/>
                <w:sz w:val="21"/>
                <w:szCs w:val="21"/>
                <w:highlight w:val="none"/>
                <w:lang w:bidi="ar"/>
              </w:rPr>
              <w:t>≥</w:t>
            </w:r>
          </w:p>
        </w:tc>
        <w:tc>
          <w:tcPr>
            <w:tcW w:w="1101" w:type="pct"/>
            <w:tcBorders>
              <w:top w:val="single" w:color="000000" w:sz="4" w:space="0"/>
              <w:left w:val="single" w:color="000000" w:sz="4" w:space="0"/>
              <w:bottom w:val="single" w:color="000000" w:sz="4" w:space="0"/>
              <w:right w:val="single" w:color="000000" w:sz="4" w:space="0"/>
            </w:tcBorders>
            <w:vAlign w:val="center"/>
          </w:tcPr>
          <w:p w14:paraId="1650DA2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r>
              <w:rPr>
                <w:rFonts w:hint="default" w:ascii="Times New Roman" w:hAnsi="Times New Roman" w:cs="Times New Roman"/>
                <w:color w:val="auto"/>
                <w:highlight w:val="none"/>
                <w:lang w:bidi="ar"/>
              </w:rPr>
              <w:t>.</w:t>
            </w:r>
            <w:r>
              <w:rPr>
                <w:rFonts w:hint="default" w:ascii="Times New Roman" w:hAnsi="Times New Roman" w:cs="Times New Roman"/>
                <w:color w:val="auto"/>
                <w:kern w:val="0"/>
                <w:sz w:val="21"/>
                <w:szCs w:val="21"/>
                <w:highlight w:val="none"/>
                <w:lang w:bidi="ar"/>
              </w:rPr>
              <w:t>0</w:t>
            </w:r>
          </w:p>
        </w:tc>
        <w:tc>
          <w:tcPr>
            <w:tcW w:w="1505" w:type="pct"/>
            <w:tcBorders>
              <w:top w:val="single" w:color="000000" w:sz="4" w:space="0"/>
              <w:left w:val="single" w:color="000000" w:sz="4" w:space="0"/>
              <w:bottom w:val="single" w:color="000000" w:sz="4" w:space="0"/>
              <w:right w:val="single" w:color="000000" w:sz="4" w:space="0"/>
            </w:tcBorders>
            <w:vAlign w:val="center"/>
          </w:tcPr>
          <w:p w14:paraId="36CE1A68">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2</w:t>
            </w:r>
            <w:r>
              <w:rPr>
                <w:rFonts w:hint="default" w:ascii="Times New Roman" w:hAnsi="Times New Roman" w:cs="Times New Roman"/>
                <w:color w:val="auto"/>
                <w:highlight w:val="none"/>
                <w:lang w:bidi="ar"/>
              </w:rPr>
              <w:t>.</w:t>
            </w:r>
            <w:r>
              <w:rPr>
                <w:rFonts w:hint="default" w:ascii="Times New Roman" w:hAnsi="Times New Roman" w:cs="Times New Roman"/>
                <w:color w:val="auto"/>
                <w:kern w:val="0"/>
                <w:sz w:val="21"/>
                <w:szCs w:val="21"/>
                <w:highlight w:val="none"/>
                <w:lang w:bidi="ar"/>
              </w:rPr>
              <w:t>0</w:t>
            </w:r>
          </w:p>
        </w:tc>
      </w:tr>
      <w:tr w14:paraId="6912DC93">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42005911">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12 </w:t>
            </w:r>
          </w:p>
        </w:tc>
        <w:tc>
          <w:tcPr>
            <w:tcW w:w="2105" w:type="pct"/>
            <w:tcBorders>
              <w:top w:val="single" w:color="000000" w:sz="4" w:space="0"/>
              <w:left w:val="single" w:color="000000" w:sz="4" w:space="0"/>
              <w:bottom w:val="single" w:color="000000" w:sz="4" w:space="0"/>
              <w:right w:val="single" w:color="000000" w:sz="4" w:space="0"/>
            </w:tcBorders>
            <w:vAlign w:val="center"/>
          </w:tcPr>
          <w:p w14:paraId="2265B2DA">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总氯/ (mg/L)                    ≥</w:t>
            </w:r>
          </w:p>
        </w:tc>
        <w:tc>
          <w:tcPr>
            <w:tcW w:w="1101" w:type="pct"/>
            <w:tcBorders>
              <w:top w:val="single" w:color="000000" w:sz="4" w:space="0"/>
              <w:left w:val="single" w:color="000000" w:sz="4" w:space="0"/>
              <w:bottom w:val="single" w:color="000000" w:sz="4" w:space="0"/>
              <w:right w:val="single" w:color="000000" w:sz="4" w:space="0"/>
            </w:tcBorders>
            <w:vAlign w:val="center"/>
          </w:tcPr>
          <w:p w14:paraId="328B0839">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1.0（出厂），0.2（管网末端）</w:t>
            </w:r>
          </w:p>
        </w:tc>
        <w:tc>
          <w:tcPr>
            <w:tcW w:w="1505" w:type="pct"/>
            <w:tcBorders>
              <w:top w:val="single" w:color="000000" w:sz="4" w:space="0"/>
              <w:left w:val="single" w:color="000000" w:sz="4" w:space="0"/>
              <w:bottom w:val="single" w:color="000000" w:sz="4" w:space="0"/>
              <w:right w:val="single" w:color="000000" w:sz="4" w:space="0"/>
            </w:tcBorders>
            <w:vAlign w:val="center"/>
          </w:tcPr>
          <w:p w14:paraId="1AC740E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1.0（出厂），0.2b（管网末端）</w:t>
            </w:r>
          </w:p>
        </w:tc>
      </w:tr>
      <w:tr w14:paraId="06A6E9FB">
        <w:tblPrEx>
          <w:tblCellMar>
            <w:top w:w="0" w:type="dxa"/>
            <w:left w:w="108" w:type="dxa"/>
            <w:bottom w:w="0" w:type="dxa"/>
            <w:right w:w="108" w:type="dxa"/>
          </w:tblCellMar>
        </w:tblPrEx>
        <w:trPr>
          <w:trHeight w:val="340" w:hRule="atLeast"/>
        </w:trPr>
        <w:tc>
          <w:tcPr>
            <w:tcW w:w="289" w:type="pct"/>
            <w:tcBorders>
              <w:top w:val="single" w:color="000000" w:sz="4" w:space="0"/>
              <w:left w:val="single" w:color="000000" w:sz="4" w:space="0"/>
              <w:bottom w:val="single" w:color="000000" w:sz="4" w:space="0"/>
              <w:right w:val="single" w:color="000000" w:sz="4" w:space="0"/>
            </w:tcBorders>
            <w:vAlign w:val="center"/>
          </w:tcPr>
          <w:p w14:paraId="13A4E5BF">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 xml:space="preserve">13 </w:t>
            </w:r>
          </w:p>
        </w:tc>
        <w:tc>
          <w:tcPr>
            <w:tcW w:w="2105" w:type="pct"/>
            <w:tcBorders>
              <w:top w:val="single" w:color="000000" w:sz="4" w:space="0"/>
              <w:left w:val="single" w:color="000000" w:sz="4" w:space="0"/>
              <w:bottom w:val="single" w:color="000000" w:sz="4" w:space="0"/>
              <w:right w:val="single" w:color="000000" w:sz="4" w:space="0"/>
            </w:tcBorders>
            <w:vAlign w:val="center"/>
          </w:tcPr>
          <w:p w14:paraId="380E8AE8">
            <w:pPr>
              <w:widowControl/>
              <w:spacing w:line="240" w:lineRule="auto"/>
              <w:jc w:val="left"/>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大肠埃希氏菌</w:t>
            </w:r>
            <w:r>
              <w:rPr>
                <w:rFonts w:hint="default" w:ascii="Times New Roman" w:hAnsi="Times New Roman" w:cs="Times New Roman"/>
                <w:color w:val="auto"/>
                <w:sz w:val="21"/>
                <w:szCs w:val="21"/>
                <w:highlight w:val="none"/>
                <w:vertAlign w:val="baseline"/>
                <w:lang w:bidi="ar"/>
              </w:rPr>
              <w:t>/(</w:t>
            </w:r>
            <w:r>
              <w:rPr>
                <w:rFonts w:hint="default" w:ascii="Times New Roman" w:hAnsi="Times New Roman" w:eastAsia="宋体" w:cs="Times New Roman"/>
                <w:color w:val="auto"/>
                <w:sz w:val="21"/>
                <w:szCs w:val="21"/>
                <w:highlight w:val="none"/>
                <w:lang w:bidi="ar"/>
              </w:rPr>
              <w:t>MPN</w:t>
            </w:r>
            <w:r>
              <w:rPr>
                <w:rFonts w:hint="default" w:ascii="Times New Roman" w:hAnsi="Times New Roman" w:cs="Times New Roman"/>
                <w:color w:val="auto"/>
                <w:sz w:val="21"/>
                <w:szCs w:val="21"/>
                <w:highlight w:val="none"/>
                <w:vertAlign w:val="baseline"/>
                <w:lang w:bidi="ar"/>
              </w:rPr>
              <w:t>/</w:t>
            </w:r>
            <w:r>
              <w:rPr>
                <w:rFonts w:hint="default" w:ascii="Times New Roman" w:hAnsi="Times New Roman" w:eastAsia="宋体" w:cs="Times New Roman"/>
                <w:color w:val="auto"/>
                <w:sz w:val="21"/>
                <w:szCs w:val="21"/>
                <w:highlight w:val="none"/>
                <w:lang w:bidi="ar"/>
              </w:rPr>
              <w:t>100 mL</w:t>
            </w:r>
            <w:r>
              <w:rPr>
                <w:rFonts w:hint="default" w:ascii="Times New Roman" w:hAnsi="Times New Roman" w:cs="Times New Roman"/>
                <w:color w:val="auto"/>
                <w:kern w:val="0"/>
                <w:sz w:val="21"/>
                <w:szCs w:val="21"/>
                <w:highlight w:val="none"/>
                <w:lang w:bidi="ar"/>
              </w:rPr>
              <w:t>或</w:t>
            </w:r>
            <w:r>
              <w:rPr>
                <w:rFonts w:hint="default" w:ascii="Times New Roman" w:hAnsi="Times New Roman" w:eastAsia="宋体" w:cs="Times New Roman"/>
                <w:color w:val="auto"/>
                <w:sz w:val="21"/>
                <w:szCs w:val="21"/>
                <w:highlight w:val="none"/>
                <w:lang w:bidi="ar"/>
              </w:rPr>
              <w:t>CFU</w:t>
            </w:r>
            <w:r>
              <w:rPr>
                <w:rFonts w:hint="default" w:ascii="Times New Roman" w:hAnsi="Times New Roman" w:cs="Times New Roman"/>
                <w:color w:val="auto"/>
                <w:sz w:val="21"/>
                <w:szCs w:val="21"/>
                <w:highlight w:val="none"/>
                <w:vertAlign w:val="baseline"/>
                <w:lang w:bidi="ar"/>
              </w:rPr>
              <w:t>/</w:t>
            </w:r>
            <w:r>
              <w:rPr>
                <w:rFonts w:hint="default" w:ascii="Times New Roman" w:hAnsi="Times New Roman" w:eastAsia="宋体" w:cs="Times New Roman"/>
                <w:color w:val="auto"/>
                <w:sz w:val="21"/>
                <w:szCs w:val="21"/>
                <w:highlight w:val="none"/>
                <w:lang w:bidi="ar"/>
              </w:rPr>
              <w:t>100 mL</w:t>
            </w:r>
            <w:r>
              <w:rPr>
                <w:rFonts w:hint="default" w:ascii="Times New Roman" w:hAnsi="Times New Roman" w:cs="Times New Roman"/>
                <w:color w:val="auto"/>
                <w:sz w:val="21"/>
                <w:szCs w:val="21"/>
                <w:highlight w:val="none"/>
                <w:vertAlign w:val="baseline"/>
                <w:lang w:bidi="ar"/>
              </w:rPr>
              <w:t>)</w:t>
            </w:r>
          </w:p>
        </w:tc>
        <w:tc>
          <w:tcPr>
            <w:tcW w:w="1101" w:type="pct"/>
            <w:tcBorders>
              <w:top w:val="single" w:color="000000" w:sz="4" w:space="0"/>
              <w:left w:val="single" w:color="000000" w:sz="4" w:space="0"/>
              <w:bottom w:val="single" w:color="000000" w:sz="4" w:space="0"/>
              <w:right w:val="single" w:color="000000" w:sz="4" w:space="0"/>
            </w:tcBorders>
            <w:vAlign w:val="center"/>
          </w:tcPr>
          <w:p w14:paraId="20F3BACD">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无</w:t>
            </w:r>
          </w:p>
        </w:tc>
        <w:tc>
          <w:tcPr>
            <w:tcW w:w="1505" w:type="pct"/>
            <w:tcBorders>
              <w:top w:val="single" w:color="000000" w:sz="4" w:space="0"/>
              <w:left w:val="single" w:color="000000" w:sz="4" w:space="0"/>
              <w:bottom w:val="single" w:color="000000" w:sz="4" w:space="0"/>
              <w:right w:val="single" w:color="000000" w:sz="4" w:space="0"/>
            </w:tcBorders>
            <w:vAlign w:val="center"/>
          </w:tcPr>
          <w:p w14:paraId="4152201E">
            <w:pPr>
              <w:widowControl/>
              <w:spacing w:line="240" w:lineRule="auto"/>
              <w:jc w:val="center"/>
              <w:textAlignment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kern w:val="0"/>
                <w:sz w:val="21"/>
                <w:szCs w:val="21"/>
                <w:highlight w:val="none"/>
                <w:lang w:bidi="ar"/>
              </w:rPr>
              <w:t>无</w:t>
            </w:r>
          </w:p>
        </w:tc>
      </w:tr>
    </w:tbl>
    <w:p w14:paraId="4D119EB3">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 xml:space="preserve">  城市杂用水选择性控制项目及限值</w:t>
      </w:r>
    </w:p>
    <w:tbl>
      <w:tblPr>
        <w:tblStyle w:val="22"/>
        <w:tblW w:w="4999" w:type="pct"/>
        <w:tblInd w:w="0" w:type="dxa"/>
        <w:tblLayout w:type="autofit"/>
        <w:tblCellMar>
          <w:top w:w="0" w:type="dxa"/>
          <w:left w:w="108" w:type="dxa"/>
          <w:bottom w:w="0" w:type="dxa"/>
          <w:right w:w="108" w:type="dxa"/>
        </w:tblCellMar>
      </w:tblPr>
      <w:tblGrid>
        <w:gridCol w:w="1414"/>
        <w:gridCol w:w="3356"/>
        <w:gridCol w:w="3750"/>
      </w:tblGrid>
      <w:tr w14:paraId="7B5F8B68">
        <w:tblPrEx>
          <w:tblCellMar>
            <w:top w:w="0" w:type="dxa"/>
            <w:left w:w="108" w:type="dxa"/>
            <w:bottom w:w="0" w:type="dxa"/>
            <w:right w:w="108" w:type="dxa"/>
          </w:tblCellMar>
        </w:tblPrEx>
        <w:trPr>
          <w:trHeight w:val="340" w:hRule="atLeast"/>
        </w:trPr>
        <w:tc>
          <w:tcPr>
            <w:tcW w:w="830" w:type="pct"/>
            <w:tcBorders>
              <w:top w:val="single" w:color="000000" w:sz="4" w:space="0"/>
              <w:left w:val="single" w:color="000000" w:sz="4" w:space="0"/>
              <w:bottom w:val="single" w:color="000000" w:sz="4" w:space="0"/>
              <w:right w:val="single" w:color="000000" w:sz="4" w:space="0"/>
            </w:tcBorders>
            <w:vAlign w:val="center"/>
          </w:tcPr>
          <w:p w14:paraId="3E64E5CF">
            <w:pPr>
              <w:pStyle w:val="35"/>
              <w:spacing w:line="240" w:lineRule="auto"/>
              <w:ind w:firstLine="0"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序号</w:t>
            </w:r>
          </w:p>
        </w:tc>
        <w:tc>
          <w:tcPr>
            <w:tcW w:w="1969" w:type="pct"/>
            <w:tcBorders>
              <w:top w:val="single" w:color="000000" w:sz="4" w:space="0"/>
              <w:left w:val="single" w:color="000000" w:sz="4" w:space="0"/>
              <w:bottom w:val="single" w:color="000000" w:sz="4" w:space="0"/>
              <w:right w:val="single" w:color="000000" w:sz="4" w:space="0"/>
            </w:tcBorders>
            <w:vAlign w:val="center"/>
          </w:tcPr>
          <w:p w14:paraId="3FD10759">
            <w:pPr>
              <w:pStyle w:val="35"/>
              <w:spacing w:line="240" w:lineRule="auto"/>
              <w:ind w:firstLine="0"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项 目</w:t>
            </w:r>
          </w:p>
        </w:tc>
        <w:tc>
          <w:tcPr>
            <w:tcW w:w="2200" w:type="pct"/>
            <w:tcBorders>
              <w:top w:val="single" w:color="000000" w:sz="4" w:space="0"/>
              <w:left w:val="single" w:color="000000" w:sz="4" w:space="0"/>
              <w:bottom w:val="single" w:color="000000" w:sz="4" w:space="0"/>
              <w:right w:val="single" w:color="000000" w:sz="4" w:space="0"/>
            </w:tcBorders>
            <w:vAlign w:val="center"/>
          </w:tcPr>
          <w:p w14:paraId="5113B04E">
            <w:pPr>
              <w:pStyle w:val="35"/>
              <w:spacing w:line="240" w:lineRule="auto"/>
              <w:ind w:firstLine="0"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限值</w:t>
            </w:r>
          </w:p>
        </w:tc>
      </w:tr>
      <w:tr w14:paraId="4C10A74E">
        <w:tblPrEx>
          <w:tblCellMar>
            <w:top w:w="0" w:type="dxa"/>
            <w:left w:w="108" w:type="dxa"/>
            <w:bottom w:w="0" w:type="dxa"/>
            <w:right w:w="108" w:type="dxa"/>
          </w:tblCellMar>
        </w:tblPrEx>
        <w:trPr>
          <w:trHeight w:val="340" w:hRule="atLeast"/>
        </w:trPr>
        <w:tc>
          <w:tcPr>
            <w:tcW w:w="830" w:type="pct"/>
            <w:tcBorders>
              <w:top w:val="single" w:color="000000" w:sz="4" w:space="0"/>
              <w:left w:val="single" w:color="000000" w:sz="4" w:space="0"/>
              <w:bottom w:val="single" w:color="000000" w:sz="4" w:space="0"/>
              <w:right w:val="single" w:color="000000" w:sz="4" w:space="0"/>
            </w:tcBorders>
            <w:vAlign w:val="center"/>
          </w:tcPr>
          <w:p w14:paraId="1B74044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w:t>
            </w:r>
          </w:p>
        </w:tc>
        <w:tc>
          <w:tcPr>
            <w:tcW w:w="1969" w:type="pct"/>
            <w:tcBorders>
              <w:top w:val="single" w:color="000000" w:sz="4" w:space="0"/>
              <w:left w:val="single" w:color="000000" w:sz="4" w:space="0"/>
              <w:bottom w:val="single" w:color="000000" w:sz="4" w:space="0"/>
              <w:right w:val="single" w:color="000000" w:sz="4" w:space="0"/>
            </w:tcBorders>
            <w:vAlign w:val="center"/>
          </w:tcPr>
          <w:p w14:paraId="4CD4D60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氯化物</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C</w:t>
            </w:r>
            <w:r>
              <w:rPr>
                <w:rFonts w:hint="default" w:ascii="Times New Roman" w:hAnsi="Times New Roman" w:eastAsia="宋体" w:cs="Times New Roman"/>
                <w:color w:val="auto"/>
                <w:highlight w:val="none"/>
                <w:vertAlign w:val="superscript"/>
              </w:rPr>
              <w:t>l-</w:t>
            </w:r>
            <w:r>
              <w:rPr>
                <w:rFonts w:hint="default" w:ascii="Times New Roman" w:hAnsi="Times New Roman" w:cs="Times New Roman"/>
                <w:color w:val="auto"/>
                <w:highlight w:val="none"/>
                <w:vertAlign w:val="superscript"/>
                <w:lang w:eastAsia="zh-CN"/>
              </w:rPr>
              <w:t>）</w:t>
            </w:r>
          </w:p>
        </w:tc>
        <w:tc>
          <w:tcPr>
            <w:tcW w:w="2200" w:type="pct"/>
            <w:tcBorders>
              <w:top w:val="single" w:color="000000" w:sz="4" w:space="0"/>
              <w:left w:val="single" w:color="000000" w:sz="4" w:space="0"/>
              <w:bottom w:val="single" w:color="000000" w:sz="4" w:space="0"/>
              <w:right w:val="single" w:color="000000" w:sz="4" w:space="0"/>
            </w:tcBorders>
            <w:vAlign w:val="center"/>
          </w:tcPr>
          <w:p w14:paraId="1C24D51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不大于 350</w:t>
            </w:r>
          </w:p>
        </w:tc>
      </w:tr>
      <w:tr w14:paraId="64480839">
        <w:tblPrEx>
          <w:tblCellMar>
            <w:top w:w="0" w:type="dxa"/>
            <w:left w:w="108" w:type="dxa"/>
            <w:bottom w:w="0" w:type="dxa"/>
            <w:right w:w="108" w:type="dxa"/>
          </w:tblCellMar>
        </w:tblPrEx>
        <w:trPr>
          <w:trHeight w:val="340" w:hRule="atLeast"/>
        </w:trPr>
        <w:tc>
          <w:tcPr>
            <w:tcW w:w="830" w:type="pct"/>
            <w:tcBorders>
              <w:top w:val="single" w:color="000000" w:sz="4" w:space="0"/>
              <w:left w:val="single" w:color="000000" w:sz="4" w:space="0"/>
              <w:bottom w:val="single" w:color="000000" w:sz="4" w:space="0"/>
              <w:right w:val="single" w:color="000000" w:sz="4" w:space="0"/>
            </w:tcBorders>
            <w:vAlign w:val="center"/>
          </w:tcPr>
          <w:p w14:paraId="35EF392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w:t>
            </w:r>
          </w:p>
        </w:tc>
        <w:tc>
          <w:tcPr>
            <w:tcW w:w="1969" w:type="pct"/>
            <w:tcBorders>
              <w:top w:val="single" w:color="000000" w:sz="4" w:space="0"/>
              <w:left w:val="single" w:color="000000" w:sz="4" w:space="0"/>
              <w:bottom w:val="single" w:color="000000" w:sz="4" w:space="0"/>
              <w:right w:val="single" w:color="000000" w:sz="4" w:space="0"/>
            </w:tcBorders>
            <w:vAlign w:val="center"/>
          </w:tcPr>
          <w:p w14:paraId="35702A2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硫酸盐</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SO</w:t>
            </w:r>
            <w:r>
              <w:rPr>
                <w:rFonts w:hint="default" w:ascii="Times New Roman" w:hAnsi="Times New Roman" w:eastAsia="宋体" w:cs="Times New Roman"/>
                <w:color w:val="auto"/>
                <w:highlight w:val="none"/>
                <w:vertAlign w:val="superscript"/>
              </w:rPr>
              <w:t>-</w:t>
            </w:r>
            <w:r>
              <w:rPr>
                <w:rFonts w:hint="default" w:ascii="Times New Roman" w:hAnsi="Times New Roman" w:cs="Times New Roman"/>
                <w:color w:val="auto"/>
                <w:highlight w:val="none"/>
                <w:vertAlign w:val="superscript"/>
                <w:lang w:eastAsia="zh-CN"/>
              </w:rPr>
              <w:t>）</w:t>
            </w:r>
          </w:p>
        </w:tc>
        <w:tc>
          <w:tcPr>
            <w:tcW w:w="2200" w:type="pct"/>
            <w:tcBorders>
              <w:top w:val="single" w:color="000000" w:sz="4" w:space="0"/>
              <w:left w:val="single" w:color="000000" w:sz="4" w:space="0"/>
              <w:bottom w:val="single" w:color="000000" w:sz="4" w:space="0"/>
              <w:right w:val="single" w:color="000000" w:sz="4" w:space="0"/>
            </w:tcBorders>
            <w:vAlign w:val="center"/>
          </w:tcPr>
          <w:p w14:paraId="2B0E726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不大于 500</w:t>
            </w:r>
          </w:p>
        </w:tc>
      </w:tr>
    </w:tbl>
    <w:p w14:paraId="36B0118F">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 xml:space="preserve">  污水综合排放标准</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30"/>
        <w:gridCol w:w="4292"/>
      </w:tblGrid>
      <w:tr w14:paraId="6DB7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2" w:type="pct"/>
            <w:vAlign w:val="center"/>
          </w:tcPr>
          <w:p w14:paraId="059F15B6">
            <w:pPr>
              <w:pStyle w:val="35"/>
              <w:spacing w:line="240" w:lineRule="auto"/>
              <w:ind w:firstLine="0"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项目类别</w:t>
            </w:r>
          </w:p>
        </w:tc>
        <w:tc>
          <w:tcPr>
            <w:tcW w:w="2518" w:type="pct"/>
            <w:vAlign w:val="center"/>
          </w:tcPr>
          <w:p w14:paraId="431091D4">
            <w:pPr>
              <w:pStyle w:val="35"/>
              <w:spacing w:line="240" w:lineRule="auto"/>
              <w:ind w:firstLine="0" w:firstLineChars="0"/>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一级标准（mg/L）</w:t>
            </w:r>
          </w:p>
        </w:tc>
      </w:tr>
      <w:tr w14:paraId="66933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2" w:type="pct"/>
            <w:vAlign w:val="center"/>
          </w:tcPr>
          <w:p w14:paraId="2939C10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BOD</w:t>
            </w:r>
            <w:r>
              <w:rPr>
                <w:rFonts w:hint="default" w:ascii="Times New Roman" w:hAnsi="Times New Roman" w:eastAsia="宋体" w:cs="Times New Roman"/>
                <w:color w:val="auto"/>
                <w:highlight w:val="none"/>
                <w:vertAlign w:val="subscript"/>
              </w:rPr>
              <w:t>5</w:t>
            </w:r>
          </w:p>
        </w:tc>
        <w:tc>
          <w:tcPr>
            <w:tcW w:w="2518" w:type="pct"/>
            <w:vAlign w:val="center"/>
          </w:tcPr>
          <w:p w14:paraId="27AE58D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30</w:t>
            </w:r>
          </w:p>
        </w:tc>
      </w:tr>
      <w:tr w14:paraId="4FD7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2" w:type="pct"/>
            <w:vAlign w:val="center"/>
          </w:tcPr>
          <w:p w14:paraId="39D61FA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COD</w:t>
            </w:r>
          </w:p>
        </w:tc>
        <w:tc>
          <w:tcPr>
            <w:tcW w:w="2518" w:type="pct"/>
            <w:vAlign w:val="center"/>
          </w:tcPr>
          <w:p w14:paraId="6689CF0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100</w:t>
            </w:r>
          </w:p>
        </w:tc>
      </w:tr>
      <w:tr w14:paraId="28F9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2" w:type="pct"/>
            <w:vAlign w:val="center"/>
          </w:tcPr>
          <w:p w14:paraId="224F37A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SS </w:t>
            </w:r>
          </w:p>
        </w:tc>
        <w:tc>
          <w:tcPr>
            <w:tcW w:w="2518" w:type="pct"/>
            <w:vAlign w:val="center"/>
          </w:tcPr>
          <w:p w14:paraId="54179D4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70</w:t>
            </w:r>
          </w:p>
        </w:tc>
      </w:tr>
      <w:tr w14:paraId="4F4E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2" w:type="pct"/>
            <w:vAlign w:val="center"/>
          </w:tcPr>
          <w:p w14:paraId="7F1D893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磷酸盐</w:t>
            </w:r>
          </w:p>
        </w:tc>
        <w:tc>
          <w:tcPr>
            <w:tcW w:w="2518" w:type="pct"/>
            <w:vAlign w:val="center"/>
          </w:tcPr>
          <w:p w14:paraId="2B25417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0.5</w:t>
            </w:r>
          </w:p>
        </w:tc>
      </w:tr>
      <w:tr w14:paraId="237EB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82" w:type="pct"/>
            <w:vAlign w:val="center"/>
          </w:tcPr>
          <w:p w14:paraId="0D1A402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NH</w:t>
            </w:r>
            <w:r>
              <w:rPr>
                <w:rFonts w:hint="default" w:ascii="Times New Roman" w:hAnsi="Times New Roman" w:eastAsia="宋体" w:cs="Times New Roman"/>
                <w:color w:val="auto"/>
                <w:highlight w:val="none"/>
                <w:vertAlign w:val="subscript"/>
              </w:rPr>
              <w:t>3</w:t>
            </w:r>
            <w:r>
              <w:rPr>
                <w:rFonts w:hint="default" w:ascii="Times New Roman" w:hAnsi="Times New Roman" w:eastAsia="宋体" w:cs="Times New Roman"/>
                <w:color w:val="auto"/>
                <w:highlight w:val="none"/>
              </w:rPr>
              <w:t>-N</w:t>
            </w:r>
          </w:p>
        </w:tc>
        <w:tc>
          <w:tcPr>
            <w:tcW w:w="2518" w:type="pct"/>
            <w:vAlign w:val="center"/>
          </w:tcPr>
          <w:p w14:paraId="431BFB2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15</w:t>
            </w:r>
          </w:p>
        </w:tc>
      </w:tr>
    </w:tbl>
    <w:p w14:paraId="2E6835B3">
      <w:pPr>
        <w:pStyle w:val="3"/>
        <w:numPr>
          <w:ilvl w:val="1"/>
          <w:numId w:val="4"/>
        </w:numPr>
        <w:spacing w:before="374" w:after="249"/>
        <w:rPr>
          <w:rFonts w:hint="default" w:ascii="Times New Roman" w:hAnsi="Times New Roman" w:eastAsia="宋体" w:cs="Times New Roman"/>
          <w:color w:val="auto"/>
          <w:highlight w:val="none"/>
        </w:rPr>
      </w:pPr>
      <w:bookmarkStart w:id="47" w:name="_Toc20340"/>
      <w:r>
        <w:rPr>
          <w:rFonts w:hint="default" w:ascii="Times New Roman" w:hAnsi="Times New Roman" w:eastAsia="宋体" w:cs="Times New Roman"/>
          <w:color w:val="auto"/>
          <w:highlight w:val="none"/>
          <w:lang w:val="en-US" w:eastAsia="zh-CN"/>
        </w:rPr>
        <w:t>评价内容和</w:t>
      </w:r>
      <w:r>
        <w:rPr>
          <w:rFonts w:hint="default" w:ascii="Times New Roman" w:hAnsi="Times New Roman" w:eastAsia="宋体" w:cs="Times New Roman"/>
          <w:color w:val="auto"/>
          <w:highlight w:val="none"/>
        </w:rPr>
        <w:t>评价重点</w:t>
      </w:r>
      <w:bookmarkEnd w:id="47"/>
    </w:p>
    <w:p w14:paraId="01D7C05B">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评价内容</w:t>
      </w:r>
    </w:p>
    <w:p w14:paraId="1685C265">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本次规划环境影响评价按照《规划环境影响评价条例》《规划环境影响评价技术导则 流域综合规划》（HJ 1218‑2021）相关要求开展，结合南盘江（曲靖市境内）流域喀斯特高原生态特征、珠江源头生态保护定位、规划工程任务开展评价，主要评价内容如下：</w:t>
      </w:r>
    </w:p>
    <w:p w14:paraId="77DDF743">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（1）规划分析。梳理流域综合规划的规划目标、布局、任务、规模及时序；开展规划与上位法规政策、“三线一单”、生态保护红线、各专项规划的协调性分析；识别规划方案存在的潜在环境冲突。</w:t>
      </w:r>
    </w:p>
    <w:p w14:paraId="799B6080">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环境现状调查与评价。开展流域自然环境、社会环境调查；完成水文水资源、水环境、陆生生态、水生生态、环境敏感区现状评价；开展流域开发回顾性评价，梳理存在的环境问题；识别流域主要生态环境制约因素。</w:t>
      </w:r>
    </w:p>
    <w:p w14:paraId="714CC5E0">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（3）环境影响识别与评价指标体系构建。识别防洪减灾、供水灌溉、水源工程、跨流域调水、河道治理、水土保持、河湖保护等任务带来的有利、不利环境影响；构建匹配流域特征的评价指标体系。</w:t>
      </w:r>
    </w:p>
    <w:p w14:paraId="0926F5B3">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环境影响预测与评价。预测规划实施对水文水资源、地表水环境、陆生生态、水生生态、环境敏感区、社会环境产生的影响；重点分析整体性、累积性环境影响；识别流域主要生态环境风险，分析风险受体、风险后果与可接受水平。</w:t>
      </w:r>
    </w:p>
    <w:p w14:paraId="0DF0F9F6">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（5）规划方案环境合理性论证。从布局合理性、规模合理性、时序合理性开展论证；针对存在冲突的环节，提出规划方案优化调整建议。</w:t>
      </w:r>
    </w:p>
    <w:p w14:paraId="6DC4C2AB">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环境保护对策措施。分水文水资源、水环境、陆生生态、水生生态、敏感保护目标提出流域层面环境保护对策；明确工程落地阶段的管控要求，区分规划层面原则性要求与项目可研、环评阶段需细化的内容。</w:t>
      </w:r>
    </w:p>
    <w:p w14:paraId="21A6F4F7">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（7）跟踪评价与联动管控要求。制定规划环境影响跟踪评价计划；明确规划环评与后续建设项目环评的联动要求；提出监测方案、重点监测指标。</w:t>
      </w:r>
    </w:p>
    <w:p w14:paraId="609E8D1A">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（8）公众参与。按照《环境影响评价公众参与办法》开展信息公示，充分收集并吸纳公众、行业主管部门意见。</w:t>
      </w:r>
    </w:p>
    <w:p w14:paraId="57D8B269">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（9）综合评价结论。综合研判规划实施环境可行性，明确规划实施的主要环境制约，给出规划实施的总体结论。</w:t>
      </w:r>
    </w:p>
    <w:p w14:paraId="51CC021B">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评价重点</w:t>
      </w:r>
    </w:p>
    <w:p w14:paraId="4FAC3619">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规划符合性与同层级规划协调性分析。核查本规划与生态环境保护法律法规、资源产业政策、“三线一单”、生态保护红线、饮用水水源保护区管控要求的符合性；对比自然资源、生态保护等同层级相关规划，识别工程空间布局、水资源开发、生态保护方面存在的冲突矛盾，从源头规避重大环境风险。</w:t>
      </w:r>
    </w:p>
    <w:p w14:paraId="4EEF143C">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水文水资源、生态流量保障评价。统筹防洪、供水、灌溉、发电、生态多目标需求，研判水库群、跨流域调水、大型灌区引水对流域径流的改变；重点评估主要控制断面生态流量保障可行性，识别枯水期多工程叠加引水造成河段减水的累积风险，校核流域用水总量是否在资源利用上线范围内，协调好流域开发与生态保护关系。</w:t>
      </w:r>
    </w:p>
    <w:p w14:paraId="1029D127">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生态影响评价。陆生生态重点分析水库淹没、工程占地、线状工程对喀斯特脆弱生境、原生植被、保护动植物的影响，评估栖息地破碎化风险；水生生态重点研判闸坝阻隔、低温水下泄、库区富营养化、跨流域调水外来物种入侵风险。</w:t>
      </w:r>
    </w:p>
    <w:p w14:paraId="66CCBEB4">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（4）水环境影响评价。重点评价规划实施带来的水环境污染及风险，库区库湾富营养化风险；低温水影响等。</w:t>
      </w:r>
    </w:p>
    <w:p w14:paraId="2FDF0B80">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（5）社会环境影响评价。分析规划实施带来的征地安置、区域发展等社会环境影响，研判工程实施的社会可接受性。</w:t>
      </w:r>
    </w:p>
    <w:p w14:paraId="5C2A6386">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（6）流域开发回顾性评价。基于植被、陆生动物、水生生态、水环境对已建水利水电工程开展回顾分析，梳理历史开发遗留生态短板，作为规划影响识别、方案优化、保护对策、跟踪评价的依据。</w:t>
      </w:r>
    </w:p>
    <w:p w14:paraId="74C6E6EB">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（7）流域环境保护对策与规划层面技术研究建议。构建预防</w:t>
      </w:r>
      <w:r>
        <w:rPr>
          <w:rFonts w:hint="default" w:ascii="Times New Roman" w:hAnsi="Times New Roman" w:eastAsia="宋体" w:cs="Times New Roman"/>
          <w:color w:val="auto"/>
          <w:highlight w:val="none"/>
          <w:lang w:val="en-US" w:eastAsia="zh-CN"/>
        </w:rPr>
        <w:noBreakHyphen/>
      </w:r>
      <w:r>
        <w:rPr>
          <w:rFonts w:hint="default" w:ascii="Times New Roman" w:hAnsi="Times New Roman" w:eastAsia="宋体" w:cs="Times New Roman"/>
          <w:color w:val="auto"/>
          <w:highlight w:val="none"/>
          <w:lang w:val="en-US" w:eastAsia="zh-CN"/>
        </w:rPr>
        <w:t>减缓</w:t>
      </w:r>
      <w:r>
        <w:rPr>
          <w:rFonts w:hint="default" w:ascii="Times New Roman" w:hAnsi="Times New Roman" w:eastAsia="宋体" w:cs="Times New Roman"/>
          <w:color w:val="auto"/>
          <w:highlight w:val="none"/>
          <w:lang w:val="en-US" w:eastAsia="zh-CN"/>
        </w:rPr>
        <w:noBreakHyphen/>
      </w:r>
      <w:r>
        <w:rPr>
          <w:rFonts w:hint="default" w:ascii="Times New Roman" w:hAnsi="Times New Roman" w:eastAsia="宋体" w:cs="Times New Roman"/>
          <w:color w:val="auto"/>
          <w:highlight w:val="none"/>
          <w:lang w:val="en-US" w:eastAsia="zh-CN"/>
        </w:rPr>
        <w:t>修复</w:t>
      </w:r>
      <w:r>
        <w:rPr>
          <w:rFonts w:hint="default" w:ascii="Times New Roman" w:hAnsi="Times New Roman" w:eastAsia="宋体" w:cs="Times New Roman"/>
          <w:color w:val="auto"/>
          <w:highlight w:val="none"/>
          <w:lang w:val="en-US" w:eastAsia="zh-CN"/>
        </w:rPr>
        <w:noBreakHyphen/>
      </w:r>
      <w:r>
        <w:rPr>
          <w:rFonts w:hint="default" w:ascii="Times New Roman" w:hAnsi="Times New Roman" w:eastAsia="宋体" w:cs="Times New Roman"/>
          <w:color w:val="auto"/>
          <w:highlight w:val="none"/>
          <w:lang w:val="en-US" w:eastAsia="zh-CN"/>
        </w:rPr>
        <w:t>补偿完整保护体系；提出规划阶段需要深化的专题技术研究方向，为后续项目落地提供技术支撑。</w:t>
      </w:r>
    </w:p>
    <w:p w14:paraId="7E0495ED">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（8）流域环境监测与环境管理统筹规划。</w:t>
      </w:r>
    </w:p>
    <w:p w14:paraId="4B3FFFA0">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（9）规划方案环境合理性论证及优化调整。论证规划布局、规模、时序的环境合理性，针对识别出的冲突矛盾提出优化调整建议，给出规划实施总体可行性结论。</w:t>
      </w:r>
    </w:p>
    <w:p w14:paraId="161ACE9F">
      <w:pPr>
        <w:pStyle w:val="3"/>
        <w:numPr>
          <w:ilvl w:val="1"/>
          <w:numId w:val="4"/>
        </w:numPr>
        <w:spacing w:before="374" w:after="249"/>
        <w:rPr>
          <w:rFonts w:hint="default" w:ascii="Times New Roman" w:hAnsi="Times New Roman" w:eastAsia="宋体" w:cs="Times New Roman"/>
          <w:color w:val="auto"/>
          <w:highlight w:val="none"/>
        </w:rPr>
      </w:pPr>
      <w:bookmarkStart w:id="48" w:name="_Toc18385"/>
      <w:r>
        <w:rPr>
          <w:rFonts w:hint="default" w:ascii="Times New Roman" w:hAnsi="Times New Roman" w:eastAsia="宋体" w:cs="Times New Roman"/>
          <w:color w:val="auto"/>
          <w:highlight w:val="none"/>
        </w:rPr>
        <w:t>评价方法</w:t>
      </w:r>
      <w:r>
        <w:rPr>
          <w:rFonts w:hint="default" w:ascii="Times New Roman" w:hAnsi="Times New Roman" w:eastAsia="宋体" w:cs="Times New Roman"/>
          <w:color w:val="auto"/>
          <w:highlight w:val="none"/>
          <w:lang w:val="en-US" w:eastAsia="zh-CN"/>
        </w:rPr>
        <w:t>与工作程序</w:t>
      </w:r>
      <w:bookmarkEnd w:id="48"/>
    </w:p>
    <w:p w14:paraId="3890359E">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评价方法</w:t>
      </w:r>
    </w:p>
    <w:p w14:paraId="418FE3F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根据《规划环境影响评价技术导则》中规定的原则和方法，以及水利工程、水库、电站工程等建设环境影响评价研究的实践，结合本规划工作实际，进行初步的探索，确定本规划的评价方法见表1.</w:t>
      </w:r>
      <w:r>
        <w:rPr>
          <w:rFonts w:hint="default" w:ascii="Times New Roman" w:hAnsi="Times New Roman" w:eastAsia="宋体" w:cs="Times New Roman"/>
          <w:color w:val="auto"/>
          <w:highlight w:val="none"/>
          <w:lang w:val="en-US" w:eastAsia="zh-CN"/>
        </w:rPr>
        <w:t>9</w:t>
      </w:r>
      <w:r>
        <w:rPr>
          <w:rFonts w:hint="default" w:ascii="Times New Roman" w:hAnsi="Times New Roman" w:eastAsia="宋体" w:cs="Times New Roman"/>
          <w:color w:val="auto"/>
          <w:highlight w:val="none"/>
        </w:rPr>
        <w:t>.1-1。</w:t>
      </w:r>
    </w:p>
    <w:p w14:paraId="6DB031FE">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表1.9.1-1</w:t>
      </w:r>
      <w:r>
        <w:rPr>
          <w:rFonts w:hint="default" w:ascii="Times New Roman" w:hAnsi="Times New Roman" w:cs="Times New Roman"/>
          <w:color w:val="auto"/>
          <w:highlight w:val="none"/>
        </w:rPr>
        <w:t>规划环评采用的评价方法</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99"/>
        <w:gridCol w:w="5923"/>
      </w:tblGrid>
      <w:tr w14:paraId="06144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pct"/>
            <w:vAlign w:val="center"/>
          </w:tcPr>
          <w:p w14:paraId="21BC863E">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评价内容</w:t>
            </w:r>
          </w:p>
        </w:tc>
        <w:tc>
          <w:tcPr>
            <w:tcW w:w="3475" w:type="pct"/>
            <w:vAlign w:val="center"/>
          </w:tcPr>
          <w:p w14:paraId="374B99FD">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评价方法</w:t>
            </w:r>
          </w:p>
        </w:tc>
      </w:tr>
      <w:tr w14:paraId="5B73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pct"/>
            <w:vAlign w:val="center"/>
          </w:tcPr>
          <w:p w14:paraId="4A970056">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环境现状调查与分析</w:t>
            </w:r>
          </w:p>
        </w:tc>
        <w:tc>
          <w:tcPr>
            <w:tcW w:w="3475" w:type="pct"/>
            <w:vAlign w:val="center"/>
          </w:tcPr>
          <w:p w14:paraId="183905EC">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资料收集法、现场调查法、监测法</w:t>
            </w:r>
          </w:p>
        </w:tc>
      </w:tr>
      <w:tr w14:paraId="0A0B4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pct"/>
            <w:vAlign w:val="center"/>
          </w:tcPr>
          <w:p w14:paraId="34EB76EA">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规划方案初步分析</w:t>
            </w:r>
          </w:p>
        </w:tc>
        <w:tc>
          <w:tcPr>
            <w:tcW w:w="3475" w:type="pct"/>
            <w:vAlign w:val="center"/>
          </w:tcPr>
          <w:p w14:paraId="58082CB9">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矩阵法、叠图法、专家咨询法</w:t>
            </w:r>
          </w:p>
        </w:tc>
      </w:tr>
      <w:tr w14:paraId="331F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pct"/>
            <w:vAlign w:val="center"/>
          </w:tcPr>
          <w:p w14:paraId="76B3977A">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规划环境影响识别</w:t>
            </w:r>
          </w:p>
        </w:tc>
        <w:tc>
          <w:tcPr>
            <w:tcW w:w="3475" w:type="pct"/>
            <w:vAlign w:val="center"/>
          </w:tcPr>
          <w:p w14:paraId="4A8401B7">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矩阵法、叠图法、专家咨询法</w:t>
            </w:r>
          </w:p>
        </w:tc>
      </w:tr>
      <w:tr w14:paraId="3AD40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pct"/>
            <w:vAlign w:val="center"/>
          </w:tcPr>
          <w:p w14:paraId="08C91817">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环境影响预测与评价</w:t>
            </w:r>
          </w:p>
        </w:tc>
        <w:tc>
          <w:tcPr>
            <w:tcW w:w="3475" w:type="pct"/>
            <w:vAlign w:val="center"/>
          </w:tcPr>
          <w:p w14:paraId="38E1FC65">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统计分析法、情景分析法、专家咨询法、叠图法、机理分析法、模型计算法</w:t>
            </w:r>
          </w:p>
        </w:tc>
      </w:tr>
      <w:tr w14:paraId="629C0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5" w:type="pct"/>
            <w:vAlign w:val="center"/>
          </w:tcPr>
          <w:p w14:paraId="01C2D59C">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公众参与</w:t>
            </w:r>
          </w:p>
        </w:tc>
        <w:tc>
          <w:tcPr>
            <w:tcW w:w="3475" w:type="pct"/>
            <w:vAlign w:val="center"/>
          </w:tcPr>
          <w:p w14:paraId="3CAA4FC1">
            <w:pPr>
              <w:pStyle w:val="35"/>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网站公示、</w:t>
            </w:r>
            <w:r>
              <w:rPr>
                <w:rFonts w:hint="default" w:ascii="Times New Roman" w:hAnsi="Times New Roman" w:cs="Times New Roman"/>
                <w:color w:val="auto"/>
                <w:highlight w:val="none"/>
                <w:lang w:val="en-US" w:eastAsia="zh-CN"/>
              </w:rPr>
              <w:t>报纸公示</w:t>
            </w:r>
            <w:r>
              <w:rPr>
                <w:rFonts w:hint="default" w:ascii="Times New Roman" w:hAnsi="Times New Roman" w:eastAsia="宋体" w:cs="Times New Roman"/>
                <w:color w:val="auto"/>
                <w:highlight w:val="none"/>
              </w:rPr>
              <w:t>等形式</w:t>
            </w:r>
          </w:p>
        </w:tc>
      </w:tr>
    </w:tbl>
    <w:p w14:paraId="5315A6A7">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工作程序</w:t>
      </w:r>
    </w:p>
    <w:p w14:paraId="51694010">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环境影响评价工作贯穿流域规划编制的全过程。保持环评深度与规划深度相一致，工作程序框图见图1.</w:t>
      </w:r>
      <w:r>
        <w:rPr>
          <w:rFonts w:hint="default" w:ascii="Times New Roman" w:hAnsi="Times New Roman" w:cs="Times New Roman"/>
          <w:color w:val="auto"/>
          <w:highlight w:val="none"/>
          <w:lang w:val="en-US" w:eastAsia="zh-CN"/>
        </w:rPr>
        <w:t>9</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rPr>
        <w:t>-1。</w:t>
      </w:r>
    </w:p>
    <w:p w14:paraId="66C5806B">
      <w:pPr>
        <w:pStyle w:val="4"/>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4984115" cy="6227445"/>
            <wp:effectExtent l="0" t="0" r="6985" b="19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7"/>
                    <a:srcRect r="1409"/>
                    <a:stretch>
                      <a:fillRect/>
                    </a:stretch>
                  </pic:blipFill>
                  <pic:spPr>
                    <a:xfrm>
                      <a:off x="0" y="0"/>
                      <a:ext cx="4984115" cy="6227445"/>
                    </a:xfrm>
                    <a:prstGeom prst="rect">
                      <a:avLst/>
                    </a:prstGeom>
                    <a:noFill/>
                    <a:ln>
                      <a:noFill/>
                    </a:ln>
                  </pic:spPr>
                </pic:pic>
              </a:graphicData>
            </a:graphic>
          </wp:inline>
        </w:drawing>
      </w:r>
    </w:p>
    <w:p w14:paraId="6E1E0619">
      <w:pPr>
        <w:pStyle w:val="4"/>
        <w:rPr>
          <w:rFonts w:hint="default" w:ascii="Times New Roman" w:hAnsi="Times New Roman" w:eastAsia="宋体" w:cs="Times New Roman"/>
          <w:color w:val="auto"/>
          <w:highlight w:val="none"/>
        </w:rPr>
      </w:pPr>
    </w:p>
    <w:p w14:paraId="5E339400">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表1.</w:t>
      </w:r>
      <w:r>
        <w:rPr>
          <w:rFonts w:hint="default" w:ascii="Times New Roman" w:hAnsi="Times New Roman" w:cs="Times New Roman"/>
          <w:color w:val="auto"/>
          <w:highlight w:val="none"/>
          <w:lang w:val="en-US" w:eastAsia="zh-CN"/>
        </w:rPr>
        <w:t>9</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-1南盘江（曲靖市境内）流域综合规划</w:t>
      </w:r>
      <w:r>
        <w:rPr>
          <w:rFonts w:hint="default" w:ascii="Times New Roman" w:hAnsi="Times New Roman" w:cs="Times New Roman"/>
          <w:color w:val="auto"/>
          <w:highlight w:val="none"/>
          <w:lang w:val="en-US" w:eastAsia="zh-CN"/>
        </w:rPr>
        <w:t>环境影响评价</w:t>
      </w:r>
      <w:r>
        <w:rPr>
          <w:rFonts w:hint="default" w:ascii="Times New Roman" w:hAnsi="Times New Roman" w:cs="Times New Roman"/>
          <w:color w:val="auto"/>
          <w:highlight w:val="none"/>
        </w:rPr>
        <w:t>工作程序框图</w:t>
      </w:r>
    </w:p>
    <w:p w14:paraId="4566F4BF">
      <w:pPr>
        <w:rPr>
          <w:rFonts w:hint="default" w:ascii="Times New Roman" w:hAnsi="Times New Roman" w:eastAsia="宋体" w:cs="Times New Roman"/>
          <w:color w:val="auto"/>
          <w:highlight w:val="none"/>
        </w:rPr>
      </w:pPr>
    </w:p>
    <w:p w14:paraId="1E25C119">
      <w:pPr>
        <w:rPr>
          <w:rFonts w:hint="default" w:ascii="Times New Roman" w:hAnsi="Times New Roman" w:eastAsia="宋体" w:cs="Times New Roman"/>
          <w:color w:val="auto"/>
          <w:highlight w:val="none"/>
        </w:rPr>
      </w:pPr>
    </w:p>
    <w:p w14:paraId="033CE0D9">
      <w:pPr>
        <w:rPr>
          <w:rFonts w:hint="default" w:ascii="Times New Roman" w:hAnsi="Times New Roman" w:eastAsia="宋体" w:cs="Times New Roman"/>
          <w:color w:val="auto"/>
          <w:highlight w:val="none"/>
        </w:rPr>
        <w:sectPr>
          <w:footerReference r:id="rId11" w:type="default"/>
          <w:pgSz w:w="11906" w:h="16838"/>
          <w:pgMar w:top="1440" w:right="1800" w:bottom="1440" w:left="1800" w:header="851" w:footer="992" w:gutter="0"/>
          <w:pgNumType w:fmt="decimal"/>
          <w:cols w:space="425" w:num="1"/>
          <w:docGrid w:type="lines" w:linePitch="312" w:charSpace="0"/>
        </w:sectPr>
      </w:pPr>
    </w:p>
    <w:p w14:paraId="4BA2917B">
      <w:pPr>
        <w:rPr>
          <w:rFonts w:hint="default" w:ascii="Times New Roman" w:hAnsi="Times New Roman" w:eastAsia="宋体" w:cs="Times New Roman"/>
          <w:color w:val="auto"/>
          <w:highlight w:val="none"/>
        </w:rPr>
      </w:pPr>
    </w:p>
    <w:p w14:paraId="078F49EE">
      <w:pPr>
        <w:pStyle w:val="2"/>
        <w:numPr>
          <w:ilvl w:val="0"/>
          <w:numId w:val="3"/>
        </w:numPr>
        <w:spacing w:after="249"/>
        <w:rPr>
          <w:rFonts w:hint="default" w:ascii="Times New Roman" w:hAnsi="Times New Roman" w:eastAsia="宋体" w:cs="Times New Roman"/>
          <w:color w:val="auto"/>
          <w:highlight w:val="none"/>
        </w:rPr>
      </w:pPr>
      <w:bookmarkStart w:id="49" w:name="_Toc201331638"/>
      <w:bookmarkStart w:id="50" w:name="_Toc23723"/>
      <w:bookmarkStart w:id="51" w:name="OLE_LINK3"/>
      <w:bookmarkStart w:id="52" w:name="OLE_LINK4"/>
      <w:r>
        <w:rPr>
          <w:rFonts w:hint="default" w:ascii="Times New Roman" w:hAnsi="Times New Roman" w:eastAsia="宋体" w:cs="Times New Roman"/>
          <w:color w:val="auto"/>
          <w:highlight w:val="none"/>
        </w:rPr>
        <w:t>规划分析</w:t>
      </w:r>
      <w:bookmarkEnd w:id="49"/>
      <w:bookmarkEnd w:id="50"/>
    </w:p>
    <w:bookmarkEnd w:id="51"/>
    <w:bookmarkEnd w:id="52"/>
    <w:p w14:paraId="63080989">
      <w:pPr>
        <w:pStyle w:val="31"/>
        <w:keepNext/>
        <w:keepLines/>
        <w:numPr>
          <w:ilvl w:val="0"/>
          <w:numId w:val="4"/>
        </w:numPr>
        <w:spacing w:before="374" w:beforeLines="120" w:after="249" w:afterLines="80" w:line="288" w:lineRule="auto"/>
        <w:ind w:firstLineChars="0"/>
        <w:outlineLvl w:val="1"/>
        <w:rPr>
          <w:rFonts w:hint="default" w:ascii="Times New Roman" w:hAnsi="Times New Roman" w:eastAsia="宋体" w:cs="Times New Roman"/>
          <w:b/>
          <w:bCs/>
          <w:vanish/>
          <w:color w:val="auto"/>
          <w:sz w:val="32"/>
          <w:szCs w:val="32"/>
          <w:highlight w:val="none"/>
        </w:rPr>
      </w:pPr>
    </w:p>
    <w:p w14:paraId="00409413">
      <w:pPr>
        <w:pStyle w:val="3"/>
        <w:numPr>
          <w:ilvl w:val="1"/>
          <w:numId w:val="4"/>
        </w:numPr>
        <w:spacing w:before="374" w:after="249"/>
        <w:rPr>
          <w:rFonts w:hint="default" w:ascii="Times New Roman" w:hAnsi="Times New Roman" w:eastAsia="宋体" w:cs="Times New Roman"/>
          <w:color w:val="auto"/>
          <w:highlight w:val="none"/>
        </w:rPr>
      </w:pPr>
      <w:bookmarkStart w:id="53" w:name="_Toc12288"/>
      <w:r>
        <w:rPr>
          <w:rFonts w:hint="default" w:ascii="Times New Roman" w:hAnsi="Times New Roman" w:eastAsia="宋体" w:cs="Times New Roman"/>
          <w:color w:val="auto"/>
          <w:highlight w:val="none"/>
        </w:rPr>
        <w:t>规划概述</w:t>
      </w:r>
      <w:bookmarkEnd w:id="53"/>
    </w:p>
    <w:p w14:paraId="4A500E2A">
      <w:pPr>
        <w:pStyle w:val="31"/>
        <w:keepNext/>
        <w:keepLines/>
        <w:numPr>
          <w:ilvl w:val="0"/>
          <w:numId w:val="10"/>
        </w:numPr>
        <w:spacing w:before="374" w:beforeLines="120" w:after="249" w:afterLines="80"/>
        <w:ind w:firstLineChars="0"/>
        <w:outlineLvl w:val="2"/>
        <w:rPr>
          <w:rFonts w:hint="default" w:ascii="Times New Roman" w:hAnsi="Times New Roman" w:eastAsia="宋体" w:cs="Times New Roman"/>
          <w:b/>
          <w:vanish/>
          <w:color w:val="auto"/>
          <w:sz w:val="28"/>
          <w:szCs w:val="32"/>
          <w:highlight w:val="none"/>
        </w:rPr>
      </w:pPr>
    </w:p>
    <w:p w14:paraId="6364ACA4">
      <w:pPr>
        <w:pStyle w:val="31"/>
        <w:keepNext/>
        <w:keepLines/>
        <w:numPr>
          <w:ilvl w:val="0"/>
          <w:numId w:val="10"/>
        </w:numPr>
        <w:spacing w:before="374" w:beforeLines="120" w:after="249" w:afterLines="80"/>
        <w:ind w:firstLineChars="0"/>
        <w:outlineLvl w:val="2"/>
        <w:rPr>
          <w:rFonts w:hint="default" w:ascii="Times New Roman" w:hAnsi="Times New Roman" w:eastAsia="宋体" w:cs="Times New Roman"/>
          <w:b/>
          <w:vanish/>
          <w:color w:val="auto"/>
          <w:sz w:val="28"/>
          <w:szCs w:val="32"/>
          <w:highlight w:val="none"/>
        </w:rPr>
      </w:pPr>
    </w:p>
    <w:p w14:paraId="451DF60B">
      <w:pPr>
        <w:pStyle w:val="31"/>
        <w:keepNext/>
        <w:keepLines/>
        <w:numPr>
          <w:ilvl w:val="1"/>
          <w:numId w:val="10"/>
        </w:numPr>
        <w:spacing w:before="374" w:beforeLines="120" w:after="249" w:afterLines="80"/>
        <w:ind w:firstLineChars="0"/>
        <w:outlineLvl w:val="2"/>
        <w:rPr>
          <w:rFonts w:hint="default" w:ascii="Times New Roman" w:hAnsi="Times New Roman" w:eastAsia="宋体" w:cs="Times New Roman"/>
          <w:b/>
          <w:vanish/>
          <w:color w:val="auto"/>
          <w:sz w:val="28"/>
          <w:szCs w:val="32"/>
          <w:highlight w:val="none"/>
        </w:rPr>
      </w:pPr>
    </w:p>
    <w:p w14:paraId="4756A2C1">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规划指导思想</w:t>
      </w:r>
    </w:p>
    <w:p w14:paraId="6EF99F5C">
      <w:pPr>
        <w:pStyle w:val="4"/>
        <w:ind w:firstLine="480" w:firstLineChars="200"/>
        <w:rPr>
          <w:rFonts w:hint="default" w:ascii="Times New Roman" w:hAnsi="Times New Roman" w:eastAsia="宋体" w:cs="Times New Roman"/>
          <w:color w:val="auto"/>
          <w:highlight w:val="none"/>
        </w:rPr>
      </w:pPr>
      <w:r>
        <w:rPr>
          <w:rFonts w:cs="Times New Roman"/>
          <w:color w:val="auto"/>
        </w:rPr>
        <w:t>以习近平新时代中国特色社会主义思想为指导，深入贯彻党的二十大和二十届历次全</w:t>
      </w:r>
      <w:r>
        <w:rPr>
          <w:rFonts w:cs="Times New Roman"/>
          <w:color w:val="auto"/>
          <w:highlight w:val="none"/>
        </w:rPr>
        <w:t>会精神，全面贯彻习近平生态文明思想，完整准确全面贯彻新发展理念，统筹高质量发展和高水平安全，贯彻落实</w:t>
      </w:r>
      <w:r>
        <w:rPr>
          <w:rFonts w:hint="eastAsia" w:cs="Times New Roman"/>
          <w:color w:val="auto"/>
          <w:highlight w:val="none"/>
        </w:rPr>
        <w:t>共建</w:t>
      </w:r>
      <w:r>
        <w:rPr>
          <w:rFonts w:cs="Times New Roman"/>
          <w:color w:val="auto"/>
          <w:highlight w:val="none"/>
        </w:rPr>
        <w:t>“</w:t>
      </w:r>
      <w:r>
        <w:rPr>
          <w:rFonts w:hint="eastAsia" w:cs="Times New Roman"/>
          <w:color w:val="auto"/>
          <w:highlight w:val="none"/>
        </w:rPr>
        <w:t>一带一路</w:t>
      </w:r>
      <w:r>
        <w:rPr>
          <w:rFonts w:cs="Times New Roman"/>
          <w:color w:val="auto"/>
          <w:highlight w:val="none"/>
        </w:rPr>
        <w:t>”</w:t>
      </w:r>
      <w:r>
        <w:rPr>
          <w:rFonts w:hint="eastAsia" w:cs="Times New Roman"/>
          <w:color w:val="auto"/>
          <w:highlight w:val="none"/>
        </w:rPr>
        <w:t>倡议、</w:t>
      </w:r>
      <w:r>
        <w:rPr>
          <w:rFonts w:cs="Times New Roman"/>
          <w:color w:val="auto"/>
          <w:highlight w:val="none"/>
        </w:rPr>
        <w:t>西部大开发等区域重大</w:t>
      </w:r>
      <w:r>
        <w:rPr>
          <w:rFonts w:hint="eastAsia" w:cs="Times New Roman"/>
          <w:color w:val="auto"/>
          <w:highlight w:val="none"/>
        </w:rPr>
        <w:t>战略</w:t>
      </w:r>
      <w:r>
        <w:rPr>
          <w:rFonts w:cs="Times New Roman"/>
          <w:color w:val="auto"/>
          <w:highlight w:val="none"/>
        </w:rPr>
        <w:t>部署，</w:t>
      </w:r>
      <w:r>
        <w:rPr>
          <w:rFonts w:cs="Times New Roman"/>
          <w:color w:val="auto"/>
          <w:highlight w:val="green"/>
        </w:rPr>
        <w:t>认真贯彻</w:t>
      </w:r>
      <w:r>
        <w:rPr>
          <w:rFonts w:hint="eastAsia" w:cs="Times New Roman"/>
          <w:color w:val="auto"/>
          <w:highlight w:val="green"/>
        </w:rPr>
        <w:t>习近平总书记视察河南重要讲话重要指示精神</w:t>
      </w:r>
      <w:r>
        <w:rPr>
          <w:rFonts w:cs="Times New Roman"/>
          <w:color w:val="auto"/>
          <w:highlight w:val="green"/>
        </w:rPr>
        <w:t>，</w:t>
      </w:r>
      <w:r>
        <w:rPr>
          <w:rFonts w:cs="Times New Roman"/>
          <w:color w:val="auto"/>
          <w:highlight w:val="none"/>
        </w:rPr>
        <w:t>遵循习近平总书记</w:t>
      </w:r>
      <w:r>
        <w:rPr>
          <w:rFonts w:hint="eastAsia" w:cs="Times New Roman"/>
          <w:color w:val="auto"/>
          <w:highlight w:val="none"/>
          <w:lang w:eastAsia="zh-CN"/>
        </w:rPr>
        <w:t>“节水优先、空间均衡、系统治理、两手发力”</w:t>
      </w:r>
      <w:r>
        <w:rPr>
          <w:rFonts w:cs="Times New Roman"/>
          <w:color w:val="auto"/>
          <w:highlight w:val="none"/>
        </w:rPr>
        <w:t>治水思路和关于治水重要论述精神，落实《中共中央办公厅 国务院办公厅关于全面推进江河保护治理的意见》的要求，统筹高质量发展和高水平保护，</w:t>
      </w:r>
      <w:r>
        <w:rPr>
          <w:rFonts w:cs="Times New Roman"/>
          <w:color w:val="auto"/>
          <w:highlight w:val="green"/>
        </w:rPr>
        <w:t>坚持生态优先、绿色发展，筑牢珠江上游生态安全屏障</w:t>
      </w:r>
      <w:r>
        <w:rPr>
          <w:rFonts w:cs="Times New Roman"/>
          <w:color w:val="auto"/>
          <w:highlight w:val="none"/>
        </w:rPr>
        <w:t>，以推动水利高质量发展、提升</w:t>
      </w:r>
      <w:r>
        <w:rPr>
          <w:rFonts w:hint="eastAsia" w:cs="Times New Roman"/>
          <w:color w:val="auto"/>
          <w:highlight w:val="none"/>
        </w:rPr>
        <w:t>南盘江</w:t>
      </w:r>
      <w:r>
        <w:rPr>
          <w:rFonts w:cs="Times New Roman"/>
          <w:color w:val="auto"/>
          <w:highlight w:val="none"/>
        </w:rPr>
        <w:t>流域水安全保障能力为主线，加快完善流域防洪减灾体系、水资源节约集约利用体系、河湖生态环境保护体系，强化流域统一规划、统一治理、统一调度、统一管理，不断提升流域保护治理能力和水平。</w:t>
      </w:r>
    </w:p>
    <w:p w14:paraId="4690C8AC">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规划指导原则</w:t>
      </w:r>
    </w:p>
    <w:p w14:paraId="77551093">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以人为本，民生为重。牢固树立以人民为中心的发展思想，着力解决流域内人民群众最关心最直接最现实的防洪、供水、灌溉、生态环境等问题，强化供水安全保障能力，加强水利基础设施建设，提升水利基本公共服务水平，持续改善民生福祉，让水利改革发展成果更多更公平惠及民生。</w:t>
      </w:r>
    </w:p>
    <w:p w14:paraId="458C68C2">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eastAsia="zh-CN"/>
        </w:rPr>
        <w:t>生态优先、绿色发展</w:t>
      </w:r>
      <w:r>
        <w:rPr>
          <w:rFonts w:hint="default" w:ascii="Times New Roman" w:hAnsi="Times New Roman" w:eastAsia="宋体" w:cs="Times New Roman"/>
          <w:color w:val="auto"/>
          <w:highlight w:val="none"/>
        </w:rPr>
        <w:t>。深入贯彻落实习近平生态文明思想，践行绿水青山就是金山银山的理念，正确处理好保护和发展的关系，把珠江源头的生态环境保护工作作为重中之重，严守生态保护红线，保障生态用水，强化水质安全保障，加强流域水污染和水土流失治理，切实改善和维护良好水生态环境。</w:t>
      </w:r>
    </w:p>
    <w:p w14:paraId="6D4B312B">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统筹兼顾、系统治理。坚持系统治理与统筹保护观念，树立山水林田湖草沙生命共同体理念，统筹调入区和调出区用水需求，强化开源节流，协调上下游、左右岸、干支流关系，统筹推进水旱灾害防治、水资源利用、水生态保护与修复、水环境治理，注重标本兼治，强化系统保护，加强综合治理，系统解决水旱灾害、水资源、水生态、水环境问题。</w:t>
      </w:r>
    </w:p>
    <w:p w14:paraId="08FFFB1D">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改革创新，两手发力。强化体制机制创新，健全重大水利工程建设运行管理机制，深化水利投融资改革，</w:t>
      </w:r>
      <w:r>
        <w:rPr>
          <w:rFonts w:hint="default" w:ascii="Times New Roman" w:hAnsi="Times New Roman" w:eastAsia="宋体" w:cs="Times New Roman"/>
          <w:color w:val="auto"/>
          <w:highlight w:val="green"/>
        </w:rPr>
        <w:t>发展新质生产力</w:t>
      </w:r>
      <w:r>
        <w:rPr>
          <w:rFonts w:hint="default" w:ascii="Times New Roman" w:hAnsi="Times New Roman" w:eastAsia="宋体" w:cs="Times New Roman"/>
          <w:color w:val="auto"/>
          <w:highlight w:val="none"/>
        </w:rPr>
        <w:t>，构建现代水治理体系。加快推进水文现代化，加强数字孪生水利建设，提升水利信息化水平和科技创新能力。</w:t>
      </w:r>
    </w:p>
    <w:p w14:paraId="4E2213F8">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w:t>
      </w:r>
      <w:r>
        <w:rPr>
          <w:rFonts w:hint="default" w:ascii="Times New Roman" w:hAnsi="Times New Roman" w:cs="Times New Roman"/>
          <w:color w:val="auto"/>
          <w:highlight w:val="none"/>
          <w:lang w:val="en-US" w:eastAsia="zh-CN"/>
        </w:rPr>
        <w:t>时限与</w:t>
      </w:r>
      <w:r>
        <w:rPr>
          <w:rFonts w:hint="default" w:ascii="Times New Roman" w:hAnsi="Times New Roman" w:eastAsia="宋体" w:cs="Times New Roman"/>
          <w:color w:val="auto"/>
          <w:highlight w:val="none"/>
        </w:rPr>
        <w:t>范围</w:t>
      </w:r>
    </w:p>
    <w:p w14:paraId="34E0624F">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w:t>
      </w:r>
      <w:r>
        <w:rPr>
          <w:rFonts w:hint="default" w:ascii="Times New Roman" w:hAnsi="Times New Roman" w:cs="Times New Roman"/>
          <w:color w:val="auto"/>
          <w:highlight w:val="none"/>
          <w:lang w:val="en-US" w:eastAsia="zh-CN"/>
        </w:rPr>
        <w:t>时限</w:t>
      </w:r>
    </w:p>
    <w:p w14:paraId="058FDF66">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现状基准年</w:t>
      </w:r>
      <w:r>
        <w:rPr>
          <w:rFonts w:hint="default" w:ascii="Times New Roman" w:hAnsi="Times New Roman" w:cs="Times New Roman"/>
          <w:color w:val="auto"/>
          <w:highlight w:val="none"/>
          <w:lang w:val="en-US" w:eastAsia="zh-CN"/>
        </w:rPr>
        <w:t>为</w:t>
      </w:r>
      <w:r>
        <w:rPr>
          <w:rFonts w:hint="default" w:ascii="Times New Roman" w:hAnsi="Times New Roman" w:eastAsia="宋体" w:cs="Times New Roman"/>
          <w:color w:val="auto"/>
          <w:highlight w:val="none"/>
        </w:rPr>
        <w:t>2024年，规划</w:t>
      </w:r>
      <w:r>
        <w:rPr>
          <w:rFonts w:hint="eastAsia" w:ascii="Times New Roman" w:hAnsi="Times New Roman" w:cs="Times New Roman"/>
          <w:color w:val="auto"/>
          <w:highlight w:val="none"/>
          <w:lang w:val="en-US" w:eastAsia="zh-CN"/>
        </w:rPr>
        <w:t>水</w:t>
      </w:r>
      <w:r>
        <w:rPr>
          <w:rFonts w:hint="default" w:ascii="Times New Roman" w:hAnsi="Times New Roman" w:eastAsia="宋体" w:cs="Times New Roman"/>
          <w:color w:val="auto"/>
          <w:highlight w:val="none"/>
        </w:rPr>
        <w:t>平年</w:t>
      </w:r>
      <w:r>
        <w:rPr>
          <w:rFonts w:hint="default" w:ascii="Times New Roman" w:hAnsi="Times New Roman" w:cs="Times New Roman"/>
          <w:color w:val="auto"/>
          <w:highlight w:val="none"/>
          <w:lang w:val="en-US" w:eastAsia="zh-CN"/>
        </w:rPr>
        <w:t>为</w:t>
      </w:r>
      <w:r>
        <w:rPr>
          <w:rFonts w:hint="default" w:ascii="Times New Roman" w:hAnsi="Times New Roman" w:eastAsia="宋体" w:cs="Times New Roman"/>
          <w:color w:val="auto"/>
          <w:highlight w:val="none"/>
        </w:rPr>
        <w:t>2035年。</w:t>
      </w:r>
    </w:p>
    <w:p w14:paraId="3957002A">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规划范围</w:t>
      </w:r>
    </w:p>
    <w:p w14:paraId="1EF25254">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本次规划范围为南盘江流域涉及的曲靖市3区4县，即麒麟区、沾益区、马龙区、罗平县、富源县、陆良县、师宗县，规划</w:t>
      </w:r>
      <w:r>
        <w:rPr>
          <w:rFonts w:hint="default" w:ascii="Times New Roman" w:hAnsi="Times New Roman" w:cs="Times New Roman"/>
          <w:color w:val="auto"/>
          <w:highlight w:val="none"/>
          <w:lang w:val="en-US" w:eastAsia="zh-CN"/>
        </w:rPr>
        <w:t>总</w:t>
      </w:r>
      <w:r>
        <w:rPr>
          <w:rFonts w:hint="default" w:ascii="Times New Roman" w:hAnsi="Times New Roman" w:eastAsia="宋体" w:cs="Times New Roman"/>
          <w:color w:val="auto"/>
          <w:highlight w:val="none"/>
        </w:rPr>
        <w:t>面积14225km²。</w:t>
      </w:r>
    </w:p>
    <w:p w14:paraId="16103C9F">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规划目标</w:t>
      </w:r>
      <w:r>
        <w:rPr>
          <w:rFonts w:hint="default" w:ascii="Times New Roman" w:hAnsi="Times New Roman" w:cs="Times New Roman"/>
          <w:color w:val="auto"/>
          <w:highlight w:val="none"/>
          <w:lang w:val="en-US" w:eastAsia="zh-CN"/>
        </w:rPr>
        <w:t>与控制性指标</w:t>
      </w:r>
    </w:p>
    <w:p w14:paraId="378E5129">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规划目标</w:t>
      </w:r>
    </w:p>
    <w:p w14:paraId="4E159CE4">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到2035年，流域防洪减灾体系基本完善，防洪安全保障能力进一步提高，防洪保护对象规划标准内洪水可防御，遇超标准洪水有对策措施；水资源节约集约利用进一步加强，水资源配置体系更加优化；水资源保护进一步强化，受损水生态系统逐步恢复并呈良性发展；流域管理现代化基本实现。</w:t>
      </w:r>
    </w:p>
    <w:p w14:paraId="31E0955F">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防洪减灾能力进一步提高。</w:t>
      </w:r>
      <w:r>
        <w:rPr>
          <w:rFonts w:hint="default" w:ascii="Times New Roman" w:hAnsi="Times New Roman" w:cs="Times New Roman"/>
          <w:color w:val="auto"/>
          <w:highlight w:val="none"/>
        </w:rPr>
        <w:t>建成较为完善的流域防洪减灾体系，南盘江干流城区段防洪标准达到30～100年一遇，非城区段达到10～30年一遇；3000km²以上主要支流城区段达到20～100年一遇，其余河段达到10～20年一遇；200～3000km²中小河流城区段达到20～50年一遇，其余河段达到10～20年一遇。曲靖市麒麟、沾益主城区防洪标准达到100年一遇，陆良县主城区达到50年一遇，富源县主城区达到30年一遇，罗平、师宗县主城区达到20年一遇。同时实现5级及以上江河堤防达标率80%以上、中小河流治理率70%以上；持续推进病险水库除险加固，提升山洪灾害监测预警与群测群防能力，完善防洪非工程措施，补齐防洪减灾短板，为曲靖高质量发展提供防洪安全保障</w:t>
      </w:r>
      <w:r>
        <w:rPr>
          <w:rFonts w:hint="default" w:ascii="Times New Roman" w:hAnsi="Times New Roman" w:eastAsia="宋体" w:cs="Times New Roman"/>
          <w:color w:val="auto"/>
          <w:highlight w:val="none"/>
        </w:rPr>
        <w:t>。</w:t>
      </w:r>
    </w:p>
    <w:p w14:paraId="5E2449D4">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水资源节约集约利用进一步加强。基本</w:t>
      </w:r>
      <w:r>
        <w:rPr>
          <w:rFonts w:hint="eastAsia" w:cs="Times New Roman"/>
          <w:color w:val="auto"/>
          <w:highlight w:val="none"/>
          <w:lang w:val="en-US" w:eastAsia="zh-CN"/>
        </w:rPr>
        <w:t>实现</w:t>
      </w:r>
      <w:r>
        <w:rPr>
          <w:rFonts w:hint="default" w:ascii="Times New Roman" w:hAnsi="Times New Roman" w:eastAsia="宋体" w:cs="Times New Roman"/>
          <w:color w:val="auto"/>
          <w:highlight w:val="none"/>
        </w:rPr>
        <w:t>与社会主义现代化相协调的节水型社会，跨流域跨区域水资源配置格局基本形成，骨干水网统筹调配能力显著增强。流域内万元工业增加值用水量较2024年降低35%，灌溉水有效利用系数提高到0.63，城乡生活及工业供水保障率达到95%以上，农灌供水保证率</w:t>
      </w:r>
      <w:r>
        <w:rPr>
          <w:rFonts w:hint="default" w:ascii="Times New Roman" w:hAnsi="Times New Roman" w:cs="Times New Roman"/>
          <w:color w:val="auto"/>
          <w:highlight w:val="none"/>
          <w:lang w:eastAsia="zh-CN"/>
        </w:rPr>
        <w:t>达到</w:t>
      </w:r>
      <w:r>
        <w:rPr>
          <w:rFonts w:hint="default" w:ascii="Times New Roman" w:hAnsi="Times New Roman" w:eastAsia="宋体" w:cs="Times New Roman"/>
          <w:color w:val="auto"/>
          <w:highlight w:val="none"/>
        </w:rPr>
        <w:t>80%以上，流域内用水总量控制在17.25亿</w:t>
      </w:r>
      <w:r>
        <w:rPr>
          <w:rFonts w:hint="default" w:ascii="Times New Roman" w:hAnsi="Times New Roman" w:cs="Times New Roman"/>
          <w:color w:val="auto"/>
          <w:highlight w:val="none"/>
          <w:lang w:val="en-US" w:eastAsia="zh-CN"/>
        </w:rPr>
        <w:t>m³</w:t>
      </w:r>
      <w:r>
        <w:rPr>
          <w:rFonts w:hint="default" w:ascii="Times New Roman" w:hAnsi="Times New Roman" w:eastAsia="宋体" w:cs="Times New Roman"/>
          <w:color w:val="auto"/>
          <w:highlight w:val="none"/>
        </w:rPr>
        <w:t>以内；曲靖中心城市形成多水源供水格局，主要城市应急备用水源基本健全。干支流水库全面发挥综合利用效益。</w:t>
      </w:r>
    </w:p>
    <w:p w14:paraId="13F10564">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水生态环境保护不断加强。</w:t>
      </w:r>
      <w:r>
        <w:rPr>
          <w:rFonts w:hint="default" w:ascii="Times New Roman" w:hAnsi="Times New Roman" w:cs="Times New Roman"/>
          <w:color w:val="auto"/>
          <w:highlight w:val="none"/>
        </w:rPr>
        <w:t>涉水空间管控制度基本建立，流域面积50平方公里及以上河流和常年水面面积1平方公里以上湖泊管理范围基本划定，河湖自然岸线保有率达到89%。江河湖库水源涵养与保护能力明显提升，重点河湖生态环境水量基本保障，水生态系统功能逐步恢复，河湖重要断面生态流量满足程度达到9</w:t>
      </w:r>
      <w:r>
        <w:rPr>
          <w:rFonts w:hint="eastAsia" w:ascii="Times New Roman" w:hAnsi="Times New Roman" w:cs="Times New Roman"/>
          <w:color w:val="auto"/>
          <w:highlight w:val="none"/>
          <w:lang w:val="en-US" w:eastAsia="zh-CN"/>
        </w:rPr>
        <w:t>0</w:t>
      </w:r>
      <w:r>
        <w:rPr>
          <w:rFonts w:hint="default" w:ascii="Times New Roman" w:hAnsi="Times New Roman" w:cs="Times New Roman"/>
          <w:color w:val="auto"/>
          <w:highlight w:val="none"/>
        </w:rPr>
        <w:t>%以上，实现水清、河畅、岸绿、景美。人为水土流失得到有效控制，重点区域水土流失得到有效治理，水土保持率由现状77.25%提高到80.88%以上，人为水土流失得到全面管控，水土保持功能显著增强。</w:t>
      </w:r>
    </w:p>
    <w:p w14:paraId="6F95D5F3">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管理现代化基本实现。水管理法规制度和技术标准更加完备，管理体制机制更加健全，跨区域跨部门协商协调机制更加高效，执法监督和水行政管理全面加强。水利科技支撑能力、人才队伍保障和水利智慧化水平全面提升，防洪、水资源管理与调配等核心业务实现预报、预警、预演、预案“四预”功能，数字孪生南盘江流域基本建成。</w:t>
      </w:r>
    </w:p>
    <w:p w14:paraId="28D5EEF7">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控制性指标</w:t>
      </w:r>
    </w:p>
    <w:p w14:paraId="24561722">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主要控制指标为</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2035年，流域内万元工业增加值用水量较2024年降低35%，灌溉水有效利用系数提高到0.63，生活及工业供水保障率达到95%以上，农灌供水保证率达80%以上，流域内用水总量控制在17.25亿</w:t>
      </w:r>
      <w:r>
        <w:rPr>
          <w:rFonts w:hint="default" w:ascii="Times New Roman" w:hAnsi="Times New Roman" w:cs="Times New Roman"/>
          <w:color w:val="auto"/>
          <w:highlight w:val="none"/>
          <w:lang w:val="en-US" w:eastAsia="zh-CN"/>
        </w:rPr>
        <w:t>m³</w:t>
      </w:r>
      <w:r>
        <w:rPr>
          <w:rFonts w:hint="default" w:ascii="Times New Roman" w:hAnsi="Times New Roman" w:eastAsia="宋体" w:cs="Times New Roman"/>
          <w:color w:val="auto"/>
          <w:highlight w:val="none"/>
        </w:rPr>
        <w:t>以内；流域新增水土流失治理措施面积</w:t>
      </w:r>
      <w:r>
        <w:rPr>
          <w:rFonts w:hint="default" w:ascii="Times New Roman" w:hAnsi="Times New Roman" w:cs="Times New Roman"/>
          <w:color w:val="auto"/>
          <w:highlight w:val="none"/>
          <w:lang w:val="en-US" w:eastAsia="zh-CN"/>
        </w:rPr>
        <w:t>563</w:t>
      </w:r>
      <w:r>
        <w:rPr>
          <w:rFonts w:hint="default" w:ascii="Times New Roman" w:hAnsi="Times New Roman" w:eastAsia="宋体" w:cs="Times New Roman"/>
          <w:color w:val="auto"/>
          <w:highlight w:val="none"/>
        </w:rPr>
        <w:t>km²，水土保持率达到</w:t>
      </w:r>
      <w:r>
        <w:rPr>
          <w:rFonts w:hint="default" w:ascii="Times New Roman" w:hAnsi="Times New Roman" w:cs="Times New Roman"/>
          <w:color w:val="auto"/>
          <w:highlight w:val="none"/>
          <w:lang w:val="en-US" w:eastAsia="zh-CN"/>
        </w:rPr>
        <w:t>80.88</w:t>
      </w:r>
      <w:r>
        <w:rPr>
          <w:rFonts w:hint="default" w:ascii="Times New Roman" w:hAnsi="Times New Roman" w:eastAsia="宋体" w:cs="Times New Roman"/>
          <w:color w:val="auto"/>
          <w:highlight w:val="none"/>
        </w:rPr>
        <w:t>%以上，重点河湖基本生态流量达标率达90%以上。</w:t>
      </w:r>
    </w:p>
    <w:p w14:paraId="4C47B420">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规划</w:t>
      </w:r>
      <w:r>
        <w:rPr>
          <w:rFonts w:hint="default" w:ascii="Times New Roman" w:hAnsi="Times New Roman" w:eastAsia="宋体" w:cs="Times New Roman"/>
          <w:color w:val="auto"/>
          <w:highlight w:val="none"/>
        </w:rPr>
        <w:t>任务</w:t>
      </w:r>
      <w:r>
        <w:rPr>
          <w:rFonts w:hint="default" w:ascii="Times New Roman" w:hAnsi="Times New Roman" w:cs="Times New Roman"/>
          <w:color w:val="auto"/>
          <w:highlight w:val="none"/>
          <w:lang w:val="en-US" w:eastAsia="zh-CN"/>
        </w:rPr>
        <w:t>及总体布局</w:t>
      </w:r>
    </w:p>
    <w:p w14:paraId="1A1D2152">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w:t>
      </w:r>
      <w:r>
        <w:rPr>
          <w:rFonts w:hint="default" w:ascii="Times New Roman" w:hAnsi="Times New Roman" w:cs="Times New Roman"/>
          <w:color w:val="auto"/>
          <w:highlight w:val="none"/>
          <w:lang w:val="en-US" w:eastAsia="zh-CN"/>
        </w:rPr>
        <w:t>任务</w:t>
      </w:r>
    </w:p>
    <w:p w14:paraId="1B865351">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根据自然条件、生态环境保护要求和经济社会发展需要，南盘江（曲靖市境内）流域综合规划的主要任务为：防洪、供水、灌溉、水资源保护与水生态环境保护、水土保持、水力发电等。</w:t>
      </w:r>
    </w:p>
    <w:p w14:paraId="4794F18C">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总体布局</w:t>
      </w:r>
    </w:p>
    <w:p w14:paraId="269BE09D">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rPr>
        <w:t>）南盘江上段</w:t>
      </w:r>
    </w:p>
    <w:p w14:paraId="1ABF1FF6">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盘江上段是珠江源头所在，也是曲靖市中心城市和松林坝、沾曲坝及陆良坝等主要坝区集中分布区域，承担着保障城乡供水安全、维护源头水生态、支撑曲靖市经济高质量发展的多重功能，应以“安澜固源、活水兴城、清水南流”为保护治理首要任务。</w:t>
      </w:r>
    </w:p>
    <w:p w14:paraId="7BEF244E">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防洪减灾方面。要加快完善流域防洪工程体系、雨水情监测预报体系、水旱灾害防御工作体系，遵循“蓄泄兼施、以泄为主”防洪方针，合理布局“蓄、泄”防洪工程，科学安排洪水出路，逐步形成以堤防护岸、河道整治为基础，上游水库削峰滞洪为支撑，工程措施和非工程措施相结合的综合防洪减灾体系。</w:t>
      </w:r>
    </w:p>
    <w:p w14:paraId="4975721A">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供水保障方面。要加快推进本区水源与外流域调水协同建设，构建多源互补、丰枯互济的供水保障格局。以曲靖市中心城区供水保障提升引连调水工程为纽带，实现黑滩河、花山、白浪、九龙、西河等水库互联互通，提升中心城区供水韧性。持续推进曲靖大型灌区及重点中型灌区续建配套与现代化改造，切实提高灌溉水利用效率。统筹推进车马碧水库调水工程和黑滩河水库调水工程，从牛栏江流域调入水源补给南盘江流域。重点依托德泽水库引水济曲工程，从牛栏江流域调水补给南盘江干流，从根本上缓解沾益、麒麟、陆良等上段区域资源性缺水困局。同步推进陆良县引水入陆工程，打通外水补给通道，缓解陆良坝区灌溉用水紧张局面，增强区域水资源统筹调配能力。稳步推进城乡供水一体化改革，加快实施农村供水标准化建设与管护。</w:t>
      </w:r>
    </w:p>
    <w:p w14:paraId="7AEF5E5C">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生态保护及水土保持方面。要加强珠江源头水源涵养与保护，持续推进源头区水土流失预防治理和坡耕地综合整治，推进白石江、潇湘江等入南盘江支流水质提升，加强独木水库、西河水库等重要饮用水水源地的协同保护，维护南盘江上游生态安全特别是水质安全。要研究推进干流及主要支流拦河闸坝的生态调度，保障枯水期河道生态基流，推进实施南盘江干流沾益至陆良段生态保护修复，依托云南省南盘江生态保护修复工程和阿岗水库等水源，通过九龙河至南盘江连通工程实施生态补水，开展上游梯级生态调度研究，在流域干支流源头、重要水库水源涵养区植被优良区域开展水土流失预防保护，在上游石漠化严重区域开展水土流失综合防治，确保“一泓清水出源头”。</w:t>
      </w:r>
    </w:p>
    <w:p w14:paraId="3418DC26">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力发电方面。规划期内原则上不再新增以发电为主要任务的常规水电站；应在不影响防洪、用水权益的前提下，按照确有需要、生态安全、可以持续的重大水利工程论证原则，合理发展抽水蓄能电站。已开发梯级应坚持兴利调度服从防洪调度，区域服从流域，电调服从水调的原则，合理安排水库群的蓄、放水时机，协调好发电与防洪、供水、生态的关系，充分发挥水利水电工程综合效益。</w:t>
      </w:r>
    </w:p>
    <w:p w14:paraId="05CA9CE0">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南盘江下段</w:t>
      </w:r>
    </w:p>
    <w:p w14:paraId="2B8A57D6">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盘江下段涵盖罗平、师宗、富源部分区域，是流域内高原特色农业集中分布区和大型灌区重点建设区，也是滇黔桂跨省界河主要分布段，应以“灌区引领、产业兴农、清水出境”为保护治理首要任务，着力夯实农田水利基础，助力乡村全面振兴。</w:t>
      </w:r>
    </w:p>
    <w:p w14:paraId="10E72B0D">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防洪减灾方面。要统筹干支流防洪体系建设，联动阿岗、鲁布革水库开展流域联合调蓄，实施黄泥河、多依河等主要支流堤防加固和护岸整治，提升师宗、罗平、富源县城及沿线集镇防洪排涝水平。加强省际、县际界河防洪协同管控，完善上下游、跨县区、跨省份水文信息共享与洪水联合调度机制，系统性防控汛期洪涝风险。</w:t>
      </w:r>
    </w:p>
    <w:p w14:paraId="009F5F9A">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供水保障方面。要加快推进罗师灌区建设，充分发挥阿岗水库的调蓄功能，通过九龙河小务龙连通工程和小务龙水库扩建等工程，构建“引蓄结合、调补联动”的水源配置体系，提升师宗、罗平等坝区农业灌溉保障水平。持续推进富源灌区骨干水源和水系连通建设，加快大河水库等新建水源工程前期工作，完善“长藤结瓜”式灌溉供水网络。加大城乡供水一体化推进力度，稳步实施农村供水标准化建设与管护，逐步补齐山区半山区供水短板。</w:t>
      </w:r>
    </w:p>
    <w:p w14:paraId="6D51A10E">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生态保护及水土保持方面。要严格落实鲁布革国家级森林公园等重要生态功能区的保护要求，加强黄泥河、九龙河等主要支流的水源涵养与水土保持，推进九龙瀑布群等重要河段水生态保护修复。强化各级水电站生态流量泄放监管，依托云南省南盘江生态保护修复工程，保障枯水期河道生态基流，维护河流水生态系统功能完整性。加强滇黔桂跨省界河流水质监测与协同保护，在水土流失较严重的区域实施小流域综合治理提质增效，推进流域内水土流失综合治理工程，确保“一泓清水出云南”。</w:t>
      </w:r>
    </w:p>
    <w:p w14:paraId="75420B1F">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力发电方面。规划期内原则上不再新增以发电为主要任务的常规水电站；应在不影响防洪、用水权益的前提下，按照确有需要、生态安全、可以持续的重大水利工程论证原则，合理发展抽水蓄能电站。已开发梯级应坚持兴利调度服从防洪调度，区域服从流域，电调服从水调的原则，合理安排水库群的蓄、放水时机，协调好发电与防洪、供水、生态的关系，充分发挥水利水电工程综合效益。</w:t>
      </w:r>
    </w:p>
    <w:p w14:paraId="73897BB9">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水资源量及开发利用程度</w:t>
      </w:r>
    </w:p>
    <w:p w14:paraId="1EE59882">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水资源量</w:t>
      </w:r>
    </w:p>
    <w:p w14:paraId="75D20517">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根据云南省第三次水资源调查评价成果，云南省珠江流域多年平均地表水资源量219.8亿m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。南盘江（曲靖市境内）流域多年平均地表水资源量77.2亿m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，按水资源四级区分，沾曲陆宜15.5亿m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，黄泥河41.8亿m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，甸溪河2.8亿m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，清水江1亿m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，南盘江下段干流16.1亿m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151A455C">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水资源开发利用现状</w:t>
      </w:r>
    </w:p>
    <w:p w14:paraId="5E78E73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南盘江（曲靖市境内）流域国土面积14225km²，水资源总量778476万m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，人均占有水资源2196m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。2024年各类供水设施实际供水量85431万m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，按2024年实际供水量计算，流域内水资源开发程度为11.0%，高于云南省平均水平7.3%。</w:t>
      </w:r>
    </w:p>
    <w:p w14:paraId="1B46DF15">
      <w:pPr>
        <w:pStyle w:val="4"/>
        <w:ind w:firstLine="480" w:firstLineChars="20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从行政区划分看，水资源开发利用具有显著的地区差异性，麒麟区是曲靖市的政治、经济、文化中心，水资源开发程度为39.2%；沾益区、陆良县属于曲靖市较大的坝子，农业灌溉用水需求较大，但本区水资源较少，水资源开发程度分别为29.6%、27.9%。其余县区由于其集水面积及水资源总量较大，多数为山区，导致的水资源开发程度相对较低，其中马龙区为7.1%与云南省平均水平基本持平，其余师宗县、罗平县及富源县均低于云南省平均水平，分别为5.0%、5.0%、4.1%。</w:t>
      </w:r>
    </w:p>
    <w:p w14:paraId="139D4972">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2.1.6-1</w:t>
      </w:r>
      <w:r>
        <w:rPr>
          <w:rFonts w:hint="default" w:ascii="Times New Roman" w:hAnsi="Times New Roman" w:cs="Times New Roman"/>
          <w:color w:val="auto"/>
          <w:highlight w:val="none"/>
        </w:rPr>
        <w:t xml:space="preserve">  流域内2024年各县（区）水资源开发程度</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Layout w:type="autofit"/>
        <w:tblCellMar>
          <w:top w:w="0" w:type="dxa"/>
          <w:left w:w="108" w:type="dxa"/>
          <w:bottom w:w="0" w:type="dxa"/>
          <w:right w:w="108" w:type="dxa"/>
        </w:tblCellMar>
      </w:tblPr>
      <w:tblGrid>
        <w:gridCol w:w="1589"/>
        <w:gridCol w:w="1437"/>
        <w:gridCol w:w="1887"/>
        <w:gridCol w:w="1946"/>
        <w:gridCol w:w="1663"/>
      </w:tblGrid>
      <w:tr w14:paraId="39A12B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932" w:type="pct"/>
            <w:shd w:val="clear" w:color="auto" w:fill="FFFFFF"/>
            <w:vAlign w:val="center"/>
          </w:tcPr>
          <w:p w14:paraId="71C46EF0">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行政区</w:t>
            </w:r>
          </w:p>
        </w:tc>
        <w:tc>
          <w:tcPr>
            <w:tcW w:w="843" w:type="pct"/>
            <w:shd w:val="clear" w:color="auto" w:fill="FFFFFF"/>
            <w:vAlign w:val="center"/>
          </w:tcPr>
          <w:p w14:paraId="17E0D74A">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国土面积（km</w:t>
            </w:r>
            <w:r>
              <w:rPr>
                <w:rFonts w:hint="default" w:ascii="Times New Roman" w:hAnsi="Times New Roman" w:cs="Times New Roman"/>
                <w:bCs/>
                <w:color w:val="auto"/>
                <w:kern w:val="2"/>
                <w:highlight w:val="none"/>
                <w:vertAlign w:val="superscript"/>
              </w:rPr>
              <w:t>2</w:t>
            </w:r>
            <w:r>
              <w:rPr>
                <w:rFonts w:hint="default" w:ascii="Times New Roman" w:hAnsi="Times New Roman" w:cs="Times New Roman"/>
                <w:bCs/>
                <w:color w:val="auto"/>
                <w:kern w:val="2"/>
                <w:highlight w:val="none"/>
              </w:rPr>
              <w:t>）</w:t>
            </w:r>
          </w:p>
        </w:tc>
        <w:tc>
          <w:tcPr>
            <w:tcW w:w="1107" w:type="pct"/>
            <w:shd w:val="clear" w:color="auto" w:fill="FFFFFF"/>
            <w:vAlign w:val="center"/>
          </w:tcPr>
          <w:p w14:paraId="64A93FA3">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水资源总量</w:t>
            </w:r>
          </w:p>
          <w:p w14:paraId="27AFED27">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（万m</w:t>
            </w:r>
            <w:r>
              <w:rPr>
                <w:rFonts w:hint="default" w:ascii="Times New Roman" w:hAnsi="Times New Roman" w:cs="Times New Roman"/>
                <w:bCs/>
                <w:color w:val="auto"/>
                <w:kern w:val="2"/>
                <w:highlight w:val="none"/>
                <w:vertAlign w:val="superscript"/>
              </w:rPr>
              <w:t>3</w:t>
            </w:r>
            <w:r>
              <w:rPr>
                <w:rFonts w:hint="default" w:ascii="Times New Roman" w:hAnsi="Times New Roman" w:cs="Times New Roman"/>
                <w:bCs/>
                <w:color w:val="auto"/>
                <w:kern w:val="2"/>
                <w:highlight w:val="none"/>
              </w:rPr>
              <w:t>）</w:t>
            </w:r>
          </w:p>
        </w:tc>
        <w:tc>
          <w:tcPr>
            <w:tcW w:w="1142" w:type="pct"/>
            <w:shd w:val="clear" w:color="auto" w:fill="FFFFFF"/>
            <w:vAlign w:val="center"/>
          </w:tcPr>
          <w:p w14:paraId="1CCF7E8C">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现状供水量</w:t>
            </w:r>
          </w:p>
          <w:p w14:paraId="2329BEA5">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（万m</w:t>
            </w:r>
            <w:r>
              <w:rPr>
                <w:rFonts w:hint="default" w:ascii="Times New Roman" w:hAnsi="Times New Roman" w:cs="Times New Roman"/>
                <w:bCs/>
                <w:color w:val="auto"/>
                <w:kern w:val="2"/>
                <w:highlight w:val="none"/>
                <w:vertAlign w:val="superscript"/>
              </w:rPr>
              <w:t>3</w:t>
            </w:r>
            <w:r>
              <w:rPr>
                <w:rFonts w:hint="default" w:ascii="Times New Roman" w:hAnsi="Times New Roman" w:cs="Times New Roman"/>
                <w:bCs/>
                <w:color w:val="auto"/>
                <w:kern w:val="2"/>
                <w:highlight w:val="none"/>
              </w:rPr>
              <w:t>）</w:t>
            </w:r>
          </w:p>
        </w:tc>
        <w:tc>
          <w:tcPr>
            <w:tcW w:w="976" w:type="pct"/>
            <w:shd w:val="clear" w:color="auto" w:fill="FFFFFF"/>
            <w:vAlign w:val="center"/>
          </w:tcPr>
          <w:p w14:paraId="138392BD">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水资源开发程度（%）</w:t>
            </w:r>
          </w:p>
        </w:tc>
      </w:tr>
      <w:tr w14:paraId="6150EE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932" w:type="pct"/>
            <w:shd w:val="clear" w:color="auto" w:fill="FFFFFF"/>
            <w:noWrap/>
            <w:vAlign w:val="center"/>
          </w:tcPr>
          <w:p w14:paraId="770E112E">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麒麟区</w:t>
            </w:r>
          </w:p>
        </w:tc>
        <w:tc>
          <w:tcPr>
            <w:tcW w:w="843" w:type="pct"/>
            <w:shd w:val="clear" w:color="auto" w:fill="FFFFFF"/>
            <w:noWrap/>
            <w:vAlign w:val="center"/>
          </w:tcPr>
          <w:p w14:paraId="71B60972">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1543.5</w:t>
            </w:r>
          </w:p>
        </w:tc>
        <w:tc>
          <w:tcPr>
            <w:tcW w:w="1107" w:type="pct"/>
            <w:shd w:val="clear" w:color="auto" w:fill="FFFFFF"/>
            <w:noWrap/>
            <w:vAlign w:val="center"/>
          </w:tcPr>
          <w:p w14:paraId="6F953E71">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59380</w:t>
            </w:r>
          </w:p>
        </w:tc>
        <w:tc>
          <w:tcPr>
            <w:tcW w:w="1142" w:type="pct"/>
            <w:shd w:val="clear" w:color="auto" w:fill="FFFFFF"/>
            <w:noWrap/>
            <w:vAlign w:val="center"/>
          </w:tcPr>
          <w:p w14:paraId="4B8961C5">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23301</w:t>
            </w:r>
          </w:p>
        </w:tc>
        <w:tc>
          <w:tcPr>
            <w:tcW w:w="976" w:type="pct"/>
            <w:shd w:val="clear" w:color="auto" w:fill="FFFFFF"/>
            <w:noWrap/>
            <w:vAlign w:val="center"/>
          </w:tcPr>
          <w:p w14:paraId="7078B1FB">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39.2%</w:t>
            </w:r>
          </w:p>
        </w:tc>
      </w:tr>
      <w:tr w14:paraId="3120CA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pct"/>
            <w:shd w:val="clear" w:color="auto" w:fill="FFFFFF"/>
            <w:noWrap/>
            <w:vAlign w:val="center"/>
          </w:tcPr>
          <w:p w14:paraId="78CF4330">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沾益区</w:t>
            </w:r>
          </w:p>
        </w:tc>
        <w:tc>
          <w:tcPr>
            <w:tcW w:w="843" w:type="pct"/>
            <w:shd w:val="clear" w:color="auto" w:fill="FFFFFF"/>
            <w:noWrap/>
            <w:vAlign w:val="center"/>
          </w:tcPr>
          <w:p w14:paraId="425183C5">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1270.3</w:t>
            </w:r>
          </w:p>
        </w:tc>
        <w:tc>
          <w:tcPr>
            <w:tcW w:w="1107" w:type="pct"/>
            <w:shd w:val="clear" w:color="auto" w:fill="FFFFFF"/>
            <w:noWrap/>
            <w:vAlign w:val="center"/>
          </w:tcPr>
          <w:p w14:paraId="4C38F5CE">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45420</w:t>
            </w:r>
          </w:p>
        </w:tc>
        <w:tc>
          <w:tcPr>
            <w:tcW w:w="1142" w:type="pct"/>
            <w:shd w:val="clear" w:color="auto" w:fill="FFFFFF"/>
            <w:noWrap/>
            <w:vAlign w:val="center"/>
          </w:tcPr>
          <w:p w14:paraId="403AC67D">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13432</w:t>
            </w:r>
          </w:p>
        </w:tc>
        <w:tc>
          <w:tcPr>
            <w:tcW w:w="976" w:type="pct"/>
            <w:shd w:val="clear" w:color="auto" w:fill="FFFFFF"/>
            <w:noWrap/>
            <w:vAlign w:val="center"/>
          </w:tcPr>
          <w:p w14:paraId="29DD7D68">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29.6%</w:t>
            </w:r>
          </w:p>
        </w:tc>
      </w:tr>
      <w:tr w14:paraId="25D601A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pct"/>
            <w:shd w:val="clear" w:color="auto" w:fill="FFFFFF"/>
            <w:noWrap/>
            <w:vAlign w:val="center"/>
          </w:tcPr>
          <w:p w14:paraId="51F296A7">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马龙区</w:t>
            </w:r>
          </w:p>
        </w:tc>
        <w:tc>
          <w:tcPr>
            <w:tcW w:w="843" w:type="pct"/>
            <w:shd w:val="clear" w:color="auto" w:fill="FFFFFF"/>
            <w:noWrap/>
            <w:vAlign w:val="center"/>
          </w:tcPr>
          <w:p w14:paraId="628A5C08">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743.2</w:t>
            </w:r>
          </w:p>
        </w:tc>
        <w:tc>
          <w:tcPr>
            <w:tcW w:w="1107" w:type="pct"/>
            <w:shd w:val="clear" w:color="auto" w:fill="FFFFFF"/>
            <w:noWrap/>
            <w:vAlign w:val="center"/>
          </w:tcPr>
          <w:p w14:paraId="70F9972A">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23710</w:t>
            </w:r>
          </w:p>
        </w:tc>
        <w:tc>
          <w:tcPr>
            <w:tcW w:w="1142" w:type="pct"/>
            <w:shd w:val="clear" w:color="auto" w:fill="FFFFFF"/>
            <w:noWrap/>
            <w:vAlign w:val="center"/>
          </w:tcPr>
          <w:p w14:paraId="3229148E">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1680</w:t>
            </w:r>
          </w:p>
        </w:tc>
        <w:tc>
          <w:tcPr>
            <w:tcW w:w="976" w:type="pct"/>
            <w:shd w:val="clear" w:color="auto" w:fill="FFFFFF"/>
            <w:noWrap/>
            <w:vAlign w:val="center"/>
          </w:tcPr>
          <w:p w14:paraId="6D064D72">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7.1%</w:t>
            </w:r>
          </w:p>
        </w:tc>
      </w:tr>
      <w:tr w14:paraId="2D778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932" w:type="pct"/>
            <w:shd w:val="clear" w:color="auto" w:fill="FFFFFF"/>
            <w:noWrap/>
            <w:vAlign w:val="center"/>
          </w:tcPr>
          <w:p w14:paraId="1E0A4B99">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陆良县</w:t>
            </w:r>
          </w:p>
        </w:tc>
        <w:tc>
          <w:tcPr>
            <w:tcW w:w="843" w:type="pct"/>
            <w:shd w:val="clear" w:color="auto" w:fill="FFFFFF"/>
            <w:noWrap/>
            <w:vAlign w:val="center"/>
          </w:tcPr>
          <w:p w14:paraId="0C02DD97">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1989.5</w:t>
            </w:r>
          </w:p>
        </w:tc>
        <w:tc>
          <w:tcPr>
            <w:tcW w:w="1107" w:type="pct"/>
            <w:shd w:val="clear" w:color="auto" w:fill="FFFFFF"/>
            <w:noWrap/>
            <w:vAlign w:val="center"/>
          </w:tcPr>
          <w:p w14:paraId="64FB9563">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71341</w:t>
            </w:r>
          </w:p>
        </w:tc>
        <w:tc>
          <w:tcPr>
            <w:tcW w:w="1142" w:type="pct"/>
            <w:shd w:val="clear" w:color="auto" w:fill="FFFFFF"/>
            <w:noWrap/>
            <w:vAlign w:val="center"/>
          </w:tcPr>
          <w:p w14:paraId="229EE543">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19907</w:t>
            </w:r>
          </w:p>
        </w:tc>
        <w:tc>
          <w:tcPr>
            <w:tcW w:w="976" w:type="pct"/>
            <w:shd w:val="clear" w:color="auto" w:fill="FFFFFF"/>
            <w:noWrap/>
            <w:vAlign w:val="center"/>
          </w:tcPr>
          <w:p w14:paraId="44CDFD34">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27.9%</w:t>
            </w:r>
          </w:p>
        </w:tc>
      </w:tr>
      <w:tr w14:paraId="38CEB4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932" w:type="pct"/>
            <w:shd w:val="clear" w:color="auto" w:fill="FFFFFF"/>
            <w:noWrap/>
            <w:vAlign w:val="center"/>
          </w:tcPr>
          <w:p w14:paraId="5C93C6FA">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师宗县</w:t>
            </w:r>
          </w:p>
        </w:tc>
        <w:tc>
          <w:tcPr>
            <w:tcW w:w="843" w:type="pct"/>
            <w:shd w:val="clear" w:color="auto" w:fill="FFFFFF"/>
            <w:noWrap/>
            <w:vAlign w:val="center"/>
          </w:tcPr>
          <w:p w14:paraId="2C45549D">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2784.5</w:t>
            </w:r>
          </w:p>
        </w:tc>
        <w:tc>
          <w:tcPr>
            <w:tcW w:w="1107" w:type="pct"/>
            <w:shd w:val="clear" w:color="auto" w:fill="FFFFFF"/>
            <w:noWrap/>
            <w:vAlign w:val="center"/>
          </w:tcPr>
          <w:p w14:paraId="7ACBE52C">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152227</w:t>
            </w:r>
          </w:p>
        </w:tc>
        <w:tc>
          <w:tcPr>
            <w:tcW w:w="1142" w:type="pct"/>
            <w:shd w:val="clear" w:color="auto" w:fill="FFFFFF"/>
            <w:noWrap/>
            <w:vAlign w:val="center"/>
          </w:tcPr>
          <w:p w14:paraId="7B23B687">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7598</w:t>
            </w:r>
          </w:p>
        </w:tc>
        <w:tc>
          <w:tcPr>
            <w:tcW w:w="976" w:type="pct"/>
            <w:shd w:val="clear" w:color="auto" w:fill="FFFFFF"/>
            <w:noWrap/>
            <w:vAlign w:val="center"/>
          </w:tcPr>
          <w:p w14:paraId="241E4877">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5.0%</w:t>
            </w:r>
          </w:p>
        </w:tc>
      </w:tr>
      <w:tr w14:paraId="3521B2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pct"/>
            <w:shd w:val="clear" w:color="auto" w:fill="FFFFFF"/>
            <w:noWrap/>
            <w:vAlign w:val="center"/>
          </w:tcPr>
          <w:p w14:paraId="6CF35AB3">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罗平县</w:t>
            </w:r>
          </w:p>
        </w:tc>
        <w:tc>
          <w:tcPr>
            <w:tcW w:w="843" w:type="pct"/>
            <w:shd w:val="clear" w:color="auto" w:fill="FFFFFF"/>
            <w:noWrap/>
            <w:vAlign w:val="center"/>
          </w:tcPr>
          <w:p w14:paraId="4EEB6E4D">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3015</w:t>
            </w:r>
          </w:p>
        </w:tc>
        <w:tc>
          <w:tcPr>
            <w:tcW w:w="1107" w:type="pct"/>
            <w:shd w:val="clear" w:color="auto" w:fill="FFFFFF"/>
            <w:noWrap/>
            <w:vAlign w:val="center"/>
          </w:tcPr>
          <w:p w14:paraId="38F361C1">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239768</w:t>
            </w:r>
          </w:p>
        </w:tc>
        <w:tc>
          <w:tcPr>
            <w:tcW w:w="1142" w:type="pct"/>
            <w:shd w:val="clear" w:color="auto" w:fill="FFFFFF"/>
            <w:noWrap/>
            <w:vAlign w:val="center"/>
          </w:tcPr>
          <w:p w14:paraId="6BFA0486">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11907</w:t>
            </w:r>
          </w:p>
        </w:tc>
        <w:tc>
          <w:tcPr>
            <w:tcW w:w="976" w:type="pct"/>
            <w:shd w:val="clear" w:color="auto" w:fill="FFFFFF"/>
            <w:noWrap/>
            <w:vAlign w:val="center"/>
          </w:tcPr>
          <w:p w14:paraId="718C7998">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5.0%</w:t>
            </w:r>
          </w:p>
        </w:tc>
      </w:tr>
      <w:tr w14:paraId="1EB25C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932" w:type="pct"/>
            <w:shd w:val="clear" w:color="auto" w:fill="FFFFFF"/>
            <w:noWrap/>
            <w:vAlign w:val="center"/>
          </w:tcPr>
          <w:p w14:paraId="68BF5E91">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富源县</w:t>
            </w:r>
          </w:p>
        </w:tc>
        <w:tc>
          <w:tcPr>
            <w:tcW w:w="843" w:type="pct"/>
            <w:shd w:val="clear" w:color="auto" w:fill="FFFFFF"/>
            <w:noWrap/>
            <w:vAlign w:val="center"/>
          </w:tcPr>
          <w:p w14:paraId="109BD86A">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2879</w:t>
            </w:r>
          </w:p>
        </w:tc>
        <w:tc>
          <w:tcPr>
            <w:tcW w:w="1107" w:type="pct"/>
            <w:shd w:val="clear" w:color="auto" w:fill="FFFFFF"/>
            <w:noWrap/>
            <w:vAlign w:val="center"/>
          </w:tcPr>
          <w:p w14:paraId="45CA1806">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186630</w:t>
            </w:r>
          </w:p>
        </w:tc>
        <w:tc>
          <w:tcPr>
            <w:tcW w:w="1142" w:type="pct"/>
            <w:shd w:val="clear" w:color="auto" w:fill="FFFFFF"/>
            <w:noWrap/>
            <w:vAlign w:val="center"/>
          </w:tcPr>
          <w:p w14:paraId="75087CE3">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7606</w:t>
            </w:r>
          </w:p>
        </w:tc>
        <w:tc>
          <w:tcPr>
            <w:tcW w:w="976" w:type="pct"/>
            <w:shd w:val="clear" w:color="auto" w:fill="FFFFFF"/>
            <w:noWrap/>
            <w:vAlign w:val="center"/>
          </w:tcPr>
          <w:p w14:paraId="61AC0115">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4.1%</w:t>
            </w:r>
          </w:p>
        </w:tc>
      </w:tr>
      <w:tr w14:paraId="2D0A90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340" w:hRule="atLeast"/>
          <w:jc w:val="center"/>
        </w:trPr>
        <w:tc>
          <w:tcPr>
            <w:tcW w:w="932" w:type="pct"/>
            <w:shd w:val="clear" w:color="auto" w:fill="FFFFFF"/>
            <w:noWrap/>
            <w:vAlign w:val="center"/>
          </w:tcPr>
          <w:p w14:paraId="3B9DB8C0">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流域内</w:t>
            </w:r>
          </w:p>
        </w:tc>
        <w:tc>
          <w:tcPr>
            <w:tcW w:w="843" w:type="pct"/>
            <w:shd w:val="clear" w:color="auto" w:fill="FFFFFF"/>
            <w:noWrap/>
            <w:vAlign w:val="center"/>
          </w:tcPr>
          <w:p w14:paraId="2CC566A8">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14225</w:t>
            </w:r>
          </w:p>
        </w:tc>
        <w:tc>
          <w:tcPr>
            <w:tcW w:w="1107" w:type="pct"/>
            <w:shd w:val="clear" w:color="auto" w:fill="FFFFFF"/>
            <w:noWrap/>
            <w:vAlign w:val="center"/>
          </w:tcPr>
          <w:p w14:paraId="2C000AC2">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778476</w:t>
            </w:r>
          </w:p>
        </w:tc>
        <w:tc>
          <w:tcPr>
            <w:tcW w:w="1142" w:type="pct"/>
            <w:shd w:val="clear" w:color="auto" w:fill="FFFFFF"/>
            <w:noWrap/>
            <w:vAlign w:val="center"/>
          </w:tcPr>
          <w:p w14:paraId="18A97225">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85431</w:t>
            </w:r>
          </w:p>
        </w:tc>
        <w:tc>
          <w:tcPr>
            <w:tcW w:w="976" w:type="pct"/>
            <w:shd w:val="clear" w:color="auto" w:fill="FFFFFF"/>
            <w:noWrap/>
            <w:vAlign w:val="center"/>
          </w:tcPr>
          <w:p w14:paraId="378CBBBA">
            <w:pPr>
              <w:pStyle w:val="30"/>
              <w:spacing w:line="240" w:lineRule="auto"/>
              <w:jc w:val="center"/>
              <w:rPr>
                <w:rFonts w:hint="default" w:ascii="Times New Roman" w:hAnsi="Times New Roman" w:cs="Times New Roman"/>
                <w:bCs/>
                <w:color w:val="auto"/>
                <w:kern w:val="2"/>
                <w:highlight w:val="none"/>
              </w:rPr>
            </w:pPr>
            <w:r>
              <w:rPr>
                <w:rFonts w:hint="default" w:ascii="Times New Roman" w:hAnsi="Times New Roman" w:cs="Times New Roman"/>
                <w:bCs/>
                <w:color w:val="auto"/>
                <w:kern w:val="2"/>
                <w:highlight w:val="none"/>
              </w:rPr>
              <w:t>11.0%</w:t>
            </w:r>
          </w:p>
        </w:tc>
      </w:tr>
    </w:tbl>
    <w:p w14:paraId="372D327B">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供水基础设施</w:t>
      </w:r>
    </w:p>
    <w:p w14:paraId="01851F32">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经过多年建设，南盘江（曲靖市境内）流域现状已基本建立蓄、引、提、调水工程相结合的水资源配置体系。截至2024年底，共建成各类蓄、引、提、调等供水工程</w:t>
      </w:r>
      <w:r>
        <w:rPr>
          <w:rFonts w:hint="eastAsia" w:ascii="Times New Roman" w:hAnsi="Times New Roman" w:cs="Times New Roman"/>
          <w:color w:val="auto"/>
          <w:highlight w:val="none"/>
          <w:lang w:val="en-US" w:eastAsia="zh-CN"/>
        </w:rPr>
        <w:t>5277</w:t>
      </w:r>
      <w:r>
        <w:rPr>
          <w:rFonts w:hint="default" w:ascii="Times New Roman" w:hAnsi="Times New Roman" w:cs="Times New Roman"/>
          <w:color w:val="auto"/>
          <w:highlight w:val="none"/>
        </w:rPr>
        <w:t>件，其中蓄水工程1395件，总库容96379万m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，引提水及连通工程2163件，引水流量178m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/s，调水工程1件（独木水库调水工程），再生水工程2件，地下水及其他工程1716件。</w:t>
      </w:r>
    </w:p>
    <w:p w14:paraId="18E9C962">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2.1.7</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SEQ 表 \* ARABIC \s 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 xml:space="preserve">  南盘江（曲靖市境内）流域现状各类供水设施统计表</w:t>
      </w:r>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9"/>
        <w:gridCol w:w="849"/>
        <w:gridCol w:w="1135"/>
        <w:gridCol w:w="852"/>
        <w:gridCol w:w="1133"/>
        <w:gridCol w:w="849"/>
        <w:gridCol w:w="994"/>
        <w:gridCol w:w="994"/>
        <w:gridCol w:w="757"/>
      </w:tblGrid>
      <w:tr w14:paraId="11449F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63" w:type="pct"/>
            <w:vMerge w:val="restart"/>
            <w:vAlign w:val="center"/>
          </w:tcPr>
          <w:p w14:paraId="5692CB6E">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行政区</w:t>
            </w:r>
          </w:p>
        </w:tc>
        <w:tc>
          <w:tcPr>
            <w:tcW w:w="1163" w:type="pct"/>
            <w:gridSpan w:val="2"/>
            <w:vAlign w:val="center"/>
          </w:tcPr>
          <w:p w14:paraId="58931480">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蓄水工程</w:t>
            </w:r>
          </w:p>
        </w:tc>
        <w:tc>
          <w:tcPr>
            <w:tcW w:w="1165" w:type="pct"/>
            <w:gridSpan w:val="2"/>
            <w:vAlign w:val="center"/>
          </w:tcPr>
          <w:p w14:paraId="1D864EAA">
            <w:pPr>
              <w:pStyle w:val="30"/>
              <w:spacing w:line="240" w:lineRule="auto"/>
              <w:jc w:val="center"/>
              <w:rPr>
                <w:rFonts w:hint="default" w:ascii="Times New Roman" w:hAnsi="Times New Roman" w:cs="Times New Roman"/>
                <w:b/>
                <w:bCs/>
                <w:color w:val="auto"/>
                <w:kern w:val="2"/>
                <w:highlight w:val="none"/>
              </w:rPr>
            </w:pPr>
            <w:bookmarkStart w:id="54" w:name="OLE_LINK50"/>
            <w:bookmarkStart w:id="55" w:name="OLE_LINK49"/>
            <w:r>
              <w:rPr>
                <w:rFonts w:hint="default" w:ascii="Times New Roman" w:hAnsi="Times New Roman" w:cs="Times New Roman"/>
                <w:b/>
                <w:bCs/>
                <w:color w:val="auto"/>
                <w:kern w:val="2"/>
                <w:highlight w:val="none"/>
              </w:rPr>
              <w:t>引提水及连通工程</w:t>
            </w:r>
            <w:bookmarkEnd w:id="54"/>
            <w:bookmarkEnd w:id="55"/>
          </w:p>
        </w:tc>
        <w:tc>
          <w:tcPr>
            <w:tcW w:w="498" w:type="pct"/>
            <w:vAlign w:val="center"/>
          </w:tcPr>
          <w:p w14:paraId="695DD46C">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调水</w:t>
            </w:r>
          </w:p>
          <w:p w14:paraId="44849345">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工程</w:t>
            </w:r>
          </w:p>
        </w:tc>
        <w:tc>
          <w:tcPr>
            <w:tcW w:w="583" w:type="pct"/>
            <w:vAlign w:val="center"/>
          </w:tcPr>
          <w:p w14:paraId="2D128ACB">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再生水工程</w:t>
            </w:r>
          </w:p>
        </w:tc>
        <w:tc>
          <w:tcPr>
            <w:tcW w:w="583" w:type="pct"/>
            <w:vAlign w:val="center"/>
          </w:tcPr>
          <w:p w14:paraId="3B636796">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地下水及其他</w:t>
            </w:r>
          </w:p>
        </w:tc>
        <w:tc>
          <w:tcPr>
            <w:tcW w:w="444" w:type="pct"/>
            <w:vAlign w:val="center"/>
          </w:tcPr>
          <w:p w14:paraId="6F89B729">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合计</w:t>
            </w:r>
          </w:p>
        </w:tc>
      </w:tr>
      <w:tr w14:paraId="3C4066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563" w:type="pct"/>
            <w:vMerge w:val="continue"/>
            <w:vAlign w:val="center"/>
          </w:tcPr>
          <w:p w14:paraId="10AD719C">
            <w:pPr>
              <w:pStyle w:val="30"/>
              <w:spacing w:line="240" w:lineRule="auto"/>
              <w:jc w:val="center"/>
              <w:rPr>
                <w:rFonts w:hint="default" w:ascii="Times New Roman" w:hAnsi="Times New Roman" w:cs="Times New Roman"/>
                <w:b/>
                <w:bCs/>
                <w:color w:val="auto"/>
                <w:kern w:val="2"/>
                <w:highlight w:val="none"/>
              </w:rPr>
            </w:pPr>
          </w:p>
        </w:tc>
        <w:tc>
          <w:tcPr>
            <w:tcW w:w="498" w:type="pct"/>
            <w:vAlign w:val="center"/>
          </w:tcPr>
          <w:p w14:paraId="68EC1A07">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件数（件）</w:t>
            </w:r>
          </w:p>
        </w:tc>
        <w:tc>
          <w:tcPr>
            <w:tcW w:w="666" w:type="pct"/>
            <w:vAlign w:val="center"/>
          </w:tcPr>
          <w:p w14:paraId="46EC50BE">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总库容</w:t>
            </w:r>
          </w:p>
          <w:p w14:paraId="44AF6CC3">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（万m³）</w:t>
            </w:r>
          </w:p>
        </w:tc>
        <w:tc>
          <w:tcPr>
            <w:tcW w:w="500" w:type="pct"/>
            <w:vAlign w:val="center"/>
          </w:tcPr>
          <w:p w14:paraId="18EC5619">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件数（件）</w:t>
            </w:r>
          </w:p>
        </w:tc>
        <w:tc>
          <w:tcPr>
            <w:tcW w:w="665" w:type="pct"/>
            <w:vAlign w:val="center"/>
          </w:tcPr>
          <w:p w14:paraId="3DAFCE14">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引水流量（m</w:t>
            </w:r>
            <w:r>
              <w:rPr>
                <w:rFonts w:hint="default" w:ascii="Times New Roman" w:hAnsi="Times New Roman" w:cs="Times New Roman"/>
                <w:b/>
                <w:bCs/>
                <w:color w:val="auto"/>
                <w:kern w:val="2"/>
                <w:highlight w:val="none"/>
                <w:vertAlign w:val="superscript"/>
              </w:rPr>
              <w:t>3</w:t>
            </w:r>
            <w:r>
              <w:rPr>
                <w:rFonts w:hint="default" w:ascii="Times New Roman" w:hAnsi="Times New Roman" w:cs="Times New Roman"/>
                <w:b/>
                <w:bCs/>
                <w:color w:val="auto"/>
                <w:kern w:val="2"/>
                <w:highlight w:val="none"/>
              </w:rPr>
              <w:t>/s）</w:t>
            </w:r>
          </w:p>
        </w:tc>
        <w:tc>
          <w:tcPr>
            <w:tcW w:w="498" w:type="pct"/>
            <w:vAlign w:val="center"/>
          </w:tcPr>
          <w:p w14:paraId="07E6D09F">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件数</w:t>
            </w:r>
          </w:p>
          <w:p w14:paraId="1C81BCAB">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lang w:eastAsia="zh-CN"/>
              </w:rPr>
              <w:t>（</w:t>
            </w:r>
            <w:r>
              <w:rPr>
                <w:rFonts w:hint="default" w:ascii="Times New Roman" w:hAnsi="Times New Roman" w:cs="Times New Roman"/>
                <w:b/>
                <w:bCs/>
                <w:color w:val="auto"/>
                <w:kern w:val="2"/>
                <w:highlight w:val="none"/>
              </w:rPr>
              <w:t>件</w:t>
            </w:r>
            <w:r>
              <w:rPr>
                <w:rFonts w:hint="default" w:ascii="Times New Roman" w:hAnsi="Times New Roman" w:cs="Times New Roman"/>
                <w:b/>
                <w:bCs/>
                <w:color w:val="auto"/>
                <w:kern w:val="2"/>
                <w:highlight w:val="none"/>
                <w:lang w:eastAsia="zh-CN"/>
              </w:rPr>
              <w:t>）</w:t>
            </w:r>
          </w:p>
        </w:tc>
        <w:tc>
          <w:tcPr>
            <w:tcW w:w="583" w:type="pct"/>
            <w:vAlign w:val="center"/>
          </w:tcPr>
          <w:p w14:paraId="31D1DDF1">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件数</w:t>
            </w:r>
          </w:p>
          <w:p w14:paraId="382FB913">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（件）</w:t>
            </w:r>
          </w:p>
        </w:tc>
        <w:tc>
          <w:tcPr>
            <w:tcW w:w="583" w:type="pct"/>
            <w:vAlign w:val="center"/>
          </w:tcPr>
          <w:p w14:paraId="3239E598">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件数</w:t>
            </w:r>
          </w:p>
          <w:p w14:paraId="19DBD649">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（件）</w:t>
            </w:r>
          </w:p>
        </w:tc>
        <w:tc>
          <w:tcPr>
            <w:tcW w:w="444" w:type="pct"/>
            <w:vAlign w:val="center"/>
          </w:tcPr>
          <w:p w14:paraId="21B873D5">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件数（件）</w:t>
            </w:r>
          </w:p>
        </w:tc>
      </w:tr>
      <w:tr w14:paraId="1B9213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563" w:type="pct"/>
            <w:noWrap/>
            <w:vAlign w:val="center"/>
          </w:tcPr>
          <w:p w14:paraId="0DAA331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麒麟区</w:t>
            </w:r>
          </w:p>
        </w:tc>
        <w:tc>
          <w:tcPr>
            <w:tcW w:w="498" w:type="pct"/>
            <w:noWrap/>
            <w:vAlign w:val="center"/>
          </w:tcPr>
          <w:p w14:paraId="5575EDD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144</w:t>
            </w:r>
          </w:p>
        </w:tc>
        <w:tc>
          <w:tcPr>
            <w:tcW w:w="666" w:type="pct"/>
            <w:noWrap/>
            <w:vAlign w:val="center"/>
          </w:tcPr>
          <w:p w14:paraId="283222B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23844</w:t>
            </w:r>
          </w:p>
        </w:tc>
        <w:tc>
          <w:tcPr>
            <w:tcW w:w="500" w:type="pct"/>
            <w:noWrap/>
            <w:vAlign w:val="center"/>
          </w:tcPr>
          <w:p w14:paraId="266A25D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709</w:t>
            </w:r>
          </w:p>
        </w:tc>
        <w:tc>
          <w:tcPr>
            <w:tcW w:w="665" w:type="pct"/>
            <w:noWrap/>
            <w:vAlign w:val="center"/>
          </w:tcPr>
          <w:p w14:paraId="51396EE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39</w:t>
            </w:r>
          </w:p>
        </w:tc>
        <w:tc>
          <w:tcPr>
            <w:tcW w:w="498" w:type="pct"/>
            <w:noWrap/>
            <w:vAlign w:val="center"/>
          </w:tcPr>
          <w:p w14:paraId="2360AC0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w:t>
            </w:r>
          </w:p>
        </w:tc>
        <w:tc>
          <w:tcPr>
            <w:tcW w:w="583" w:type="pct"/>
            <w:noWrap/>
            <w:vAlign w:val="center"/>
          </w:tcPr>
          <w:p w14:paraId="4EB431A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71E2AF5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251</w:t>
            </w:r>
          </w:p>
        </w:tc>
        <w:tc>
          <w:tcPr>
            <w:tcW w:w="444" w:type="pct"/>
            <w:noWrap/>
            <w:vAlign w:val="center"/>
          </w:tcPr>
          <w:p w14:paraId="206D48E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1105</w:t>
            </w:r>
          </w:p>
        </w:tc>
      </w:tr>
      <w:tr w14:paraId="57EE7F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563" w:type="pct"/>
            <w:noWrap/>
            <w:vAlign w:val="center"/>
          </w:tcPr>
          <w:p w14:paraId="4E0E18B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沾益区</w:t>
            </w:r>
          </w:p>
        </w:tc>
        <w:tc>
          <w:tcPr>
            <w:tcW w:w="498" w:type="pct"/>
            <w:noWrap/>
            <w:vAlign w:val="center"/>
          </w:tcPr>
          <w:p w14:paraId="0DD78A7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199</w:t>
            </w:r>
          </w:p>
        </w:tc>
        <w:tc>
          <w:tcPr>
            <w:tcW w:w="666" w:type="pct"/>
            <w:noWrap/>
            <w:vAlign w:val="center"/>
          </w:tcPr>
          <w:p w14:paraId="20E6AFA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19651</w:t>
            </w:r>
          </w:p>
        </w:tc>
        <w:tc>
          <w:tcPr>
            <w:tcW w:w="500" w:type="pct"/>
            <w:noWrap/>
            <w:vAlign w:val="center"/>
          </w:tcPr>
          <w:p w14:paraId="4CEC44C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77</w:t>
            </w:r>
          </w:p>
        </w:tc>
        <w:tc>
          <w:tcPr>
            <w:tcW w:w="665" w:type="pct"/>
            <w:noWrap/>
            <w:vAlign w:val="center"/>
          </w:tcPr>
          <w:p w14:paraId="1F181E6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21</w:t>
            </w:r>
          </w:p>
        </w:tc>
        <w:tc>
          <w:tcPr>
            <w:tcW w:w="498" w:type="pct"/>
            <w:noWrap/>
            <w:vAlign w:val="center"/>
          </w:tcPr>
          <w:p w14:paraId="7B5221A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18E259F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3EA21F1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112</w:t>
            </w:r>
          </w:p>
        </w:tc>
        <w:tc>
          <w:tcPr>
            <w:tcW w:w="444" w:type="pct"/>
            <w:noWrap/>
            <w:vAlign w:val="center"/>
          </w:tcPr>
          <w:p w14:paraId="6C8F7E5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388</w:t>
            </w:r>
          </w:p>
        </w:tc>
      </w:tr>
      <w:tr w14:paraId="256D4C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atLeast"/>
        </w:trPr>
        <w:tc>
          <w:tcPr>
            <w:tcW w:w="563" w:type="pct"/>
            <w:noWrap/>
            <w:vAlign w:val="center"/>
          </w:tcPr>
          <w:p w14:paraId="73AED3C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马龙区</w:t>
            </w:r>
          </w:p>
        </w:tc>
        <w:tc>
          <w:tcPr>
            <w:tcW w:w="498" w:type="pct"/>
            <w:noWrap/>
            <w:vAlign w:val="center"/>
          </w:tcPr>
          <w:p w14:paraId="150079D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202</w:t>
            </w:r>
          </w:p>
        </w:tc>
        <w:tc>
          <w:tcPr>
            <w:tcW w:w="666" w:type="pct"/>
            <w:noWrap/>
            <w:vAlign w:val="center"/>
          </w:tcPr>
          <w:p w14:paraId="4E4E746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3946</w:t>
            </w:r>
          </w:p>
        </w:tc>
        <w:tc>
          <w:tcPr>
            <w:tcW w:w="500" w:type="pct"/>
            <w:noWrap/>
            <w:vAlign w:val="center"/>
          </w:tcPr>
          <w:p w14:paraId="32D3C08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w:t>
            </w:r>
          </w:p>
        </w:tc>
        <w:tc>
          <w:tcPr>
            <w:tcW w:w="665" w:type="pct"/>
            <w:noWrap/>
            <w:vAlign w:val="center"/>
          </w:tcPr>
          <w:p w14:paraId="008E98C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w:t>
            </w:r>
          </w:p>
        </w:tc>
        <w:tc>
          <w:tcPr>
            <w:tcW w:w="498" w:type="pct"/>
            <w:noWrap/>
            <w:vAlign w:val="center"/>
          </w:tcPr>
          <w:p w14:paraId="7986A1B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3CF6CA8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62C3F1A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130</w:t>
            </w:r>
          </w:p>
        </w:tc>
        <w:tc>
          <w:tcPr>
            <w:tcW w:w="444" w:type="pct"/>
            <w:noWrap/>
            <w:vAlign w:val="center"/>
          </w:tcPr>
          <w:p w14:paraId="121AB3B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338</w:t>
            </w:r>
          </w:p>
        </w:tc>
      </w:tr>
      <w:tr w14:paraId="15A293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atLeast"/>
        </w:trPr>
        <w:tc>
          <w:tcPr>
            <w:tcW w:w="563" w:type="pct"/>
            <w:noWrap/>
            <w:vAlign w:val="center"/>
          </w:tcPr>
          <w:p w14:paraId="6D25157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陆良县</w:t>
            </w:r>
          </w:p>
        </w:tc>
        <w:tc>
          <w:tcPr>
            <w:tcW w:w="498" w:type="pct"/>
            <w:noWrap/>
            <w:vAlign w:val="center"/>
          </w:tcPr>
          <w:p w14:paraId="42B67D2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455</w:t>
            </w:r>
          </w:p>
        </w:tc>
        <w:tc>
          <w:tcPr>
            <w:tcW w:w="666" w:type="pct"/>
            <w:noWrap/>
            <w:vAlign w:val="center"/>
          </w:tcPr>
          <w:p w14:paraId="6DEB4CA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24166</w:t>
            </w:r>
          </w:p>
        </w:tc>
        <w:tc>
          <w:tcPr>
            <w:tcW w:w="500" w:type="pct"/>
            <w:noWrap/>
            <w:vAlign w:val="center"/>
          </w:tcPr>
          <w:p w14:paraId="76E8918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859</w:t>
            </w:r>
          </w:p>
        </w:tc>
        <w:tc>
          <w:tcPr>
            <w:tcW w:w="665" w:type="pct"/>
            <w:noWrap/>
            <w:vAlign w:val="center"/>
          </w:tcPr>
          <w:p w14:paraId="5325148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47</w:t>
            </w:r>
          </w:p>
        </w:tc>
        <w:tc>
          <w:tcPr>
            <w:tcW w:w="498" w:type="pct"/>
            <w:noWrap/>
            <w:vAlign w:val="center"/>
          </w:tcPr>
          <w:p w14:paraId="5092844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1FEA22F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744D136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347</w:t>
            </w:r>
          </w:p>
        </w:tc>
        <w:tc>
          <w:tcPr>
            <w:tcW w:w="444" w:type="pct"/>
            <w:noWrap/>
            <w:vAlign w:val="center"/>
          </w:tcPr>
          <w:p w14:paraId="4BEE724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1661</w:t>
            </w:r>
          </w:p>
        </w:tc>
      </w:tr>
      <w:tr w14:paraId="33DDAB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atLeast"/>
        </w:trPr>
        <w:tc>
          <w:tcPr>
            <w:tcW w:w="563" w:type="pct"/>
            <w:noWrap/>
            <w:vAlign w:val="center"/>
          </w:tcPr>
          <w:p w14:paraId="1909945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师宗县</w:t>
            </w:r>
          </w:p>
        </w:tc>
        <w:tc>
          <w:tcPr>
            <w:tcW w:w="498" w:type="pct"/>
            <w:noWrap/>
            <w:vAlign w:val="center"/>
          </w:tcPr>
          <w:p w14:paraId="1F8DBF8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96</w:t>
            </w:r>
          </w:p>
        </w:tc>
        <w:tc>
          <w:tcPr>
            <w:tcW w:w="666" w:type="pct"/>
            <w:noWrap/>
            <w:vAlign w:val="center"/>
          </w:tcPr>
          <w:p w14:paraId="1BF96EA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6837</w:t>
            </w:r>
          </w:p>
        </w:tc>
        <w:tc>
          <w:tcPr>
            <w:tcW w:w="500" w:type="pct"/>
            <w:noWrap/>
            <w:vAlign w:val="center"/>
          </w:tcPr>
          <w:p w14:paraId="4B175AA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320</w:t>
            </w:r>
          </w:p>
        </w:tc>
        <w:tc>
          <w:tcPr>
            <w:tcW w:w="665" w:type="pct"/>
            <w:noWrap/>
            <w:vAlign w:val="center"/>
          </w:tcPr>
          <w:p w14:paraId="59FEA6C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32</w:t>
            </w:r>
          </w:p>
        </w:tc>
        <w:tc>
          <w:tcPr>
            <w:tcW w:w="498" w:type="pct"/>
            <w:noWrap/>
            <w:vAlign w:val="center"/>
          </w:tcPr>
          <w:p w14:paraId="19509A1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4433A1D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0BD3C3B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308</w:t>
            </w:r>
          </w:p>
        </w:tc>
        <w:tc>
          <w:tcPr>
            <w:tcW w:w="444" w:type="pct"/>
            <w:noWrap/>
            <w:vAlign w:val="center"/>
          </w:tcPr>
          <w:p w14:paraId="56090A5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724</w:t>
            </w:r>
          </w:p>
        </w:tc>
      </w:tr>
      <w:tr w14:paraId="7EE1CC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63" w:type="pct"/>
            <w:noWrap/>
            <w:vAlign w:val="center"/>
          </w:tcPr>
          <w:p w14:paraId="5A05706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罗平县</w:t>
            </w:r>
          </w:p>
        </w:tc>
        <w:tc>
          <w:tcPr>
            <w:tcW w:w="498" w:type="pct"/>
            <w:noWrap/>
            <w:vAlign w:val="center"/>
          </w:tcPr>
          <w:p w14:paraId="1DB6CF8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137</w:t>
            </w:r>
          </w:p>
        </w:tc>
        <w:tc>
          <w:tcPr>
            <w:tcW w:w="666" w:type="pct"/>
            <w:noWrap/>
            <w:vAlign w:val="center"/>
          </w:tcPr>
          <w:p w14:paraId="094538C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4514</w:t>
            </w:r>
          </w:p>
        </w:tc>
        <w:tc>
          <w:tcPr>
            <w:tcW w:w="500" w:type="pct"/>
            <w:noWrap/>
            <w:vAlign w:val="center"/>
          </w:tcPr>
          <w:p w14:paraId="3F9FFAF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32</w:t>
            </w:r>
          </w:p>
        </w:tc>
        <w:tc>
          <w:tcPr>
            <w:tcW w:w="665" w:type="pct"/>
            <w:noWrap/>
            <w:vAlign w:val="center"/>
          </w:tcPr>
          <w:p w14:paraId="776CADC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w:t>
            </w:r>
          </w:p>
        </w:tc>
        <w:tc>
          <w:tcPr>
            <w:tcW w:w="498" w:type="pct"/>
            <w:noWrap/>
            <w:vAlign w:val="center"/>
          </w:tcPr>
          <w:p w14:paraId="1F546EE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052FA79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103D995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294</w:t>
            </w:r>
          </w:p>
        </w:tc>
        <w:tc>
          <w:tcPr>
            <w:tcW w:w="444" w:type="pct"/>
            <w:noWrap/>
            <w:vAlign w:val="center"/>
          </w:tcPr>
          <w:p w14:paraId="262F47C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463</w:t>
            </w:r>
          </w:p>
        </w:tc>
      </w:tr>
      <w:tr w14:paraId="2ACEAE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atLeast"/>
        </w:trPr>
        <w:tc>
          <w:tcPr>
            <w:tcW w:w="563" w:type="pct"/>
            <w:noWrap/>
            <w:vAlign w:val="center"/>
          </w:tcPr>
          <w:p w14:paraId="377F70F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富源县</w:t>
            </w:r>
          </w:p>
        </w:tc>
        <w:tc>
          <w:tcPr>
            <w:tcW w:w="498" w:type="pct"/>
            <w:noWrap/>
            <w:vAlign w:val="center"/>
          </w:tcPr>
          <w:p w14:paraId="2F1CCD7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162</w:t>
            </w:r>
          </w:p>
        </w:tc>
        <w:tc>
          <w:tcPr>
            <w:tcW w:w="666" w:type="pct"/>
            <w:noWrap/>
            <w:vAlign w:val="center"/>
          </w:tcPr>
          <w:p w14:paraId="7F02B74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13421</w:t>
            </w:r>
          </w:p>
        </w:tc>
        <w:tc>
          <w:tcPr>
            <w:tcW w:w="500" w:type="pct"/>
            <w:noWrap/>
            <w:vAlign w:val="center"/>
          </w:tcPr>
          <w:p w14:paraId="263EEED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160</w:t>
            </w:r>
          </w:p>
        </w:tc>
        <w:tc>
          <w:tcPr>
            <w:tcW w:w="665" w:type="pct"/>
            <w:noWrap/>
            <w:vAlign w:val="center"/>
          </w:tcPr>
          <w:p w14:paraId="575DC7A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29</w:t>
            </w:r>
          </w:p>
        </w:tc>
        <w:tc>
          <w:tcPr>
            <w:tcW w:w="498" w:type="pct"/>
            <w:noWrap/>
            <w:vAlign w:val="center"/>
          </w:tcPr>
          <w:p w14:paraId="43C072A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83" w:type="pct"/>
            <w:noWrap/>
            <w:vAlign w:val="center"/>
          </w:tcPr>
          <w:p w14:paraId="48FB8AF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w:t>
            </w:r>
          </w:p>
        </w:tc>
        <w:tc>
          <w:tcPr>
            <w:tcW w:w="583" w:type="pct"/>
            <w:noWrap/>
            <w:vAlign w:val="center"/>
          </w:tcPr>
          <w:p w14:paraId="750E3FA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274</w:t>
            </w:r>
          </w:p>
        </w:tc>
        <w:tc>
          <w:tcPr>
            <w:tcW w:w="444" w:type="pct"/>
            <w:noWrap/>
            <w:vAlign w:val="center"/>
          </w:tcPr>
          <w:p w14:paraId="3EADC0E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598</w:t>
            </w:r>
          </w:p>
        </w:tc>
      </w:tr>
      <w:tr w14:paraId="2C026E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55" w:hRule="atLeast"/>
        </w:trPr>
        <w:tc>
          <w:tcPr>
            <w:tcW w:w="563" w:type="pct"/>
            <w:noWrap/>
            <w:vAlign w:val="center"/>
          </w:tcPr>
          <w:p w14:paraId="560CD20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合计</w:t>
            </w:r>
          </w:p>
        </w:tc>
        <w:tc>
          <w:tcPr>
            <w:tcW w:w="498" w:type="pct"/>
            <w:noWrap/>
            <w:vAlign w:val="center"/>
          </w:tcPr>
          <w:p w14:paraId="44E294C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1395</w:t>
            </w:r>
          </w:p>
        </w:tc>
        <w:tc>
          <w:tcPr>
            <w:tcW w:w="666" w:type="pct"/>
            <w:noWrap/>
            <w:vAlign w:val="center"/>
          </w:tcPr>
          <w:p w14:paraId="4372C3F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96379</w:t>
            </w:r>
          </w:p>
        </w:tc>
        <w:tc>
          <w:tcPr>
            <w:tcW w:w="500" w:type="pct"/>
            <w:noWrap/>
            <w:vAlign w:val="center"/>
          </w:tcPr>
          <w:p w14:paraId="24D5294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2163</w:t>
            </w:r>
          </w:p>
        </w:tc>
        <w:tc>
          <w:tcPr>
            <w:tcW w:w="665" w:type="pct"/>
            <w:noWrap/>
            <w:vAlign w:val="center"/>
          </w:tcPr>
          <w:p w14:paraId="209E8D3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178</w:t>
            </w:r>
          </w:p>
        </w:tc>
        <w:tc>
          <w:tcPr>
            <w:tcW w:w="498" w:type="pct"/>
            <w:noWrap/>
            <w:vAlign w:val="center"/>
          </w:tcPr>
          <w:p w14:paraId="7D9C8F2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w:t>
            </w:r>
          </w:p>
        </w:tc>
        <w:tc>
          <w:tcPr>
            <w:tcW w:w="583" w:type="pct"/>
            <w:noWrap/>
            <w:vAlign w:val="center"/>
          </w:tcPr>
          <w:p w14:paraId="7A2CEE5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w:t>
            </w:r>
          </w:p>
        </w:tc>
        <w:tc>
          <w:tcPr>
            <w:tcW w:w="583" w:type="pct"/>
            <w:noWrap/>
            <w:vAlign w:val="center"/>
          </w:tcPr>
          <w:p w14:paraId="28C130F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1716</w:t>
            </w:r>
          </w:p>
        </w:tc>
        <w:tc>
          <w:tcPr>
            <w:tcW w:w="444" w:type="pct"/>
            <w:noWrap/>
            <w:vAlign w:val="center"/>
          </w:tcPr>
          <w:p w14:paraId="167F483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5277</w:t>
            </w:r>
          </w:p>
        </w:tc>
      </w:tr>
    </w:tbl>
    <w:p w14:paraId="74FD4588">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蓄水工程</w:t>
      </w:r>
    </w:p>
    <w:p w14:paraId="2FB48081">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现状已建成独木1座大型水库，总库容10506万m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，兴利库容9943万m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；建成潇湘、水城、西河、花山、白浪、响水坝、莲花田、东风、溜子田、龙王庙、湾子、石坝、响水河、洞上、岔河等中型水库21</w:t>
      </w:r>
      <w:r>
        <w:rPr>
          <w:rFonts w:hint="default" w:ascii="Times New Roman" w:hAnsi="Times New Roman" w:cs="Times New Roman"/>
          <w:color w:val="auto"/>
          <w:highlight w:val="none"/>
          <w:lang w:eastAsia="zh-CN"/>
        </w:rPr>
        <w:t>座</w:t>
      </w:r>
      <w:r>
        <w:rPr>
          <w:rFonts w:hint="default" w:ascii="Times New Roman" w:hAnsi="Times New Roman" w:cs="Times New Roman"/>
          <w:color w:val="auto"/>
          <w:highlight w:val="none"/>
        </w:rPr>
        <w:t>，总库容51123万m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，兴利库容42521万m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；建成小（1）型水库77座，总库容20694万m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，兴利库容15439万m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；建成小（2）型水库及小塘坝1296座，总库容14003万m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，兴利库容10399万m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51750BC8">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引水工程</w:t>
      </w:r>
    </w:p>
    <w:p w14:paraId="5F66B647">
      <w:pPr>
        <w:pStyle w:val="14"/>
        <w:ind w:firstLine="48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到2024年底，南盘江（曲靖市境内）流域建成的引提水及连通工程2163件，总设计引水流量178m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/s。其中引水流量0.3m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/s以上的引水工程211件，总设计引水流量139m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/s；引水流量0.3m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/s以下的小型引水工程1952件，总设计引水流量39.2m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w:t>
      </w:r>
    </w:p>
    <w:p w14:paraId="31E6111C">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现状供用水量</w:t>
      </w:r>
    </w:p>
    <w:p w14:paraId="0DDA57E5">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现状供水量</w:t>
      </w:r>
    </w:p>
    <w:p w14:paraId="310008BD">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现状年南盘江（曲靖市境内）流域内总供水量为85431万m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，其中蓄水工程供水量62123万m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，占总供水量的72.7%；引提水及连通工程供水量16984万m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，占总供水量的19.9%；调水工程供水量3493万m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，占总供水量的4.1%；再生水工程供水量84万m³，占总供水量的0.10%；地下水及其他工程供水量2747万m³，占总供水量的3.2%。说明流域内现状水资源开发利用</w:t>
      </w:r>
      <w:r>
        <w:rPr>
          <w:rFonts w:hint="default" w:ascii="Times New Roman" w:hAnsi="Times New Roman" w:cs="Times New Roman"/>
          <w:color w:val="auto"/>
          <w:highlight w:val="none"/>
          <w:lang w:eastAsia="zh-CN"/>
        </w:rPr>
        <w:t>以地表水源开发为主</w:t>
      </w:r>
      <w:r>
        <w:rPr>
          <w:rFonts w:hint="default" w:ascii="Times New Roman" w:hAnsi="Times New Roman" w:cs="Times New Roman"/>
          <w:color w:val="auto"/>
          <w:highlight w:val="none"/>
        </w:rPr>
        <w:t>，地下水及其它工程仅作为补充供水，地表水供水中，又以可调节径流的蓄水工程为主，引提水工程次之。</w:t>
      </w:r>
    </w:p>
    <w:p w14:paraId="2F0D282E">
      <w:pPr>
        <w:pStyle w:val="14"/>
        <w:ind w:firstLine="482"/>
        <w:rPr>
          <w:rFonts w:hint="default" w:ascii="Times New Roman" w:hAnsi="Times New Roman" w:cs="Times New Roman"/>
          <w:color w:val="auto"/>
          <w:highlight w:val="none"/>
        </w:rPr>
      </w:pPr>
      <w:r>
        <w:rPr>
          <w:rFonts w:hint="default" w:ascii="Times New Roman" w:hAnsi="Times New Roman" w:cs="Times New Roman"/>
          <w:b w:val="0"/>
          <w:bCs w:val="0"/>
          <w:color w:val="auto"/>
          <w:highlight w:val="none"/>
        </w:rPr>
        <w:t>从行政区看，</w:t>
      </w:r>
      <w:r>
        <w:rPr>
          <w:rFonts w:hint="default" w:ascii="Times New Roman" w:hAnsi="Times New Roman" w:cs="Times New Roman"/>
          <w:color w:val="auto"/>
          <w:highlight w:val="none"/>
        </w:rPr>
        <w:t>麒麟区、沾益区、陆良县、马龙区、师宗县、富源县以蓄水工程供水为主，蓄水工程供水占总供水量的60%以上，罗平县以蓄水工程、引提水及连通工程供水为主，占比分别为40.7%、52.0%。</w:t>
      </w:r>
      <w:r>
        <w:rPr>
          <w:rFonts w:hint="default" w:ascii="Times New Roman" w:hAnsi="Times New Roman" w:cs="Times New Roman"/>
          <w:b w:val="0"/>
          <w:bCs w:val="0"/>
          <w:color w:val="auto"/>
          <w:highlight w:val="none"/>
        </w:rPr>
        <w:t>从水资源四级区分区来看，</w:t>
      </w:r>
      <w:r>
        <w:rPr>
          <w:rFonts w:hint="default" w:ascii="Times New Roman" w:hAnsi="Times New Roman" w:cs="Times New Roman"/>
          <w:color w:val="auto"/>
          <w:highlight w:val="none"/>
        </w:rPr>
        <w:t>沾曲陆宜流域现状供水量53681万m³，占比62.8%；黄泥河流域现状供水量为23146万m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，占比27.1%。南盘江下段干流、甸溪河、清水江流域现状供水量分别为5582万m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、2937万m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、84万m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，分别占南盘江流域现状可供水量的6.5%、3.4%、0.1%。</w:t>
      </w:r>
    </w:p>
    <w:p w14:paraId="01EB0F84">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2.1.</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SEQ 表 \* ARABIC \s 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 xml:space="preserve">  流域内现状各类供水设施供水量（按行政区）</w:t>
      </w:r>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2"/>
        <w:gridCol w:w="1171"/>
        <w:gridCol w:w="1171"/>
        <w:gridCol w:w="1171"/>
        <w:gridCol w:w="1300"/>
        <w:gridCol w:w="1300"/>
        <w:gridCol w:w="987"/>
      </w:tblGrid>
      <w:tr w14:paraId="2E6217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834" w:type="pct"/>
            <w:vMerge w:val="restart"/>
            <w:noWrap/>
            <w:vAlign w:val="center"/>
          </w:tcPr>
          <w:p w14:paraId="3A59A6C7">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行政区</w:t>
            </w:r>
          </w:p>
        </w:tc>
        <w:tc>
          <w:tcPr>
            <w:tcW w:w="4166" w:type="pct"/>
            <w:gridSpan w:val="6"/>
            <w:noWrap/>
            <w:vAlign w:val="center"/>
          </w:tcPr>
          <w:p w14:paraId="45405941">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供水量（万m</w:t>
            </w:r>
            <w:r>
              <w:rPr>
                <w:rFonts w:hint="default" w:ascii="Times New Roman" w:hAnsi="Times New Roman" w:cs="Times New Roman"/>
                <w:b/>
                <w:bCs/>
                <w:color w:val="auto"/>
                <w:kern w:val="2"/>
                <w:highlight w:val="none"/>
                <w:vertAlign w:val="superscript"/>
              </w:rPr>
              <w:t>3</w:t>
            </w:r>
            <w:r>
              <w:rPr>
                <w:rFonts w:hint="default" w:ascii="Times New Roman" w:hAnsi="Times New Roman" w:cs="Times New Roman"/>
                <w:b/>
                <w:bCs/>
                <w:color w:val="auto"/>
                <w:kern w:val="2"/>
                <w:highlight w:val="none"/>
              </w:rPr>
              <w:t>）</w:t>
            </w:r>
          </w:p>
        </w:tc>
      </w:tr>
      <w:tr w14:paraId="6D416C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vMerge w:val="continue"/>
            <w:vAlign w:val="center"/>
          </w:tcPr>
          <w:p w14:paraId="55496132">
            <w:pPr>
              <w:pStyle w:val="30"/>
              <w:spacing w:line="240" w:lineRule="auto"/>
              <w:jc w:val="center"/>
              <w:rPr>
                <w:rFonts w:hint="default" w:ascii="Times New Roman" w:hAnsi="Times New Roman" w:cs="Times New Roman"/>
                <w:b/>
                <w:bCs/>
                <w:color w:val="auto"/>
                <w:kern w:val="2"/>
                <w:highlight w:val="none"/>
              </w:rPr>
            </w:pPr>
          </w:p>
        </w:tc>
        <w:tc>
          <w:tcPr>
            <w:tcW w:w="687" w:type="pct"/>
            <w:noWrap/>
            <w:vAlign w:val="center"/>
          </w:tcPr>
          <w:p w14:paraId="03B42FCE">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蓄水工程</w:t>
            </w:r>
          </w:p>
        </w:tc>
        <w:tc>
          <w:tcPr>
            <w:tcW w:w="687" w:type="pct"/>
            <w:noWrap/>
            <w:vAlign w:val="center"/>
          </w:tcPr>
          <w:p w14:paraId="174C679E">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引提水及连通工程</w:t>
            </w:r>
          </w:p>
        </w:tc>
        <w:tc>
          <w:tcPr>
            <w:tcW w:w="687" w:type="pct"/>
            <w:noWrap/>
            <w:vAlign w:val="center"/>
          </w:tcPr>
          <w:p w14:paraId="684BEA5F">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调水工程</w:t>
            </w:r>
          </w:p>
        </w:tc>
        <w:tc>
          <w:tcPr>
            <w:tcW w:w="763" w:type="pct"/>
            <w:noWrap/>
            <w:vAlign w:val="center"/>
          </w:tcPr>
          <w:p w14:paraId="2304D398">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再生水工程</w:t>
            </w:r>
          </w:p>
        </w:tc>
        <w:tc>
          <w:tcPr>
            <w:tcW w:w="763" w:type="pct"/>
            <w:noWrap/>
            <w:vAlign w:val="center"/>
          </w:tcPr>
          <w:p w14:paraId="006FB7E3">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地下水及其他工程</w:t>
            </w:r>
          </w:p>
        </w:tc>
        <w:tc>
          <w:tcPr>
            <w:tcW w:w="579" w:type="pct"/>
            <w:noWrap/>
            <w:vAlign w:val="center"/>
          </w:tcPr>
          <w:p w14:paraId="10F27825">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合计</w:t>
            </w:r>
          </w:p>
        </w:tc>
      </w:tr>
      <w:tr w14:paraId="199EF2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noWrap/>
            <w:vAlign w:val="center"/>
          </w:tcPr>
          <w:p w14:paraId="55901FA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麒麟区</w:t>
            </w:r>
          </w:p>
        </w:tc>
        <w:tc>
          <w:tcPr>
            <w:tcW w:w="687" w:type="pct"/>
            <w:noWrap/>
            <w:vAlign w:val="center"/>
          </w:tcPr>
          <w:p w14:paraId="7778003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15525</w:t>
            </w:r>
          </w:p>
        </w:tc>
        <w:tc>
          <w:tcPr>
            <w:tcW w:w="687" w:type="pct"/>
            <w:noWrap/>
            <w:vAlign w:val="center"/>
          </w:tcPr>
          <w:p w14:paraId="1E5740B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3682</w:t>
            </w:r>
          </w:p>
        </w:tc>
        <w:tc>
          <w:tcPr>
            <w:tcW w:w="687" w:type="pct"/>
            <w:noWrap/>
            <w:vAlign w:val="center"/>
          </w:tcPr>
          <w:p w14:paraId="395E434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3493</w:t>
            </w:r>
          </w:p>
        </w:tc>
        <w:tc>
          <w:tcPr>
            <w:tcW w:w="763" w:type="pct"/>
            <w:noWrap/>
            <w:vAlign w:val="center"/>
          </w:tcPr>
          <w:p w14:paraId="40D9541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47F1ABA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602</w:t>
            </w:r>
          </w:p>
        </w:tc>
        <w:tc>
          <w:tcPr>
            <w:tcW w:w="579" w:type="pct"/>
            <w:noWrap/>
            <w:vAlign w:val="center"/>
          </w:tcPr>
          <w:p w14:paraId="47E5820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23301</w:t>
            </w:r>
          </w:p>
        </w:tc>
      </w:tr>
      <w:tr w14:paraId="47EE15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noWrap/>
            <w:vAlign w:val="center"/>
          </w:tcPr>
          <w:p w14:paraId="4E032E4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沾益区</w:t>
            </w:r>
          </w:p>
        </w:tc>
        <w:tc>
          <w:tcPr>
            <w:tcW w:w="687" w:type="pct"/>
            <w:noWrap/>
            <w:vAlign w:val="center"/>
          </w:tcPr>
          <w:p w14:paraId="013BD09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11960</w:t>
            </w:r>
          </w:p>
        </w:tc>
        <w:tc>
          <w:tcPr>
            <w:tcW w:w="687" w:type="pct"/>
            <w:noWrap/>
            <w:vAlign w:val="center"/>
          </w:tcPr>
          <w:p w14:paraId="33DDBCF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1412</w:t>
            </w:r>
          </w:p>
        </w:tc>
        <w:tc>
          <w:tcPr>
            <w:tcW w:w="687" w:type="pct"/>
            <w:noWrap/>
            <w:vAlign w:val="center"/>
          </w:tcPr>
          <w:p w14:paraId="06DB68A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5FC1398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7A78DD8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60</w:t>
            </w:r>
          </w:p>
        </w:tc>
        <w:tc>
          <w:tcPr>
            <w:tcW w:w="579" w:type="pct"/>
            <w:noWrap/>
            <w:vAlign w:val="center"/>
          </w:tcPr>
          <w:p w14:paraId="645EF5B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13432</w:t>
            </w:r>
          </w:p>
        </w:tc>
      </w:tr>
      <w:tr w14:paraId="6D4182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noWrap/>
            <w:vAlign w:val="center"/>
          </w:tcPr>
          <w:p w14:paraId="234F264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马龙区</w:t>
            </w:r>
          </w:p>
        </w:tc>
        <w:tc>
          <w:tcPr>
            <w:tcW w:w="687" w:type="pct"/>
            <w:noWrap/>
            <w:vAlign w:val="center"/>
          </w:tcPr>
          <w:p w14:paraId="2F8438E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1069</w:t>
            </w:r>
          </w:p>
        </w:tc>
        <w:tc>
          <w:tcPr>
            <w:tcW w:w="687" w:type="pct"/>
            <w:noWrap/>
            <w:vAlign w:val="center"/>
          </w:tcPr>
          <w:p w14:paraId="3F561D6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587</w:t>
            </w:r>
          </w:p>
        </w:tc>
        <w:tc>
          <w:tcPr>
            <w:tcW w:w="687" w:type="pct"/>
            <w:noWrap/>
            <w:vAlign w:val="center"/>
          </w:tcPr>
          <w:p w14:paraId="274E208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4E397F9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0B1CF33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24</w:t>
            </w:r>
          </w:p>
        </w:tc>
        <w:tc>
          <w:tcPr>
            <w:tcW w:w="579" w:type="pct"/>
            <w:noWrap/>
            <w:vAlign w:val="center"/>
          </w:tcPr>
          <w:p w14:paraId="577CB20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1680</w:t>
            </w:r>
          </w:p>
        </w:tc>
      </w:tr>
      <w:tr w14:paraId="044FF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noWrap/>
            <w:vAlign w:val="center"/>
          </w:tcPr>
          <w:p w14:paraId="228B2D1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陆良县</w:t>
            </w:r>
          </w:p>
        </w:tc>
        <w:tc>
          <w:tcPr>
            <w:tcW w:w="687" w:type="pct"/>
            <w:noWrap/>
            <w:vAlign w:val="center"/>
          </w:tcPr>
          <w:p w14:paraId="7E3E686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17901</w:t>
            </w:r>
          </w:p>
        </w:tc>
        <w:tc>
          <w:tcPr>
            <w:tcW w:w="687" w:type="pct"/>
            <w:noWrap/>
            <w:vAlign w:val="center"/>
          </w:tcPr>
          <w:p w14:paraId="26FEA31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1675</w:t>
            </w:r>
          </w:p>
        </w:tc>
        <w:tc>
          <w:tcPr>
            <w:tcW w:w="687" w:type="pct"/>
            <w:noWrap/>
            <w:vAlign w:val="center"/>
          </w:tcPr>
          <w:p w14:paraId="49C0092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7545356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5F62369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331</w:t>
            </w:r>
          </w:p>
        </w:tc>
        <w:tc>
          <w:tcPr>
            <w:tcW w:w="579" w:type="pct"/>
            <w:noWrap/>
            <w:vAlign w:val="center"/>
          </w:tcPr>
          <w:p w14:paraId="6CB1684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19907</w:t>
            </w:r>
          </w:p>
        </w:tc>
      </w:tr>
      <w:tr w14:paraId="2B401B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noWrap/>
            <w:vAlign w:val="center"/>
          </w:tcPr>
          <w:p w14:paraId="79C2234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师宗县</w:t>
            </w:r>
          </w:p>
        </w:tc>
        <w:tc>
          <w:tcPr>
            <w:tcW w:w="687" w:type="pct"/>
            <w:noWrap/>
            <w:vAlign w:val="center"/>
          </w:tcPr>
          <w:p w14:paraId="5EE825B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5047</w:t>
            </w:r>
          </w:p>
        </w:tc>
        <w:tc>
          <w:tcPr>
            <w:tcW w:w="687" w:type="pct"/>
            <w:noWrap/>
            <w:vAlign w:val="center"/>
          </w:tcPr>
          <w:p w14:paraId="713A773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1870</w:t>
            </w:r>
          </w:p>
        </w:tc>
        <w:tc>
          <w:tcPr>
            <w:tcW w:w="687" w:type="pct"/>
            <w:noWrap/>
            <w:vAlign w:val="center"/>
          </w:tcPr>
          <w:p w14:paraId="28BE13B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3112AA7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38C47E0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682</w:t>
            </w:r>
          </w:p>
        </w:tc>
        <w:tc>
          <w:tcPr>
            <w:tcW w:w="579" w:type="pct"/>
            <w:noWrap/>
            <w:vAlign w:val="center"/>
          </w:tcPr>
          <w:p w14:paraId="13132D8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7598</w:t>
            </w:r>
          </w:p>
        </w:tc>
      </w:tr>
      <w:tr w14:paraId="456879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noWrap/>
            <w:vAlign w:val="center"/>
          </w:tcPr>
          <w:p w14:paraId="2388685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罗平县</w:t>
            </w:r>
          </w:p>
        </w:tc>
        <w:tc>
          <w:tcPr>
            <w:tcW w:w="687" w:type="pct"/>
            <w:noWrap/>
            <w:vAlign w:val="center"/>
          </w:tcPr>
          <w:p w14:paraId="2C604B3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4852</w:t>
            </w:r>
          </w:p>
        </w:tc>
        <w:tc>
          <w:tcPr>
            <w:tcW w:w="687" w:type="pct"/>
            <w:noWrap/>
            <w:vAlign w:val="center"/>
          </w:tcPr>
          <w:p w14:paraId="45A865A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6193</w:t>
            </w:r>
          </w:p>
        </w:tc>
        <w:tc>
          <w:tcPr>
            <w:tcW w:w="687" w:type="pct"/>
            <w:noWrap/>
            <w:vAlign w:val="center"/>
          </w:tcPr>
          <w:p w14:paraId="1C35D09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0E76DBE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4624455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862</w:t>
            </w:r>
          </w:p>
        </w:tc>
        <w:tc>
          <w:tcPr>
            <w:tcW w:w="579" w:type="pct"/>
            <w:noWrap/>
            <w:vAlign w:val="center"/>
          </w:tcPr>
          <w:p w14:paraId="54C2262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11907</w:t>
            </w:r>
          </w:p>
        </w:tc>
      </w:tr>
      <w:tr w14:paraId="41112D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noWrap/>
            <w:vAlign w:val="center"/>
          </w:tcPr>
          <w:p w14:paraId="233DB88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富源县</w:t>
            </w:r>
          </w:p>
        </w:tc>
        <w:tc>
          <w:tcPr>
            <w:tcW w:w="687" w:type="pct"/>
            <w:noWrap/>
            <w:vAlign w:val="center"/>
          </w:tcPr>
          <w:p w14:paraId="18253B9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5769</w:t>
            </w:r>
          </w:p>
        </w:tc>
        <w:tc>
          <w:tcPr>
            <w:tcW w:w="687" w:type="pct"/>
            <w:noWrap/>
            <w:vAlign w:val="center"/>
          </w:tcPr>
          <w:p w14:paraId="4275E8B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1566</w:t>
            </w:r>
          </w:p>
        </w:tc>
        <w:tc>
          <w:tcPr>
            <w:tcW w:w="687" w:type="pct"/>
            <w:noWrap/>
            <w:vAlign w:val="center"/>
          </w:tcPr>
          <w:p w14:paraId="7724DEE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63" w:type="pct"/>
            <w:noWrap/>
            <w:vAlign w:val="center"/>
          </w:tcPr>
          <w:p w14:paraId="2F5DDF4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84</w:t>
            </w:r>
          </w:p>
        </w:tc>
        <w:tc>
          <w:tcPr>
            <w:tcW w:w="763" w:type="pct"/>
            <w:noWrap/>
            <w:vAlign w:val="center"/>
          </w:tcPr>
          <w:p w14:paraId="3702FB6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186</w:t>
            </w:r>
          </w:p>
        </w:tc>
        <w:tc>
          <w:tcPr>
            <w:tcW w:w="579" w:type="pct"/>
            <w:noWrap/>
            <w:vAlign w:val="center"/>
          </w:tcPr>
          <w:p w14:paraId="09CAFAD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7606</w:t>
            </w:r>
          </w:p>
        </w:tc>
      </w:tr>
      <w:tr w14:paraId="6C91DD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noWrap/>
            <w:vAlign w:val="center"/>
          </w:tcPr>
          <w:p w14:paraId="35B727D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合计</w:t>
            </w:r>
          </w:p>
        </w:tc>
        <w:tc>
          <w:tcPr>
            <w:tcW w:w="687" w:type="pct"/>
            <w:noWrap/>
            <w:vAlign w:val="center"/>
          </w:tcPr>
          <w:p w14:paraId="287052E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62123</w:t>
            </w:r>
          </w:p>
        </w:tc>
        <w:tc>
          <w:tcPr>
            <w:tcW w:w="687" w:type="pct"/>
            <w:noWrap/>
            <w:vAlign w:val="center"/>
          </w:tcPr>
          <w:p w14:paraId="65808B7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16984</w:t>
            </w:r>
          </w:p>
        </w:tc>
        <w:tc>
          <w:tcPr>
            <w:tcW w:w="687" w:type="pct"/>
            <w:noWrap/>
            <w:vAlign w:val="center"/>
          </w:tcPr>
          <w:p w14:paraId="615D2A9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3493</w:t>
            </w:r>
          </w:p>
        </w:tc>
        <w:tc>
          <w:tcPr>
            <w:tcW w:w="763" w:type="pct"/>
            <w:noWrap/>
            <w:vAlign w:val="center"/>
          </w:tcPr>
          <w:p w14:paraId="398DA10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84</w:t>
            </w:r>
          </w:p>
        </w:tc>
        <w:tc>
          <w:tcPr>
            <w:tcW w:w="763" w:type="pct"/>
            <w:noWrap/>
            <w:vAlign w:val="center"/>
          </w:tcPr>
          <w:p w14:paraId="2E030B0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2747</w:t>
            </w:r>
          </w:p>
        </w:tc>
        <w:tc>
          <w:tcPr>
            <w:tcW w:w="579" w:type="pct"/>
            <w:noWrap/>
            <w:vAlign w:val="center"/>
          </w:tcPr>
          <w:p w14:paraId="07937B8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85431</w:t>
            </w:r>
          </w:p>
        </w:tc>
      </w:tr>
      <w:tr w14:paraId="23BDE6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834" w:type="pct"/>
            <w:noWrap/>
            <w:vAlign w:val="center"/>
          </w:tcPr>
          <w:p w14:paraId="2189C96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各类占比（%）</w:t>
            </w:r>
          </w:p>
        </w:tc>
        <w:tc>
          <w:tcPr>
            <w:tcW w:w="687" w:type="pct"/>
            <w:noWrap/>
            <w:vAlign w:val="center"/>
          </w:tcPr>
          <w:p w14:paraId="4A74832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72.7</w:t>
            </w:r>
          </w:p>
        </w:tc>
        <w:tc>
          <w:tcPr>
            <w:tcW w:w="687" w:type="pct"/>
            <w:noWrap/>
            <w:vAlign w:val="center"/>
          </w:tcPr>
          <w:p w14:paraId="00FE01E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19.9</w:t>
            </w:r>
          </w:p>
        </w:tc>
        <w:tc>
          <w:tcPr>
            <w:tcW w:w="687" w:type="pct"/>
            <w:noWrap/>
            <w:vAlign w:val="center"/>
          </w:tcPr>
          <w:p w14:paraId="4F2C8F3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4.1</w:t>
            </w:r>
          </w:p>
        </w:tc>
        <w:tc>
          <w:tcPr>
            <w:tcW w:w="763" w:type="pct"/>
            <w:noWrap/>
            <w:vAlign w:val="center"/>
          </w:tcPr>
          <w:p w14:paraId="09BA2E9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0.1</w:t>
            </w:r>
          </w:p>
        </w:tc>
        <w:tc>
          <w:tcPr>
            <w:tcW w:w="763" w:type="pct"/>
            <w:noWrap/>
            <w:vAlign w:val="center"/>
          </w:tcPr>
          <w:p w14:paraId="55D0D5B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3.2</w:t>
            </w:r>
          </w:p>
        </w:tc>
        <w:tc>
          <w:tcPr>
            <w:tcW w:w="579" w:type="pct"/>
            <w:noWrap/>
            <w:vAlign w:val="center"/>
          </w:tcPr>
          <w:p w14:paraId="0A23EAD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100</w:t>
            </w:r>
          </w:p>
        </w:tc>
      </w:tr>
    </w:tbl>
    <w:p w14:paraId="19DFF1CC">
      <w:pPr>
        <w:pStyle w:val="12"/>
        <w:spacing w:after="156" w:afterLines="50" w:line="240" w:lineRule="auto"/>
        <w:jc w:val="center"/>
        <w:rPr>
          <w:rFonts w:hint="default" w:ascii="Times New Roman" w:hAnsi="Times New Roman" w:eastAsia="方正黑体_GBK" w:cs="Times New Roman"/>
          <w:color w:val="auto"/>
          <w:sz w:val="24"/>
          <w:szCs w:val="24"/>
          <w:highlight w:val="none"/>
        </w:rPr>
      </w:pPr>
    </w:p>
    <w:p w14:paraId="016A2B14">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2.1.</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 xml:space="preserve">  流域内现状各类供水设施供水量（按水资源四级区）</w:t>
      </w:r>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3"/>
        <w:gridCol w:w="1041"/>
        <w:gridCol w:w="1188"/>
        <w:gridCol w:w="1023"/>
        <w:gridCol w:w="886"/>
        <w:gridCol w:w="1065"/>
        <w:gridCol w:w="910"/>
        <w:gridCol w:w="856"/>
      </w:tblGrid>
      <w:tr w14:paraId="6533FF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911" w:type="pct"/>
            <w:vMerge w:val="restart"/>
            <w:noWrap/>
            <w:vAlign w:val="center"/>
          </w:tcPr>
          <w:p w14:paraId="0ECEAAD7">
            <w:pPr>
              <w:pStyle w:val="30"/>
              <w:spacing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kern w:val="2"/>
                <w:highlight w:val="none"/>
              </w:rPr>
              <w:t>水资源分区</w:t>
            </w:r>
          </w:p>
        </w:tc>
        <w:tc>
          <w:tcPr>
            <w:tcW w:w="3587" w:type="pct"/>
            <w:gridSpan w:val="6"/>
            <w:noWrap/>
            <w:vAlign w:val="center"/>
          </w:tcPr>
          <w:p w14:paraId="619B2B63">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供水量（万m</w:t>
            </w:r>
            <w:r>
              <w:rPr>
                <w:rFonts w:hint="default" w:ascii="Times New Roman" w:hAnsi="Times New Roman" w:cs="Times New Roman"/>
                <w:b/>
                <w:bCs/>
                <w:color w:val="auto"/>
                <w:kern w:val="2"/>
                <w:highlight w:val="none"/>
                <w:vertAlign w:val="superscript"/>
              </w:rPr>
              <w:t>3</w:t>
            </w:r>
            <w:r>
              <w:rPr>
                <w:rFonts w:hint="default" w:ascii="Times New Roman" w:hAnsi="Times New Roman" w:cs="Times New Roman"/>
                <w:b/>
                <w:bCs/>
                <w:color w:val="auto"/>
                <w:kern w:val="2"/>
                <w:highlight w:val="none"/>
              </w:rPr>
              <w:t>）</w:t>
            </w:r>
          </w:p>
        </w:tc>
        <w:tc>
          <w:tcPr>
            <w:tcW w:w="502" w:type="pct"/>
            <w:vMerge w:val="restart"/>
            <w:vAlign w:val="center"/>
          </w:tcPr>
          <w:p w14:paraId="30401746">
            <w:pPr>
              <w:pStyle w:val="30"/>
              <w:spacing w:line="240" w:lineRule="auto"/>
              <w:jc w:val="center"/>
              <w:rPr>
                <w:rFonts w:hint="default" w:ascii="Times New Roman" w:hAnsi="Times New Roman" w:cs="Times New Roman"/>
                <w:color w:val="auto"/>
                <w:highlight w:val="none"/>
              </w:rPr>
            </w:pPr>
            <w:r>
              <w:rPr>
                <w:rFonts w:hint="default" w:ascii="Times New Roman" w:hAnsi="Times New Roman" w:cs="Times New Roman"/>
                <w:b/>
                <w:bCs/>
                <w:color w:val="auto"/>
                <w:kern w:val="2"/>
                <w:highlight w:val="none"/>
              </w:rPr>
              <w:t>占比（%）</w:t>
            </w:r>
          </w:p>
        </w:tc>
      </w:tr>
      <w:tr w14:paraId="2DABEF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911" w:type="pct"/>
            <w:vMerge w:val="continue"/>
            <w:vAlign w:val="center"/>
          </w:tcPr>
          <w:p w14:paraId="2D98F61D">
            <w:pPr>
              <w:widowControl/>
              <w:adjustRightInd/>
              <w:snapToGrid/>
              <w:spacing w:line="240" w:lineRule="auto"/>
              <w:jc w:val="center"/>
              <w:rPr>
                <w:rFonts w:hint="default" w:ascii="Times New Roman" w:hAnsi="Times New Roman" w:cs="Times New Roman"/>
                <w:color w:val="auto"/>
                <w:kern w:val="0"/>
                <w:sz w:val="21"/>
                <w:szCs w:val="21"/>
                <w:highlight w:val="none"/>
              </w:rPr>
            </w:pPr>
          </w:p>
        </w:tc>
        <w:tc>
          <w:tcPr>
            <w:tcW w:w="611" w:type="pct"/>
            <w:noWrap/>
            <w:vAlign w:val="center"/>
          </w:tcPr>
          <w:p w14:paraId="18B1BC12">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蓄水工程</w:t>
            </w:r>
          </w:p>
        </w:tc>
        <w:tc>
          <w:tcPr>
            <w:tcW w:w="697" w:type="pct"/>
            <w:noWrap/>
            <w:vAlign w:val="center"/>
          </w:tcPr>
          <w:p w14:paraId="4C55AED7">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引提水及连通工程</w:t>
            </w:r>
          </w:p>
        </w:tc>
        <w:tc>
          <w:tcPr>
            <w:tcW w:w="600" w:type="pct"/>
            <w:noWrap/>
            <w:vAlign w:val="center"/>
          </w:tcPr>
          <w:p w14:paraId="255F3266">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调水工程</w:t>
            </w:r>
          </w:p>
        </w:tc>
        <w:tc>
          <w:tcPr>
            <w:tcW w:w="520" w:type="pct"/>
            <w:noWrap/>
            <w:vAlign w:val="center"/>
          </w:tcPr>
          <w:p w14:paraId="2FE67B96">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再生水工程</w:t>
            </w:r>
          </w:p>
        </w:tc>
        <w:tc>
          <w:tcPr>
            <w:tcW w:w="625" w:type="pct"/>
            <w:noWrap/>
            <w:vAlign w:val="center"/>
          </w:tcPr>
          <w:p w14:paraId="31593989">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地下水及其他工程</w:t>
            </w:r>
          </w:p>
        </w:tc>
        <w:tc>
          <w:tcPr>
            <w:tcW w:w="534" w:type="pct"/>
            <w:noWrap/>
            <w:vAlign w:val="center"/>
          </w:tcPr>
          <w:p w14:paraId="28C1D231">
            <w:pPr>
              <w:widowControl/>
              <w:adjustRightInd/>
              <w:snapToGrid/>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合计</w:t>
            </w:r>
          </w:p>
        </w:tc>
        <w:tc>
          <w:tcPr>
            <w:tcW w:w="502" w:type="pct"/>
            <w:vMerge w:val="continue"/>
            <w:vAlign w:val="center"/>
          </w:tcPr>
          <w:p w14:paraId="54B83D55">
            <w:pPr>
              <w:widowControl/>
              <w:adjustRightInd/>
              <w:snapToGrid/>
              <w:spacing w:line="240" w:lineRule="auto"/>
              <w:jc w:val="center"/>
              <w:rPr>
                <w:rFonts w:hint="default" w:ascii="Times New Roman" w:hAnsi="Times New Roman" w:cs="Times New Roman"/>
                <w:color w:val="auto"/>
                <w:kern w:val="0"/>
                <w:sz w:val="21"/>
                <w:szCs w:val="21"/>
                <w:highlight w:val="none"/>
              </w:rPr>
            </w:pPr>
          </w:p>
        </w:tc>
      </w:tr>
      <w:tr w14:paraId="2146BB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5" w:hRule="atLeast"/>
        </w:trPr>
        <w:tc>
          <w:tcPr>
            <w:tcW w:w="911" w:type="pct"/>
            <w:noWrap/>
            <w:vAlign w:val="center"/>
          </w:tcPr>
          <w:p w14:paraId="1BCDB2F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沾曲陆宜</w:t>
            </w:r>
          </w:p>
        </w:tc>
        <w:tc>
          <w:tcPr>
            <w:tcW w:w="611" w:type="pct"/>
            <w:noWrap/>
            <w:vAlign w:val="center"/>
          </w:tcPr>
          <w:p w14:paraId="30D2D66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43556</w:t>
            </w:r>
          </w:p>
        </w:tc>
        <w:tc>
          <w:tcPr>
            <w:tcW w:w="697" w:type="pct"/>
            <w:noWrap/>
            <w:vAlign w:val="center"/>
          </w:tcPr>
          <w:p w14:paraId="4F5C2DB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6241</w:t>
            </w:r>
          </w:p>
        </w:tc>
        <w:tc>
          <w:tcPr>
            <w:tcW w:w="600" w:type="pct"/>
            <w:noWrap/>
            <w:vAlign w:val="center"/>
          </w:tcPr>
          <w:p w14:paraId="5AB263D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3493</w:t>
            </w:r>
          </w:p>
        </w:tc>
        <w:tc>
          <w:tcPr>
            <w:tcW w:w="520" w:type="pct"/>
            <w:noWrap/>
            <w:vAlign w:val="center"/>
          </w:tcPr>
          <w:p w14:paraId="4A5F1C8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625" w:type="pct"/>
            <w:noWrap/>
            <w:vAlign w:val="center"/>
          </w:tcPr>
          <w:p w14:paraId="5F0ADAB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391</w:t>
            </w:r>
          </w:p>
        </w:tc>
        <w:tc>
          <w:tcPr>
            <w:tcW w:w="534" w:type="pct"/>
            <w:noWrap/>
            <w:vAlign w:val="center"/>
          </w:tcPr>
          <w:p w14:paraId="0D11163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53681</w:t>
            </w:r>
          </w:p>
        </w:tc>
        <w:tc>
          <w:tcPr>
            <w:tcW w:w="502" w:type="pct"/>
            <w:noWrap/>
            <w:vAlign w:val="center"/>
          </w:tcPr>
          <w:p w14:paraId="1E4CCFE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62.8</w:t>
            </w:r>
          </w:p>
        </w:tc>
      </w:tr>
      <w:tr w14:paraId="25B3321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911" w:type="pct"/>
            <w:noWrap/>
            <w:vAlign w:val="center"/>
          </w:tcPr>
          <w:p w14:paraId="7B58DB4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甸溪河</w:t>
            </w:r>
          </w:p>
        </w:tc>
        <w:tc>
          <w:tcPr>
            <w:tcW w:w="611" w:type="pct"/>
            <w:noWrap/>
            <w:vAlign w:val="center"/>
          </w:tcPr>
          <w:p w14:paraId="0700650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1907</w:t>
            </w:r>
          </w:p>
        </w:tc>
        <w:tc>
          <w:tcPr>
            <w:tcW w:w="697" w:type="pct"/>
            <w:noWrap/>
            <w:vAlign w:val="center"/>
          </w:tcPr>
          <w:p w14:paraId="1B77A08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930</w:t>
            </w:r>
          </w:p>
        </w:tc>
        <w:tc>
          <w:tcPr>
            <w:tcW w:w="600" w:type="pct"/>
            <w:noWrap/>
            <w:vAlign w:val="center"/>
          </w:tcPr>
          <w:p w14:paraId="32C4036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20" w:type="pct"/>
            <w:noWrap/>
            <w:vAlign w:val="center"/>
          </w:tcPr>
          <w:p w14:paraId="7C0DD06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625" w:type="pct"/>
            <w:noWrap/>
            <w:vAlign w:val="center"/>
          </w:tcPr>
          <w:p w14:paraId="1B48035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100</w:t>
            </w:r>
          </w:p>
        </w:tc>
        <w:tc>
          <w:tcPr>
            <w:tcW w:w="534" w:type="pct"/>
            <w:noWrap/>
            <w:vAlign w:val="center"/>
          </w:tcPr>
          <w:p w14:paraId="2FA945E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2937</w:t>
            </w:r>
          </w:p>
        </w:tc>
        <w:tc>
          <w:tcPr>
            <w:tcW w:w="502" w:type="pct"/>
            <w:noWrap/>
            <w:vAlign w:val="center"/>
          </w:tcPr>
          <w:p w14:paraId="4BFCE28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3.4</w:t>
            </w:r>
          </w:p>
        </w:tc>
      </w:tr>
      <w:tr w14:paraId="7E23BC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911" w:type="pct"/>
            <w:noWrap/>
            <w:vAlign w:val="center"/>
          </w:tcPr>
          <w:p w14:paraId="5E7D6BD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清水江</w:t>
            </w:r>
          </w:p>
        </w:tc>
        <w:tc>
          <w:tcPr>
            <w:tcW w:w="611" w:type="pct"/>
            <w:noWrap/>
            <w:vAlign w:val="center"/>
          </w:tcPr>
          <w:p w14:paraId="26AE2A7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697" w:type="pct"/>
            <w:noWrap/>
            <w:vAlign w:val="center"/>
          </w:tcPr>
          <w:p w14:paraId="776E349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71</w:t>
            </w:r>
          </w:p>
        </w:tc>
        <w:tc>
          <w:tcPr>
            <w:tcW w:w="600" w:type="pct"/>
            <w:noWrap/>
            <w:vAlign w:val="center"/>
          </w:tcPr>
          <w:p w14:paraId="61A5F6A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20" w:type="pct"/>
            <w:noWrap/>
            <w:vAlign w:val="center"/>
          </w:tcPr>
          <w:p w14:paraId="058C06D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625" w:type="pct"/>
            <w:noWrap/>
            <w:vAlign w:val="center"/>
          </w:tcPr>
          <w:p w14:paraId="0B3C8F5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w:t>
            </w:r>
          </w:p>
        </w:tc>
        <w:tc>
          <w:tcPr>
            <w:tcW w:w="534" w:type="pct"/>
            <w:noWrap/>
            <w:vAlign w:val="center"/>
          </w:tcPr>
          <w:p w14:paraId="1C96A5B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84</w:t>
            </w:r>
          </w:p>
        </w:tc>
        <w:tc>
          <w:tcPr>
            <w:tcW w:w="502" w:type="pct"/>
            <w:noWrap/>
            <w:vAlign w:val="center"/>
          </w:tcPr>
          <w:p w14:paraId="3D2597C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0.1</w:t>
            </w:r>
          </w:p>
        </w:tc>
      </w:tr>
      <w:tr w14:paraId="1341DB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911" w:type="pct"/>
            <w:noWrap/>
            <w:vAlign w:val="center"/>
          </w:tcPr>
          <w:p w14:paraId="2F2D461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黄泥河</w:t>
            </w:r>
          </w:p>
        </w:tc>
        <w:tc>
          <w:tcPr>
            <w:tcW w:w="611" w:type="pct"/>
            <w:noWrap/>
            <w:vAlign w:val="center"/>
          </w:tcPr>
          <w:p w14:paraId="30A03D9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14457</w:t>
            </w:r>
          </w:p>
        </w:tc>
        <w:tc>
          <w:tcPr>
            <w:tcW w:w="697" w:type="pct"/>
            <w:noWrap/>
            <w:vAlign w:val="center"/>
          </w:tcPr>
          <w:p w14:paraId="52920D0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6936</w:t>
            </w:r>
          </w:p>
        </w:tc>
        <w:tc>
          <w:tcPr>
            <w:tcW w:w="600" w:type="pct"/>
            <w:noWrap/>
            <w:vAlign w:val="center"/>
          </w:tcPr>
          <w:p w14:paraId="62DBE4C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20" w:type="pct"/>
            <w:noWrap/>
            <w:vAlign w:val="center"/>
          </w:tcPr>
          <w:p w14:paraId="0E77183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84</w:t>
            </w:r>
          </w:p>
        </w:tc>
        <w:tc>
          <w:tcPr>
            <w:tcW w:w="625" w:type="pct"/>
            <w:noWrap/>
            <w:vAlign w:val="center"/>
          </w:tcPr>
          <w:p w14:paraId="3FD5151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1669</w:t>
            </w:r>
          </w:p>
        </w:tc>
        <w:tc>
          <w:tcPr>
            <w:tcW w:w="534" w:type="pct"/>
            <w:noWrap/>
            <w:vAlign w:val="center"/>
          </w:tcPr>
          <w:p w14:paraId="4C39490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23146</w:t>
            </w:r>
          </w:p>
        </w:tc>
        <w:tc>
          <w:tcPr>
            <w:tcW w:w="502" w:type="pct"/>
            <w:noWrap/>
            <w:vAlign w:val="center"/>
          </w:tcPr>
          <w:p w14:paraId="4EB6277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27.1</w:t>
            </w:r>
          </w:p>
        </w:tc>
      </w:tr>
      <w:tr w14:paraId="48FB38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911" w:type="pct"/>
            <w:noWrap/>
            <w:vAlign w:val="center"/>
          </w:tcPr>
          <w:p w14:paraId="045A636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南盘江下段干流</w:t>
            </w:r>
          </w:p>
        </w:tc>
        <w:tc>
          <w:tcPr>
            <w:tcW w:w="611" w:type="pct"/>
            <w:noWrap/>
            <w:vAlign w:val="center"/>
          </w:tcPr>
          <w:p w14:paraId="048985D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2203</w:t>
            </w:r>
          </w:p>
        </w:tc>
        <w:tc>
          <w:tcPr>
            <w:tcW w:w="697" w:type="pct"/>
            <w:noWrap/>
            <w:vAlign w:val="center"/>
          </w:tcPr>
          <w:p w14:paraId="54335A9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2806</w:t>
            </w:r>
          </w:p>
        </w:tc>
        <w:tc>
          <w:tcPr>
            <w:tcW w:w="600" w:type="pct"/>
            <w:noWrap/>
            <w:vAlign w:val="center"/>
          </w:tcPr>
          <w:p w14:paraId="5A74474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520" w:type="pct"/>
            <w:noWrap/>
            <w:vAlign w:val="center"/>
          </w:tcPr>
          <w:p w14:paraId="48C8653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625" w:type="pct"/>
            <w:noWrap/>
            <w:vAlign w:val="center"/>
          </w:tcPr>
          <w:p w14:paraId="2BD7B03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573</w:t>
            </w:r>
          </w:p>
        </w:tc>
        <w:tc>
          <w:tcPr>
            <w:tcW w:w="534" w:type="pct"/>
            <w:noWrap/>
            <w:vAlign w:val="center"/>
          </w:tcPr>
          <w:p w14:paraId="41CD507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5582</w:t>
            </w:r>
          </w:p>
        </w:tc>
        <w:tc>
          <w:tcPr>
            <w:tcW w:w="502" w:type="pct"/>
            <w:noWrap/>
            <w:vAlign w:val="center"/>
          </w:tcPr>
          <w:p w14:paraId="7364F5C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6.5</w:t>
            </w:r>
          </w:p>
        </w:tc>
      </w:tr>
      <w:tr w14:paraId="751B70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911" w:type="pct"/>
            <w:noWrap/>
            <w:vAlign w:val="center"/>
          </w:tcPr>
          <w:p w14:paraId="00558B5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合计</w:t>
            </w:r>
          </w:p>
        </w:tc>
        <w:tc>
          <w:tcPr>
            <w:tcW w:w="611" w:type="pct"/>
            <w:noWrap/>
            <w:vAlign w:val="center"/>
          </w:tcPr>
          <w:p w14:paraId="6DF857A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62123</w:t>
            </w:r>
          </w:p>
        </w:tc>
        <w:tc>
          <w:tcPr>
            <w:tcW w:w="697" w:type="pct"/>
            <w:noWrap/>
            <w:vAlign w:val="center"/>
          </w:tcPr>
          <w:p w14:paraId="34F7DF8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16984</w:t>
            </w:r>
          </w:p>
        </w:tc>
        <w:tc>
          <w:tcPr>
            <w:tcW w:w="600" w:type="pct"/>
            <w:noWrap/>
            <w:vAlign w:val="center"/>
          </w:tcPr>
          <w:p w14:paraId="0A1B210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3493</w:t>
            </w:r>
          </w:p>
        </w:tc>
        <w:tc>
          <w:tcPr>
            <w:tcW w:w="520" w:type="pct"/>
            <w:noWrap/>
            <w:vAlign w:val="center"/>
          </w:tcPr>
          <w:p w14:paraId="085B09B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84</w:t>
            </w:r>
          </w:p>
        </w:tc>
        <w:tc>
          <w:tcPr>
            <w:tcW w:w="625" w:type="pct"/>
            <w:noWrap/>
            <w:vAlign w:val="center"/>
          </w:tcPr>
          <w:p w14:paraId="1416B34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2747</w:t>
            </w:r>
          </w:p>
        </w:tc>
        <w:tc>
          <w:tcPr>
            <w:tcW w:w="534" w:type="pct"/>
            <w:noWrap/>
            <w:vAlign w:val="center"/>
          </w:tcPr>
          <w:p w14:paraId="134450D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85431</w:t>
            </w:r>
          </w:p>
        </w:tc>
        <w:tc>
          <w:tcPr>
            <w:tcW w:w="502" w:type="pct"/>
            <w:noWrap/>
            <w:vAlign w:val="center"/>
          </w:tcPr>
          <w:p w14:paraId="2BA9D4C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100.0</w:t>
            </w:r>
          </w:p>
        </w:tc>
      </w:tr>
    </w:tbl>
    <w:p w14:paraId="250518CC">
      <w:pPr>
        <w:rPr>
          <w:rFonts w:hint="default" w:ascii="Times New Roman" w:hAnsi="Times New Roman" w:eastAsia="宋体" w:cs="Times New Roman"/>
          <w:color w:val="auto"/>
          <w:highlight w:val="none"/>
        </w:rPr>
      </w:pPr>
    </w:p>
    <w:p w14:paraId="613AFA10">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现状用水量</w:t>
      </w:r>
    </w:p>
    <w:p w14:paraId="0AE47CE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流域总用水量为85431万m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，其中城镇生活用水量13073万m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，占总用水量的15.3%；农村生活用水量</w:t>
      </w:r>
      <w:r>
        <w:rPr>
          <w:rFonts w:hint="default" w:ascii="Times New Roman" w:hAnsi="Times New Roman" w:cs="Times New Roman"/>
          <w:color w:val="auto"/>
          <w:szCs w:val="28"/>
          <w:highlight w:val="none"/>
        </w:rPr>
        <w:t>9242万</w:t>
      </w:r>
      <w:r>
        <w:rPr>
          <w:rFonts w:hint="default" w:ascii="Times New Roman" w:hAnsi="Times New Roman" w:cs="Times New Roman"/>
          <w:color w:val="auto"/>
          <w:highlight w:val="none"/>
        </w:rPr>
        <w:t>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，占总用水量的10.8%；工业用水量24925万m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，占总用水量的29.1%；农业生产用水量38190万m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，占总用水量的44.7%。</w:t>
      </w:r>
    </w:p>
    <w:p w14:paraId="7A97C151">
      <w:pPr>
        <w:pStyle w:val="14"/>
        <w:ind w:firstLine="482"/>
        <w:rPr>
          <w:rFonts w:hint="default" w:ascii="Times New Roman" w:hAnsi="Times New Roman" w:cs="Times New Roman"/>
          <w:color w:val="auto"/>
          <w:highlight w:val="none"/>
        </w:rPr>
      </w:pPr>
      <w:r>
        <w:rPr>
          <w:rFonts w:hint="default" w:ascii="Times New Roman" w:hAnsi="Times New Roman" w:cs="Times New Roman"/>
          <w:b w:val="0"/>
          <w:bCs w:val="0"/>
          <w:color w:val="auto"/>
          <w:highlight w:val="none"/>
        </w:rPr>
        <w:t>从行政区来看，麒麟区、陆良县、沾益区用水量位居前三，分别占流域内总用水量的27.3%、23.3%、15.7%，主要原因为曲靖中心城区及曲靖大型灌区均在区域内。从水资源四级区分区来看，</w:t>
      </w:r>
      <w:r>
        <w:rPr>
          <w:rFonts w:hint="default" w:ascii="Times New Roman" w:hAnsi="Times New Roman" w:cs="Times New Roman"/>
          <w:color w:val="auto"/>
          <w:highlight w:val="none"/>
        </w:rPr>
        <w:t>沾曲陆宜流域及黄泥河流域用水量突出，分别占流域内总用水量的62.8%、27.1%。其中沾曲陆宜流域</w:t>
      </w:r>
      <w:r>
        <w:rPr>
          <w:rFonts w:hint="default" w:ascii="Times New Roman" w:hAnsi="Times New Roman" w:cs="Times New Roman"/>
          <w:color w:val="auto"/>
          <w:highlight w:val="none"/>
          <w:lang w:eastAsia="zh-CN"/>
        </w:rPr>
        <w:t>以工业及农业灌溉用水为主</w:t>
      </w:r>
      <w:r>
        <w:rPr>
          <w:rFonts w:hint="default" w:ascii="Times New Roman" w:hAnsi="Times New Roman" w:cs="Times New Roman"/>
          <w:color w:val="auto"/>
          <w:highlight w:val="none"/>
        </w:rPr>
        <w:t>，分别占总用水量的36.6%、38.8%；黄泥河流域主要以工业及农业灌溉用水为主，分别占总用水量的20.4%、50.1%；甸溪河流域主要以农业灌溉用水为主，占总用水量的74.1%；清水江流域主要以农业灌溉用水为主，占总用水量的84.1%；南盘江下段干流主要以农业灌溉用水为主，占总用水量的63.4%。用水结构与流域内经济社会发展布局密切相关。</w:t>
      </w:r>
    </w:p>
    <w:p w14:paraId="2C0DE8D2">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2.1.</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 xml:space="preserve">  流域内现状实际用水量（按行政区）</w:t>
      </w:r>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188"/>
        <w:gridCol w:w="1437"/>
        <w:gridCol w:w="1437"/>
        <w:gridCol w:w="1012"/>
        <w:gridCol w:w="1437"/>
        <w:gridCol w:w="1011"/>
      </w:tblGrid>
      <w:tr w14:paraId="4791AE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vMerge w:val="restart"/>
            <w:noWrap/>
            <w:vAlign w:val="center"/>
          </w:tcPr>
          <w:p w14:paraId="3CC0A798">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行政区</w:t>
            </w:r>
          </w:p>
        </w:tc>
        <w:tc>
          <w:tcPr>
            <w:tcW w:w="3716" w:type="pct"/>
            <w:gridSpan w:val="5"/>
            <w:noWrap/>
            <w:vAlign w:val="center"/>
          </w:tcPr>
          <w:p w14:paraId="45EA4624">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用水量（万m</w:t>
            </w:r>
            <w:r>
              <w:rPr>
                <w:rFonts w:hint="default" w:ascii="Times New Roman" w:hAnsi="Times New Roman" w:cs="Times New Roman"/>
                <w:b/>
                <w:color w:val="auto"/>
                <w:kern w:val="2"/>
                <w:highlight w:val="none"/>
                <w:vertAlign w:val="superscript"/>
              </w:rPr>
              <w:t>3</w:t>
            </w:r>
            <w:r>
              <w:rPr>
                <w:rFonts w:hint="default" w:ascii="Times New Roman" w:hAnsi="Times New Roman" w:cs="Times New Roman"/>
                <w:b/>
                <w:color w:val="auto"/>
                <w:kern w:val="2"/>
                <w:highlight w:val="none"/>
              </w:rPr>
              <w:t>）</w:t>
            </w:r>
          </w:p>
        </w:tc>
      </w:tr>
      <w:tr w14:paraId="57E9B7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vMerge w:val="continue"/>
            <w:vAlign w:val="center"/>
          </w:tcPr>
          <w:p w14:paraId="3ADA2296">
            <w:pPr>
              <w:pStyle w:val="30"/>
              <w:spacing w:line="240" w:lineRule="auto"/>
              <w:jc w:val="center"/>
              <w:rPr>
                <w:rFonts w:hint="default" w:ascii="Times New Roman" w:hAnsi="Times New Roman" w:cs="Times New Roman"/>
                <w:b/>
                <w:color w:val="auto"/>
                <w:kern w:val="2"/>
                <w:highlight w:val="none"/>
              </w:rPr>
            </w:pPr>
          </w:p>
        </w:tc>
        <w:tc>
          <w:tcPr>
            <w:tcW w:w="843" w:type="pct"/>
            <w:noWrap/>
            <w:vAlign w:val="center"/>
          </w:tcPr>
          <w:p w14:paraId="5D6DAC4F">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城镇生活</w:t>
            </w:r>
          </w:p>
        </w:tc>
        <w:tc>
          <w:tcPr>
            <w:tcW w:w="843" w:type="pct"/>
            <w:noWrap/>
            <w:vAlign w:val="center"/>
          </w:tcPr>
          <w:p w14:paraId="5378280B">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农村生活</w:t>
            </w:r>
          </w:p>
        </w:tc>
        <w:tc>
          <w:tcPr>
            <w:tcW w:w="594" w:type="pct"/>
            <w:noWrap/>
            <w:vAlign w:val="center"/>
          </w:tcPr>
          <w:p w14:paraId="43A50390">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工业</w:t>
            </w:r>
          </w:p>
        </w:tc>
        <w:tc>
          <w:tcPr>
            <w:tcW w:w="843" w:type="pct"/>
            <w:noWrap/>
            <w:vAlign w:val="center"/>
          </w:tcPr>
          <w:p w14:paraId="2C8695CA">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农业灌溉</w:t>
            </w:r>
          </w:p>
        </w:tc>
        <w:tc>
          <w:tcPr>
            <w:tcW w:w="593" w:type="pct"/>
            <w:noWrap/>
            <w:vAlign w:val="center"/>
          </w:tcPr>
          <w:p w14:paraId="422D1E21">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合计</w:t>
            </w:r>
          </w:p>
        </w:tc>
      </w:tr>
      <w:tr w14:paraId="2864D2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noWrap/>
            <w:vAlign w:val="center"/>
          </w:tcPr>
          <w:p w14:paraId="3C26DA6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麒麟区</w:t>
            </w:r>
          </w:p>
        </w:tc>
        <w:tc>
          <w:tcPr>
            <w:tcW w:w="843" w:type="pct"/>
            <w:noWrap/>
            <w:vAlign w:val="center"/>
          </w:tcPr>
          <w:p w14:paraId="3994787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6209</w:t>
            </w:r>
          </w:p>
        </w:tc>
        <w:tc>
          <w:tcPr>
            <w:tcW w:w="843" w:type="pct"/>
            <w:noWrap/>
            <w:vAlign w:val="center"/>
          </w:tcPr>
          <w:p w14:paraId="0FDDE35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1331</w:t>
            </w:r>
          </w:p>
        </w:tc>
        <w:tc>
          <w:tcPr>
            <w:tcW w:w="594" w:type="pct"/>
            <w:noWrap/>
            <w:vAlign w:val="center"/>
          </w:tcPr>
          <w:p w14:paraId="4E675B5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12453</w:t>
            </w:r>
          </w:p>
        </w:tc>
        <w:tc>
          <w:tcPr>
            <w:tcW w:w="843" w:type="pct"/>
            <w:noWrap/>
            <w:vAlign w:val="center"/>
          </w:tcPr>
          <w:p w14:paraId="6E28178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3309</w:t>
            </w:r>
          </w:p>
        </w:tc>
        <w:tc>
          <w:tcPr>
            <w:tcW w:w="593" w:type="pct"/>
            <w:noWrap/>
            <w:vAlign w:val="center"/>
          </w:tcPr>
          <w:p w14:paraId="131BB11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23301</w:t>
            </w:r>
          </w:p>
        </w:tc>
      </w:tr>
      <w:tr w14:paraId="614FDC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noWrap/>
            <w:vAlign w:val="center"/>
          </w:tcPr>
          <w:p w14:paraId="3EE5FC1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沾益区</w:t>
            </w:r>
          </w:p>
        </w:tc>
        <w:tc>
          <w:tcPr>
            <w:tcW w:w="843" w:type="pct"/>
            <w:noWrap/>
            <w:vAlign w:val="center"/>
          </w:tcPr>
          <w:p w14:paraId="1803F55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1274</w:t>
            </w:r>
          </w:p>
        </w:tc>
        <w:tc>
          <w:tcPr>
            <w:tcW w:w="843" w:type="pct"/>
            <w:noWrap/>
            <w:vAlign w:val="center"/>
          </w:tcPr>
          <w:p w14:paraId="6AE6CF6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1141</w:t>
            </w:r>
          </w:p>
        </w:tc>
        <w:tc>
          <w:tcPr>
            <w:tcW w:w="594" w:type="pct"/>
            <w:noWrap/>
            <w:vAlign w:val="center"/>
          </w:tcPr>
          <w:p w14:paraId="33B0B93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5460</w:t>
            </w:r>
          </w:p>
        </w:tc>
        <w:tc>
          <w:tcPr>
            <w:tcW w:w="843" w:type="pct"/>
            <w:noWrap/>
            <w:vAlign w:val="center"/>
          </w:tcPr>
          <w:p w14:paraId="1DBDDEA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5556</w:t>
            </w:r>
          </w:p>
        </w:tc>
        <w:tc>
          <w:tcPr>
            <w:tcW w:w="593" w:type="pct"/>
            <w:noWrap/>
            <w:vAlign w:val="center"/>
          </w:tcPr>
          <w:p w14:paraId="1814641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13432</w:t>
            </w:r>
          </w:p>
        </w:tc>
      </w:tr>
      <w:tr w14:paraId="6452CE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noWrap/>
            <w:vAlign w:val="center"/>
          </w:tcPr>
          <w:p w14:paraId="4FCA41A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马龙区</w:t>
            </w:r>
          </w:p>
        </w:tc>
        <w:tc>
          <w:tcPr>
            <w:tcW w:w="843" w:type="pct"/>
            <w:noWrap/>
            <w:vAlign w:val="center"/>
          </w:tcPr>
          <w:p w14:paraId="1D44D3B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38</w:t>
            </w:r>
          </w:p>
        </w:tc>
        <w:tc>
          <w:tcPr>
            <w:tcW w:w="843" w:type="pct"/>
            <w:noWrap/>
            <w:vAlign w:val="center"/>
          </w:tcPr>
          <w:p w14:paraId="747B1AF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212</w:t>
            </w:r>
          </w:p>
        </w:tc>
        <w:tc>
          <w:tcPr>
            <w:tcW w:w="594" w:type="pct"/>
            <w:noWrap/>
            <w:vAlign w:val="center"/>
          </w:tcPr>
          <w:p w14:paraId="31C5C5B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129</w:t>
            </w:r>
          </w:p>
        </w:tc>
        <w:tc>
          <w:tcPr>
            <w:tcW w:w="843" w:type="pct"/>
            <w:noWrap/>
            <w:vAlign w:val="center"/>
          </w:tcPr>
          <w:p w14:paraId="0B3E53C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1301</w:t>
            </w:r>
          </w:p>
        </w:tc>
        <w:tc>
          <w:tcPr>
            <w:tcW w:w="593" w:type="pct"/>
            <w:noWrap/>
            <w:vAlign w:val="center"/>
          </w:tcPr>
          <w:p w14:paraId="711F998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1680</w:t>
            </w:r>
          </w:p>
        </w:tc>
      </w:tr>
      <w:tr w14:paraId="7F1255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noWrap/>
            <w:vAlign w:val="center"/>
          </w:tcPr>
          <w:p w14:paraId="57BF5C3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陆良县</w:t>
            </w:r>
          </w:p>
        </w:tc>
        <w:tc>
          <w:tcPr>
            <w:tcW w:w="843" w:type="pct"/>
            <w:noWrap/>
            <w:vAlign w:val="center"/>
          </w:tcPr>
          <w:p w14:paraId="6341AA8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1753</w:t>
            </w:r>
          </w:p>
        </w:tc>
        <w:tc>
          <w:tcPr>
            <w:tcW w:w="843" w:type="pct"/>
            <w:noWrap/>
            <w:vAlign w:val="center"/>
          </w:tcPr>
          <w:p w14:paraId="6938FE1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2380</w:t>
            </w:r>
          </w:p>
        </w:tc>
        <w:tc>
          <w:tcPr>
            <w:tcW w:w="594" w:type="pct"/>
            <w:noWrap/>
            <w:vAlign w:val="center"/>
          </w:tcPr>
          <w:p w14:paraId="4A78F03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2947</w:t>
            </w:r>
          </w:p>
        </w:tc>
        <w:tc>
          <w:tcPr>
            <w:tcW w:w="843" w:type="pct"/>
            <w:noWrap/>
            <w:vAlign w:val="center"/>
          </w:tcPr>
          <w:p w14:paraId="1CA4D78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12827</w:t>
            </w:r>
          </w:p>
        </w:tc>
        <w:tc>
          <w:tcPr>
            <w:tcW w:w="593" w:type="pct"/>
            <w:noWrap/>
            <w:vAlign w:val="center"/>
          </w:tcPr>
          <w:p w14:paraId="7AED5CE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19907</w:t>
            </w:r>
          </w:p>
        </w:tc>
      </w:tr>
      <w:tr w14:paraId="5D61E8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noWrap/>
            <w:vAlign w:val="center"/>
          </w:tcPr>
          <w:p w14:paraId="7D5597A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师宗县</w:t>
            </w:r>
          </w:p>
        </w:tc>
        <w:tc>
          <w:tcPr>
            <w:tcW w:w="843" w:type="pct"/>
            <w:noWrap/>
            <w:vAlign w:val="center"/>
          </w:tcPr>
          <w:p w14:paraId="57A8E4D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1038</w:t>
            </w:r>
          </w:p>
        </w:tc>
        <w:tc>
          <w:tcPr>
            <w:tcW w:w="843" w:type="pct"/>
            <w:noWrap/>
            <w:vAlign w:val="center"/>
          </w:tcPr>
          <w:p w14:paraId="055F3AD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812</w:t>
            </w:r>
          </w:p>
        </w:tc>
        <w:tc>
          <w:tcPr>
            <w:tcW w:w="594" w:type="pct"/>
            <w:noWrap/>
            <w:vAlign w:val="center"/>
          </w:tcPr>
          <w:p w14:paraId="315FEDF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946</w:t>
            </w:r>
          </w:p>
        </w:tc>
        <w:tc>
          <w:tcPr>
            <w:tcW w:w="843" w:type="pct"/>
            <w:noWrap/>
            <w:vAlign w:val="center"/>
          </w:tcPr>
          <w:p w14:paraId="4839039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4803</w:t>
            </w:r>
          </w:p>
        </w:tc>
        <w:tc>
          <w:tcPr>
            <w:tcW w:w="593" w:type="pct"/>
            <w:noWrap/>
            <w:vAlign w:val="center"/>
          </w:tcPr>
          <w:p w14:paraId="4E4C3A3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7598</w:t>
            </w:r>
          </w:p>
        </w:tc>
      </w:tr>
      <w:tr w14:paraId="19C6CE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noWrap/>
            <w:vAlign w:val="center"/>
          </w:tcPr>
          <w:p w14:paraId="10209FB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罗平县</w:t>
            </w:r>
          </w:p>
        </w:tc>
        <w:tc>
          <w:tcPr>
            <w:tcW w:w="843" w:type="pct"/>
            <w:noWrap/>
            <w:vAlign w:val="center"/>
          </w:tcPr>
          <w:p w14:paraId="4E9CBC1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1649</w:t>
            </w:r>
          </w:p>
        </w:tc>
        <w:tc>
          <w:tcPr>
            <w:tcW w:w="843" w:type="pct"/>
            <w:noWrap/>
            <w:vAlign w:val="center"/>
          </w:tcPr>
          <w:p w14:paraId="6DE8EBE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1337</w:t>
            </w:r>
          </w:p>
        </w:tc>
        <w:tc>
          <w:tcPr>
            <w:tcW w:w="594" w:type="pct"/>
            <w:noWrap/>
            <w:vAlign w:val="center"/>
          </w:tcPr>
          <w:p w14:paraId="1BAE576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631</w:t>
            </w:r>
          </w:p>
        </w:tc>
        <w:tc>
          <w:tcPr>
            <w:tcW w:w="843" w:type="pct"/>
            <w:noWrap/>
            <w:vAlign w:val="center"/>
          </w:tcPr>
          <w:p w14:paraId="0A5AFE1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8290</w:t>
            </w:r>
          </w:p>
        </w:tc>
        <w:tc>
          <w:tcPr>
            <w:tcW w:w="593" w:type="pct"/>
            <w:noWrap/>
            <w:vAlign w:val="center"/>
          </w:tcPr>
          <w:p w14:paraId="5FD216F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11907</w:t>
            </w:r>
          </w:p>
        </w:tc>
      </w:tr>
      <w:tr w14:paraId="37E51B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noWrap/>
            <w:vAlign w:val="center"/>
          </w:tcPr>
          <w:p w14:paraId="7AEFD1F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富源县</w:t>
            </w:r>
          </w:p>
        </w:tc>
        <w:tc>
          <w:tcPr>
            <w:tcW w:w="843" w:type="pct"/>
            <w:noWrap/>
            <w:vAlign w:val="center"/>
          </w:tcPr>
          <w:p w14:paraId="5D57C90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1112</w:t>
            </w:r>
          </w:p>
        </w:tc>
        <w:tc>
          <w:tcPr>
            <w:tcW w:w="843" w:type="pct"/>
            <w:noWrap/>
            <w:vAlign w:val="center"/>
          </w:tcPr>
          <w:p w14:paraId="0BC7DD9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2029</w:t>
            </w:r>
          </w:p>
        </w:tc>
        <w:tc>
          <w:tcPr>
            <w:tcW w:w="594" w:type="pct"/>
            <w:noWrap/>
            <w:vAlign w:val="center"/>
          </w:tcPr>
          <w:p w14:paraId="0D8CF81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2359</w:t>
            </w:r>
          </w:p>
        </w:tc>
        <w:tc>
          <w:tcPr>
            <w:tcW w:w="843" w:type="pct"/>
            <w:noWrap/>
            <w:vAlign w:val="center"/>
          </w:tcPr>
          <w:p w14:paraId="74159AE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2105</w:t>
            </w:r>
          </w:p>
        </w:tc>
        <w:tc>
          <w:tcPr>
            <w:tcW w:w="593" w:type="pct"/>
            <w:noWrap/>
            <w:vAlign w:val="center"/>
          </w:tcPr>
          <w:p w14:paraId="7BE5BF3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7606</w:t>
            </w:r>
          </w:p>
        </w:tc>
      </w:tr>
      <w:tr w14:paraId="0A5BFB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noWrap/>
            <w:vAlign w:val="center"/>
          </w:tcPr>
          <w:p w14:paraId="6B68C00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合计</w:t>
            </w:r>
          </w:p>
        </w:tc>
        <w:tc>
          <w:tcPr>
            <w:tcW w:w="843" w:type="pct"/>
            <w:noWrap/>
            <w:vAlign w:val="center"/>
          </w:tcPr>
          <w:p w14:paraId="2C9B684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13073</w:t>
            </w:r>
          </w:p>
        </w:tc>
        <w:tc>
          <w:tcPr>
            <w:tcW w:w="843" w:type="pct"/>
            <w:noWrap/>
            <w:vAlign w:val="center"/>
          </w:tcPr>
          <w:p w14:paraId="60FBDAA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9242</w:t>
            </w:r>
          </w:p>
        </w:tc>
        <w:tc>
          <w:tcPr>
            <w:tcW w:w="594" w:type="pct"/>
            <w:noWrap/>
            <w:vAlign w:val="center"/>
          </w:tcPr>
          <w:p w14:paraId="38FF623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24925</w:t>
            </w:r>
          </w:p>
        </w:tc>
        <w:tc>
          <w:tcPr>
            <w:tcW w:w="843" w:type="pct"/>
            <w:noWrap/>
            <w:vAlign w:val="center"/>
          </w:tcPr>
          <w:p w14:paraId="3867273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38190</w:t>
            </w:r>
          </w:p>
        </w:tc>
        <w:tc>
          <w:tcPr>
            <w:tcW w:w="593" w:type="pct"/>
            <w:noWrap/>
            <w:vAlign w:val="center"/>
          </w:tcPr>
          <w:p w14:paraId="6857C63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85431</w:t>
            </w:r>
          </w:p>
        </w:tc>
      </w:tr>
      <w:tr w14:paraId="6B7730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trPr>
        <w:tc>
          <w:tcPr>
            <w:tcW w:w="1284" w:type="pct"/>
            <w:noWrap/>
            <w:vAlign w:val="center"/>
          </w:tcPr>
          <w:p w14:paraId="05BA2D9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各类占比（%）</w:t>
            </w:r>
          </w:p>
        </w:tc>
        <w:tc>
          <w:tcPr>
            <w:tcW w:w="843" w:type="pct"/>
            <w:noWrap/>
            <w:vAlign w:val="center"/>
          </w:tcPr>
          <w:p w14:paraId="5273988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15.3</w:t>
            </w:r>
          </w:p>
        </w:tc>
        <w:tc>
          <w:tcPr>
            <w:tcW w:w="843" w:type="pct"/>
            <w:noWrap/>
            <w:vAlign w:val="center"/>
          </w:tcPr>
          <w:p w14:paraId="37AE4B8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10.8</w:t>
            </w:r>
          </w:p>
        </w:tc>
        <w:tc>
          <w:tcPr>
            <w:tcW w:w="594" w:type="pct"/>
            <w:noWrap/>
            <w:vAlign w:val="center"/>
          </w:tcPr>
          <w:p w14:paraId="3493680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29.2</w:t>
            </w:r>
          </w:p>
        </w:tc>
        <w:tc>
          <w:tcPr>
            <w:tcW w:w="843" w:type="pct"/>
            <w:noWrap/>
            <w:vAlign w:val="center"/>
          </w:tcPr>
          <w:p w14:paraId="1609EDE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44.7</w:t>
            </w:r>
          </w:p>
        </w:tc>
        <w:tc>
          <w:tcPr>
            <w:tcW w:w="593" w:type="pct"/>
            <w:noWrap/>
            <w:vAlign w:val="center"/>
          </w:tcPr>
          <w:p w14:paraId="15F8238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100.0</w:t>
            </w:r>
          </w:p>
        </w:tc>
      </w:tr>
    </w:tbl>
    <w:p w14:paraId="2FCDF8C3">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2.1.</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 xml:space="preserve">  流域内现状实际用水量（按水资源四级区）</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908"/>
        <w:gridCol w:w="1253"/>
        <w:gridCol w:w="1253"/>
        <w:gridCol w:w="883"/>
        <w:gridCol w:w="1253"/>
        <w:gridCol w:w="885"/>
        <w:gridCol w:w="1087"/>
      </w:tblGrid>
      <w:tr w14:paraId="6A7045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1120" w:type="pct"/>
            <w:vMerge w:val="restart"/>
            <w:noWrap/>
            <w:vAlign w:val="center"/>
          </w:tcPr>
          <w:p w14:paraId="5076566D">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水资源分区</w:t>
            </w:r>
          </w:p>
        </w:tc>
        <w:tc>
          <w:tcPr>
            <w:tcW w:w="3242" w:type="pct"/>
            <w:gridSpan w:val="5"/>
            <w:noWrap/>
            <w:vAlign w:val="center"/>
          </w:tcPr>
          <w:p w14:paraId="66DE7B39">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用水量（万m</w:t>
            </w:r>
            <w:r>
              <w:rPr>
                <w:rFonts w:hint="default" w:ascii="Times New Roman" w:hAnsi="Times New Roman" w:cs="Times New Roman"/>
                <w:b/>
                <w:color w:val="auto"/>
                <w:kern w:val="2"/>
                <w:highlight w:val="none"/>
                <w:vertAlign w:val="superscript"/>
              </w:rPr>
              <w:t>3</w:t>
            </w:r>
            <w:r>
              <w:rPr>
                <w:rFonts w:hint="default" w:ascii="Times New Roman" w:hAnsi="Times New Roman" w:cs="Times New Roman"/>
                <w:b/>
                <w:color w:val="auto"/>
                <w:kern w:val="2"/>
                <w:highlight w:val="none"/>
              </w:rPr>
              <w:t>）</w:t>
            </w:r>
          </w:p>
        </w:tc>
        <w:tc>
          <w:tcPr>
            <w:tcW w:w="638" w:type="pct"/>
            <w:vMerge w:val="restart"/>
            <w:vAlign w:val="center"/>
          </w:tcPr>
          <w:p w14:paraId="002A1B91">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占比（%）</w:t>
            </w:r>
          </w:p>
        </w:tc>
      </w:tr>
      <w:tr w14:paraId="7F1DD7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1120" w:type="pct"/>
            <w:vMerge w:val="continue"/>
            <w:vAlign w:val="center"/>
          </w:tcPr>
          <w:p w14:paraId="702E8418">
            <w:pPr>
              <w:pStyle w:val="30"/>
              <w:spacing w:line="240" w:lineRule="auto"/>
              <w:jc w:val="center"/>
              <w:rPr>
                <w:rFonts w:hint="default" w:ascii="Times New Roman" w:hAnsi="Times New Roman" w:cs="Times New Roman"/>
                <w:b/>
                <w:color w:val="auto"/>
                <w:kern w:val="2"/>
                <w:highlight w:val="none"/>
              </w:rPr>
            </w:pPr>
          </w:p>
        </w:tc>
        <w:tc>
          <w:tcPr>
            <w:tcW w:w="735" w:type="pct"/>
            <w:noWrap/>
            <w:vAlign w:val="center"/>
          </w:tcPr>
          <w:p w14:paraId="438E916B">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城镇生活</w:t>
            </w:r>
          </w:p>
        </w:tc>
        <w:tc>
          <w:tcPr>
            <w:tcW w:w="735" w:type="pct"/>
            <w:noWrap/>
            <w:vAlign w:val="center"/>
          </w:tcPr>
          <w:p w14:paraId="4F6D83B9">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农村生活</w:t>
            </w:r>
          </w:p>
        </w:tc>
        <w:tc>
          <w:tcPr>
            <w:tcW w:w="518" w:type="pct"/>
            <w:noWrap/>
            <w:vAlign w:val="center"/>
          </w:tcPr>
          <w:p w14:paraId="37631F7B">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工业</w:t>
            </w:r>
          </w:p>
        </w:tc>
        <w:tc>
          <w:tcPr>
            <w:tcW w:w="735" w:type="pct"/>
            <w:noWrap/>
            <w:vAlign w:val="center"/>
          </w:tcPr>
          <w:p w14:paraId="70BB9243">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农业灌溉</w:t>
            </w:r>
          </w:p>
        </w:tc>
        <w:tc>
          <w:tcPr>
            <w:tcW w:w="518" w:type="pct"/>
            <w:noWrap/>
            <w:vAlign w:val="center"/>
          </w:tcPr>
          <w:p w14:paraId="66E719B6">
            <w:pPr>
              <w:pStyle w:val="30"/>
              <w:spacing w:line="240" w:lineRule="auto"/>
              <w:jc w:val="center"/>
              <w:rPr>
                <w:rFonts w:hint="default" w:ascii="Times New Roman" w:hAnsi="Times New Roman" w:cs="Times New Roman"/>
                <w:b/>
                <w:color w:val="auto"/>
                <w:kern w:val="2"/>
                <w:highlight w:val="none"/>
              </w:rPr>
            </w:pPr>
            <w:r>
              <w:rPr>
                <w:rFonts w:hint="default" w:ascii="Times New Roman" w:hAnsi="Times New Roman" w:cs="Times New Roman"/>
                <w:b/>
                <w:color w:val="auto"/>
                <w:kern w:val="2"/>
                <w:highlight w:val="none"/>
              </w:rPr>
              <w:t>合计</w:t>
            </w:r>
          </w:p>
        </w:tc>
        <w:tc>
          <w:tcPr>
            <w:tcW w:w="638" w:type="pct"/>
            <w:vMerge w:val="continue"/>
            <w:vAlign w:val="center"/>
          </w:tcPr>
          <w:p w14:paraId="4AD2413E">
            <w:pPr>
              <w:pStyle w:val="30"/>
              <w:spacing w:line="240" w:lineRule="auto"/>
              <w:jc w:val="center"/>
              <w:rPr>
                <w:rFonts w:hint="default" w:ascii="Times New Roman" w:hAnsi="Times New Roman" w:cs="Times New Roman"/>
                <w:b/>
                <w:color w:val="auto"/>
                <w:kern w:val="2"/>
                <w:highlight w:val="none"/>
              </w:rPr>
            </w:pPr>
          </w:p>
        </w:tc>
      </w:tr>
      <w:tr w14:paraId="055E66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1120" w:type="pct"/>
            <w:noWrap/>
            <w:vAlign w:val="center"/>
          </w:tcPr>
          <w:p w14:paraId="36DFD84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沾曲陆宜</w:t>
            </w:r>
          </w:p>
        </w:tc>
        <w:tc>
          <w:tcPr>
            <w:tcW w:w="735" w:type="pct"/>
            <w:noWrap/>
            <w:vAlign w:val="center"/>
          </w:tcPr>
          <w:p w14:paraId="447A0DB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9062</w:t>
            </w:r>
          </w:p>
        </w:tc>
        <w:tc>
          <w:tcPr>
            <w:tcW w:w="735" w:type="pct"/>
            <w:noWrap/>
            <w:vAlign w:val="center"/>
          </w:tcPr>
          <w:p w14:paraId="196CF61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4135</w:t>
            </w:r>
          </w:p>
        </w:tc>
        <w:tc>
          <w:tcPr>
            <w:tcW w:w="518" w:type="pct"/>
            <w:noWrap/>
            <w:vAlign w:val="center"/>
          </w:tcPr>
          <w:p w14:paraId="042A2E5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19674</w:t>
            </w:r>
          </w:p>
        </w:tc>
        <w:tc>
          <w:tcPr>
            <w:tcW w:w="735" w:type="pct"/>
            <w:noWrap/>
            <w:vAlign w:val="center"/>
          </w:tcPr>
          <w:p w14:paraId="6141ADB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20810</w:t>
            </w:r>
          </w:p>
        </w:tc>
        <w:tc>
          <w:tcPr>
            <w:tcW w:w="518" w:type="pct"/>
            <w:noWrap/>
            <w:vAlign w:val="center"/>
          </w:tcPr>
          <w:p w14:paraId="2FB1BF4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53681</w:t>
            </w:r>
          </w:p>
        </w:tc>
        <w:tc>
          <w:tcPr>
            <w:tcW w:w="638" w:type="pct"/>
            <w:noWrap/>
            <w:vAlign w:val="center"/>
          </w:tcPr>
          <w:p w14:paraId="5103444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62.8</w:t>
            </w:r>
          </w:p>
        </w:tc>
      </w:tr>
      <w:tr w14:paraId="67F93F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1120" w:type="pct"/>
            <w:noWrap/>
            <w:vAlign w:val="center"/>
          </w:tcPr>
          <w:p w14:paraId="118C444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甸溪河</w:t>
            </w:r>
          </w:p>
        </w:tc>
        <w:tc>
          <w:tcPr>
            <w:tcW w:w="735" w:type="pct"/>
            <w:noWrap/>
            <w:vAlign w:val="center"/>
          </w:tcPr>
          <w:p w14:paraId="4D23579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259</w:t>
            </w:r>
          </w:p>
        </w:tc>
        <w:tc>
          <w:tcPr>
            <w:tcW w:w="735" w:type="pct"/>
            <w:noWrap/>
            <w:vAlign w:val="center"/>
          </w:tcPr>
          <w:p w14:paraId="5FE41DD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274</w:t>
            </w:r>
          </w:p>
        </w:tc>
        <w:tc>
          <w:tcPr>
            <w:tcW w:w="518" w:type="pct"/>
            <w:noWrap/>
            <w:vAlign w:val="center"/>
          </w:tcPr>
          <w:p w14:paraId="4D5A713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228</w:t>
            </w:r>
          </w:p>
        </w:tc>
        <w:tc>
          <w:tcPr>
            <w:tcW w:w="735" w:type="pct"/>
            <w:noWrap/>
            <w:vAlign w:val="center"/>
          </w:tcPr>
          <w:p w14:paraId="21B715B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2177</w:t>
            </w:r>
          </w:p>
        </w:tc>
        <w:tc>
          <w:tcPr>
            <w:tcW w:w="518" w:type="pct"/>
            <w:noWrap/>
            <w:vAlign w:val="center"/>
          </w:tcPr>
          <w:p w14:paraId="07C8DE2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2937</w:t>
            </w:r>
          </w:p>
        </w:tc>
        <w:tc>
          <w:tcPr>
            <w:tcW w:w="638" w:type="pct"/>
            <w:noWrap/>
            <w:vAlign w:val="center"/>
          </w:tcPr>
          <w:p w14:paraId="4000563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3.4</w:t>
            </w:r>
          </w:p>
        </w:tc>
      </w:tr>
      <w:tr w14:paraId="09D4AD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1120" w:type="pct"/>
            <w:noWrap/>
            <w:vAlign w:val="center"/>
          </w:tcPr>
          <w:p w14:paraId="6009977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清水江</w:t>
            </w:r>
          </w:p>
        </w:tc>
        <w:tc>
          <w:tcPr>
            <w:tcW w:w="735" w:type="pct"/>
            <w:noWrap/>
            <w:vAlign w:val="center"/>
          </w:tcPr>
          <w:p w14:paraId="6B0483A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35" w:type="pct"/>
            <w:noWrap/>
            <w:vAlign w:val="center"/>
          </w:tcPr>
          <w:p w14:paraId="273A715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w:t>
            </w:r>
          </w:p>
        </w:tc>
        <w:tc>
          <w:tcPr>
            <w:tcW w:w="518" w:type="pct"/>
            <w:noWrap/>
            <w:vAlign w:val="center"/>
          </w:tcPr>
          <w:p w14:paraId="081AAC6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w:t>
            </w:r>
          </w:p>
        </w:tc>
        <w:tc>
          <w:tcPr>
            <w:tcW w:w="735" w:type="pct"/>
            <w:noWrap/>
            <w:vAlign w:val="center"/>
          </w:tcPr>
          <w:p w14:paraId="02550C8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71</w:t>
            </w:r>
          </w:p>
        </w:tc>
        <w:tc>
          <w:tcPr>
            <w:tcW w:w="518" w:type="pct"/>
            <w:noWrap/>
            <w:vAlign w:val="center"/>
          </w:tcPr>
          <w:p w14:paraId="13CDEBA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84</w:t>
            </w:r>
          </w:p>
        </w:tc>
        <w:tc>
          <w:tcPr>
            <w:tcW w:w="638" w:type="pct"/>
            <w:noWrap/>
            <w:vAlign w:val="center"/>
          </w:tcPr>
          <w:p w14:paraId="5DD685B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0.1</w:t>
            </w:r>
          </w:p>
        </w:tc>
      </w:tr>
      <w:tr w14:paraId="7A6D84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1120" w:type="pct"/>
            <w:noWrap/>
            <w:vAlign w:val="center"/>
          </w:tcPr>
          <w:p w14:paraId="3F196FC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黄泥河</w:t>
            </w:r>
          </w:p>
        </w:tc>
        <w:tc>
          <w:tcPr>
            <w:tcW w:w="735" w:type="pct"/>
            <w:noWrap/>
            <w:vAlign w:val="center"/>
          </w:tcPr>
          <w:p w14:paraId="4DE2939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2754</w:t>
            </w:r>
          </w:p>
        </w:tc>
        <w:tc>
          <w:tcPr>
            <w:tcW w:w="735" w:type="pct"/>
            <w:noWrap/>
            <w:vAlign w:val="center"/>
          </w:tcPr>
          <w:p w14:paraId="0843ECD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4074</w:t>
            </w:r>
          </w:p>
        </w:tc>
        <w:tc>
          <w:tcPr>
            <w:tcW w:w="518" w:type="pct"/>
            <w:noWrap/>
            <w:vAlign w:val="center"/>
          </w:tcPr>
          <w:p w14:paraId="30E161F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4724</w:t>
            </w:r>
          </w:p>
        </w:tc>
        <w:tc>
          <w:tcPr>
            <w:tcW w:w="735" w:type="pct"/>
            <w:noWrap/>
            <w:vAlign w:val="center"/>
          </w:tcPr>
          <w:p w14:paraId="517868F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11595</w:t>
            </w:r>
          </w:p>
        </w:tc>
        <w:tc>
          <w:tcPr>
            <w:tcW w:w="518" w:type="pct"/>
            <w:noWrap/>
            <w:vAlign w:val="center"/>
          </w:tcPr>
          <w:p w14:paraId="135EDD7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23146</w:t>
            </w:r>
          </w:p>
        </w:tc>
        <w:tc>
          <w:tcPr>
            <w:tcW w:w="638" w:type="pct"/>
            <w:noWrap/>
            <w:vAlign w:val="center"/>
          </w:tcPr>
          <w:p w14:paraId="3961DD2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27.1</w:t>
            </w:r>
          </w:p>
        </w:tc>
      </w:tr>
      <w:tr w14:paraId="4011C25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1120" w:type="pct"/>
            <w:noWrap/>
            <w:vAlign w:val="center"/>
          </w:tcPr>
          <w:p w14:paraId="5682B9D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南盘江下段干流</w:t>
            </w:r>
          </w:p>
        </w:tc>
        <w:tc>
          <w:tcPr>
            <w:tcW w:w="735" w:type="pct"/>
            <w:noWrap/>
            <w:vAlign w:val="center"/>
          </w:tcPr>
          <w:p w14:paraId="7021266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999</w:t>
            </w:r>
          </w:p>
        </w:tc>
        <w:tc>
          <w:tcPr>
            <w:tcW w:w="735" w:type="pct"/>
            <w:noWrap/>
            <w:vAlign w:val="center"/>
          </w:tcPr>
          <w:p w14:paraId="42CA41F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747</w:t>
            </w:r>
          </w:p>
        </w:tc>
        <w:tc>
          <w:tcPr>
            <w:tcW w:w="518" w:type="pct"/>
            <w:noWrap/>
            <w:vAlign w:val="center"/>
          </w:tcPr>
          <w:p w14:paraId="645060D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299</w:t>
            </w:r>
          </w:p>
        </w:tc>
        <w:tc>
          <w:tcPr>
            <w:tcW w:w="735" w:type="pct"/>
            <w:noWrap/>
            <w:vAlign w:val="center"/>
          </w:tcPr>
          <w:p w14:paraId="7A9FEAF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3538</w:t>
            </w:r>
          </w:p>
        </w:tc>
        <w:tc>
          <w:tcPr>
            <w:tcW w:w="518" w:type="pct"/>
            <w:noWrap/>
            <w:vAlign w:val="center"/>
          </w:tcPr>
          <w:p w14:paraId="64064E9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5582</w:t>
            </w:r>
          </w:p>
        </w:tc>
        <w:tc>
          <w:tcPr>
            <w:tcW w:w="638" w:type="pct"/>
            <w:noWrap/>
            <w:vAlign w:val="center"/>
          </w:tcPr>
          <w:p w14:paraId="6102B62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6.5</w:t>
            </w:r>
          </w:p>
        </w:tc>
      </w:tr>
      <w:tr w14:paraId="2FFDCA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6" w:hRule="atLeast"/>
          <w:jc w:val="center"/>
        </w:trPr>
        <w:tc>
          <w:tcPr>
            <w:tcW w:w="1120" w:type="pct"/>
            <w:noWrap/>
            <w:vAlign w:val="center"/>
          </w:tcPr>
          <w:p w14:paraId="04595FD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合计</w:t>
            </w:r>
          </w:p>
        </w:tc>
        <w:tc>
          <w:tcPr>
            <w:tcW w:w="735" w:type="pct"/>
            <w:noWrap/>
            <w:vAlign w:val="center"/>
          </w:tcPr>
          <w:p w14:paraId="73BEABF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13073</w:t>
            </w:r>
          </w:p>
        </w:tc>
        <w:tc>
          <w:tcPr>
            <w:tcW w:w="735" w:type="pct"/>
            <w:noWrap/>
            <w:vAlign w:val="center"/>
          </w:tcPr>
          <w:p w14:paraId="74D751E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9242</w:t>
            </w:r>
          </w:p>
        </w:tc>
        <w:tc>
          <w:tcPr>
            <w:tcW w:w="518" w:type="pct"/>
            <w:noWrap/>
            <w:vAlign w:val="center"/>
          </w:tcPr>
          <w:p w14:paraId="036D256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24925</w:t>
            </w:r>
          </w:p>
        </w:tc>
        <w:tc>
          <w:tcPr>
            <w:tcW w:w="735" w:type="pct"/>
            <w:noWrap/>
            <w:vAlign w:val="center"/>
          </w:tcPr>
          <w:p w14:paraId="0D40428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38190</w:t>
            </w:r>
          </w:p>
        </w:tc>
        <w:tc>
          <w:tcPr>
            <w:tcW w:w="518" w:type="pct"/>
            <w:noWrap/>
            <w:vAlign w:val="center"/>
          </w:tcPr>
          <w:p w14:paraId="7544D64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85431</w:t>
            </w:r>
          </w:p>
        </w:tc>
        <w:tc>
          <w:tcPr>
            <w:tcW w:w="638" w:type="pct"/>
            <w:noWrap/>
            <w:vAlign w:val="center"/>
          </w:tcPr>
          <w:p w14:paraId="6CDE876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100.0</w:t>
            </w:r>
          </w:p>
        </w:tc>
      </w:tr>
    </w:tbl>
    <w:p w14:paraId="4D216236">
      <w:pPr>
        <w:rPr>
          <w:rFonts w:hint="default" w:ascii="Times New Roman" w:hAnsi="Times New Roman" w:eastAsia="宋体" w:cs="Times New Roman"/>
          <w:color w:val="auto"/>
          <w:highlight w:val="none"/>
        </w:rPr>
      </w:pPr>
    </w:p>
    <w:p w14:paraId="79358CED">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现状用水水平</w:t>
      </w:r>
      <w:r>
        <w:rPr>
          <w:rFonts w:hint="default" w:ascii="Times New Roman" w:hAnsi="Times New Roman" w:cs="Times New Roman" w:eastAsiaTheme="minorEastAsia"/>
          <w:color w:val="auto"/>
          <w:highlight w:val="none"/>
        </w:rPr>
        <w:t>与用水效率分析</w:t>
      </w:r>
    </w:p>
    <w:p w14:paraId="4505555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（1）现状用水水平分析</w:t>
      </w:r>
    </w:p>
    <w:p w14:paraId="7E8F80D2">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在现状供用水量调查分析和现状社会经济发展指标分析的基础上，对流域内人均综合用水指标、农业用水指标、工业用水指标和生活用水指标等进行评价。</w:t>
      </w:r>
    </w:p>
    <w:p w14:paraId="624DF3EB">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2.1.</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 xml:space="preserve">  流域内现状主要用水指标</w:t>
      </w:r>
    </w:p>
    <w:tbl>
      <w:tblPr>
        <w:tblStyle w:val="22"/>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1202"/>
        <w:gridCol w:w="1357"/>
        <w:gridCol w:w="1539"/>
        <w:gridCol w:w="1928"/>
        <w:gridCol w:w="1587"/>
      </w:tblGrid>
      <w:tr w14:paraId="7A71BD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Align w:val="center"/>
          </w:tcPr>
          <w:p w14:paraId="6393737B">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行政区</w:t>
            </w:r>
          </w:p>
        </w:tc>
        <w:tc>
          <w:tcPr>
            <w:tcW w:w="705" w:type="pct"/>
            <w:vAlign w:val="center"/>
          </w:tcPr>
          <w:p w14:paraId="2AC23237">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人均用水量（m³/人）</w:t>
            </w:r>
          </w:p>
        </w:tc>
        <w:tc>
          <w:tcPr>
            <w:tcW w:w="796" w:type="pct"/>
            <w:vAlign w:val="center"/>
          </w:tcPr>
          <w:p w14:paraId="770D3D78">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农田灌溉用水指标（m³/亩）</w:t>
            </w:r>
          </w:p>
        </w:tc>
        <w:tc>
          <w:tcPr>
            <w:tcW w:w="903" w:type="pct"/>
            <w:vAlign w:val="center"/>
          </w:tcPr>
          <w:p w14:paraId="49FF72F8">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城镇生活综合用水指标</w:t>
            </w:r>
          </w:p>
          <w:p w14:paraId="51FC2E76">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（L/人.d）</w:t>
            </w:r>
          </w:p>
        </w:tc>
        <w:tc>
          <w:tcPr>
            <w:tcW w:w="1131" w:type="pct"/>
            <w:vAlign w:val="center"/>
          </w:tcPr>
          <w:p w14:paraId="528F4719">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工业增加值用水指标（m³/万元）</w:t>
            </w:r>
          </w:p>
        </w:tc>
        <w:tc>
          <w:tcPr>
            <w:tcW w:w="931" w:type="pct"/>
            <w:vAlign w:val="center"/>
          </w:tcPr>
          <w:p w14:paraId="5DA768F1">
            <w:pPr>
              <w:pStyle w:val="30"/>
              <w:spacing w:line="240" w:lineRule="auto"/>
              <w:jc w:val="center"/>
              <w:rPr>
                <w:rFonts w:hint="default" w:ascii="Times New Roman" w:hAnsi="Times New Roman" w:cs="Times New Roman"/>
                <w:b/>
                <w:bCs/>
                <w:color w:val="auto"/>
                <w:kern w:val="2"/>
                <w:highlight w:val="none"/>
              </w:rPr>
            </w:pPr>
            <w:r>
              <w:rPr>
                <w:rFonts w:hint="default" w:ascii="Times New Roman" w:hAnsi="Times New Roman" w:cs="Times New Roman"/>
                <w:b/>
                <w:bCs/>
                <w:color w:val="auto"/>
                <w:kern w:val="2"/>
                <w:highlight w:val="none"/>
              </w:rPr>
              <w:t>农村居民用水指标（L/人.d）</w:t>
            </w:r>
          </w:p>
        </w:tc>
      </w:tr>
      <w:tr w14:paraId="489CB7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noWrap/>
            <w:vAlign w:val="center"/>
          </w:tcPr>
          <w:p w14:paraId="7888F3D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麒麟区</w:t>
            </w:r>
          </w:p>
        </w:tc>
        <w:tc>
          <w:tcPr>
            <w:tcW w:w="705" w:type="pct"/>
            <w:vAlign w:val="center"/>
          </w:tcPr>
          <w:p w14:paraId="38FF8CC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233</w:t>
            </w:r>
          </w:p>
        </w:tc>
        <w:tc>
          <w:tcPr>
            <w:tcW w:w="796" w:type="pct"/>
            <w:vAlign w:val="center"/>
          </w:tcPr>
          <w:p w14:paraId="3EC9342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661</w:t>
            </w:r>
          </w:p>
        </w:tc>
        <w:tc>
          <w:tcPr>
            <w:tcW w:w="903" w:type="pct"/>
            <w:vAlign w:val="center"/>
          </w:tcPr>
          <w:p w14:paraId="47E3291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173</w:t>
            </w:r>
          </w:p>
        </w:tc>
        <w:tc>
          <w:tcPr>
            <w:tcW w:w="1131" w:type="pct"/>
            <w:vAlign w:val="center"/>
          </w:tcPr>
          <w:p w14:paraId="70AC3E8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25.6</w:t>
            </w:r>
          </w:p>
        </w:tc>
        <w:tc>
          <w:tcPr>
            <w:tcW w:w="931" w:type="pct"/>
            <w:vAlign w:val="center"/>
          </w:tcPr>
          <w:p w14:paraId="1AE7C5D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68</w:t>
            </w:r>
          </w:p>
        </w:tc>
      </w:tr>
      <w:tr w14:paraId="02E236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noWrap/>
            <w:vAlign w:val="center"/>
          </w:tcPr>
          <w:p w14:paraId="3F3F05A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沾益区</w:t>
            </w:r>
          </w:p>
        </w:tc>
        <w:tc>
          <w:tcPr>
            <w:tcW w:w="705" w:type="pct"/>
            <w:vAlign w:val="center"/>
          </w:tcPr>
          <w:p w14:paraId="6FC9563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438</w:t>
            </w:r>
          </w:p>
        </w:tc>
        <w:tc>
          <w:tcPr>
            <w:tcW w:w="796" w:type="pct"/>
            <w:vAlign w:val="center"/>
          </w:tcPr>
          <w:p w14:paraId="19FCBDA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579</w:t>
            </w:r>
          </w:p>
        </w:tc>
        <w:tc>
          <w:tcPr>
            <w:tcW w:w="903" w:type="pct"/>
            <w:vAlign w:val="center"/>
          </w:tcPr>
          <w:p w14:paraId="100411A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140</w:t>
            </w:r>
          </w:p>
        </w:tc>
        <w:tc>
          <w:tcPr>
            <w:tcW w:w="1131" w:type="pct"/>
            <w:vAlign w:val="center"/>
          </w:tcPr>
          <w:p w14:paraId="0724E0D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38.3</w:t>
            </w:r>
          </w:p>
        </w:tc>
        <w:tc>
          <w:tcPr>
            <w:tcW w:w="931" w:type="pct"/>
            <w:vAlign w:val="center"/>
          </w:tcPr>
          <w:p w14:paraId="2CD1ACE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70</w:t>
            </w:r>
          </w:p>
        </w:tc>
      </w:tr>
      <w:tr w14:paraId="422C13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noWrap/>
            <w:vAlign w:val="center"/>
          </w:tcPr>
          <w:p w14:paraId="3B59D17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马龙区</w:t>
            </w:r>
          </w:p>
        </w:tc>
        <w:tc>
          <w:tcPr>
            <w:tcW w:w="705" w:type="pct"/>
            <w:vAlign w:val="center"/>
          </w:tcPr>
          <w:p w14:paraId="7FC4900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389</w:t>
            </w:r>
          </w:p>
        </w:tc>
        <w:tc>
          <w:tcPr>
            <w:tcW w:w="796" w:type="pct"/>
            <w:vAlign w:val="center"/>
          </w:tcPr>
          <w:p w14:paraId="32D735D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309</w:t>
            </w:r>
          </w:p>
        </w:tc>
        <w:tc>
          <w:tcPr>
            <w:tcW w:w="903" w:type="pct"/>
            <w:vAlign w:val="center"/>
          </w:tcPr>
          <w:p w14:paraId="05384668">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140</w:t>
            </w:r>
          </w:p>
        </w:tc>
        <w:tc>
          <w:tcPr>
            <w:tcW w:w="1131" w:type="pct"/>
            <w:vAlign w:val="center"/>
          </w:tcPr>
          <w:p w14:paraId="5AF1AF1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26.0</w:t>
            </w:r>
          </w:p>
        </w:tc>
        <w:tc>
          <w:tcPr>
            <w:tcW w:w="931" w:type="pct"/>
            <w:vAlign w:val="center"/>
          </w:tcPr>
          <w:p w14:paraId="04D6DEC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70</w:t>
            </w:r>
          </w:p>
        </w:tc>
      </w:tr>
      <w:tr w14:paraId="59B3F0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noWrap/>
            <w:vAlign w:val="center"/>
          </w:tcPr>
          <w:p w14:paraId="2FF939CA">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陆良县</w:t>
            </w:r>
          </w:p>
        </w:tc>
        <w:tc>
          <w:tcPr>
            <w:tcW w:w="705" w:type="pct"/>
            <w:vAlign w:val="center"/>
          </w:tcPr>
          <w:p w14:paraId="072AC65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323</w:t>
            </w:r>
          </w:p>
        </w:tc>
        <w:tc>
          <w:tcPr>
            <w:tcW w:w="796" w:type="pct"/>
            <w:vAlign w:val="center"/>
          </w:tcPr>
          <w:p w14:paraId="0F08984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579</w:t>
            </w:r>
          </w:p>
        </w:tc>
        <w:tc>
          <w:tcPr>
            <w:tcW w:w="903" w:type="pct"/>
            <w:vAlign w:val="center"/>
          </w:tcPr>
          <w:p w14:paraId="57C7BCDB">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145</w:t>
            </w:r>
          </w:p>
        </w:tc>
        <w:tc>
          <w:tcPr>
            <w:tcW w:w="1131" w:type="pct"/>
            <w:vAlign w:val="center"/>
          </w:tcPr>
          <w:p w14:paraId="24A4F33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28.3</w:t>
            </w:r>
          </w:p>
        </w:tc>
        <w:tc>
          <w:tcPr>
            <w:tcW w:w="931" w:type="pct"/>
            <w:vAlign w:val="center"/>
          </w:tcPr>
          <w:p w14:paraId="6712DCF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68</w:t>
            </w:r>
          </w:p>
        </w:tc>
      </w:tr>
      <w:tr w14:paraId="115CF6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noWrap/>
            <w:vAlign w:val="center"/>
          </w:tcPr>
          <w:p w14:paraId="670E353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师宗县</w:t>
            </w:r>
          </w:p>
        </w:tc>
        <w:tc>
          <w:tcPr>
            <w:tcW w:w="705" w:type="pct"/>
            <w:vAlign w:val="center"/>
          </w:tcPr>
          <w:p w14:paraId="271D364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208</w:t>
            </w:r>
          </w:p>
        </w:tc>
        <w:tc>
          <w:tcPr>
            <w:tcW w:w="796" w:type="pct"/>
            <w:vAlign w:val="center"/>
          </w:tcPr>
          <w:p w14:paraId="26B943A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453</w:t>
            </w:r>
          </w:p>
        </w:tc>
        <w:tc>
          <w:tcPr>
            <w:tcW w:w="903" w:type="pct"/>
            <w:vAlign w:val="center"/>
          </w:tcPr>
          <w:p w14:paraId="2C66088F">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151</w:t>
            </w:r>
          </w:p>
        </w:tc>
        <w:tc>
          <w:tcPr>
            <w:tcW w:w="1131" w:type="pct"/>
            <w:vAlign w:val="center"/>
          </w:tcPr>
          <w:p w14:paraId="61631F1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40.0</w:t>
            </w:r>
          </w:p>
        </w:tc>
        <w:tc>
          <w:tcPr>
            <w:tcW w:w="931" w:type="pct"/>
            <w:vAlign w:val="center"/>
          </w:tcPr>
          <w:p w14:paraId="32AC26E5">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63</w:t>
            </w:r>
          </w:p>
        </w:tc>
      </w:tr>
      <w:tr w14:paraId="42A37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noWrap/>
            <w:vAlign w:val="center"/>
          </w:tcPr>
          <w:p w14:paraId="36771D5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罗平县</w:t>
            </w:r>
          </w:p>
        </w:tc>
        <w:tc>
          <w:tcPr>
            <w:tcW w:w="705" w:type="pct"/>
            <w:vAlign w:val="center"/>
          </w:tcPr>
          <w:p w14:paraId="12ACFD54">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203</w:t>
            </w:r>
          </w:p>
        </w:tc>
        <w:tc>
          <w:tcPr>
            <w:tcW w:w="796" w:type="pct"/>
            <w:vAlign w:val="center"/>
          </w:tcPr>
          <w:p w14:paraId="117F42E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636</w:t>
            </w:r>
          </w:p>
        </w:tc>
        <w:tc>
          <w:tcPr>
            <w:tcW w:w="903" w:type="pct"/>
            <w:vAlign w:val="center"/>
          </w:tcPr>
          <w:p w14:paraId="5A357087">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159</w:t>
            </w:r>
          </w:p>
        </w:tc>
        <w:tc>
          <w:tcPr>
            <w:tcW w:w="1131" w:type="pct"/>
            <w:vAlign w:val="center"/>
          </w:tcPr>
          <w:p w14:paraId="4F2ACD2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40.0</w:t>
            </w:r>
          </w:p>
        </w:tc>
        <w:tc>
          <w:tcPr>
            <w:tcW w:w="931" w:type="pct"/>
            <w:vAlign w:val="center"/>
          </w:tcPr>
          <w:p w14:paraId="380C158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59</w:t>
            </w:r>
          </w:p>
        </w:tc>
      </w:tr>
      <w:tr w14:paraId="149443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noWrap/>
            <w:vAlign w:val="center"/>
          </w:tcPr>
          <w:p w14:paraId="14E41A5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富源县</w:t>
            </w:r>
          </w:p>
        </w:tc>
        <w:tc>
          <w:tcPr>
            <w:tcW w:w="705" w:type="pct"/>
            <w:vAlign w:val="center"/>
          </w:tcPr>
          <w:p w14:paraId="0DD283C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127</w:t>
            </w:r>
          </w:p>
        </w:tc>
        <w:tc>
          <w:tcPr>
            <w:tcW w:w="796" w:type="pct"/>
            <w:vAlign w:val="center"/>
          </w:tcPr>
          <w:p w14:paraId="6016F1F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339</w:t>
            </w:r>
          </w:p>
        </w:tc>
        <w:tc>
          <w:tcPr>
            <w:tcW w:w="903" w:type="pct"/>
            <w:vAlign w:val="center"/>
          </w:tcPr>
          <w:p w14:paraId="6B4C734E">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150</w:t>
            </w:r>
          </w:p>
        </w:tc>
        <w:tc>
          <w:tcPr>
            <w:tcW w:w="1131" w:type="pct"/>
            <w:vAlign w:val="center"/>
          </w:tcPr>
          <w:p w14:paraId="6EF05F7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26.0</w:t>
            </w:r>
          </w:p>
        </w:tc>
        <w:tc>
          <w:tcPr>
            <w:tcW w:w="931" w:type="pct"/>
            <w:vAlign w:val="center"/>
          </w:tcPr>
          <w:p w14:paraId="168C0479">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70</w:t>
            </w:r>
          </w:p>
        </w:tc>
      </w:tr>
      <w:tr w14:paraId="2A1EB6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noWrap/>
            <w:vAlign w:val="center"/>
          </w:tcPr>
          <w:p w14:paraId="16E083DD">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流域内</w:t>
            </w:r>
          </w:p>
        </w:tc>
        <w:tc>
          <w:tcPr>
            <w:tcW w:w="705" w:type="pct"/>
            <w:vAlign w:val="center"/>
          </w:tcPr>
          <w:p w14:paraId="3E2F693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243</w:t>
            </w:r>
          </w:p>
        </w:tc>
        <w:tc>
          <w:tcPr>
            <w:tcW w:w="796" w:type="pct"/>
            <w:vAlign w:val="center"/>
          </w:tcPr>
          <w:p w14:paraId="3BE411B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508</w:t>
            </w:r>
          </w:p>
        </w:tc>
        <w:tc>
          <w:tcPr>
            <w:tcW w:w="903" w:type="pct"/>
            <w:vAlign w:val="center"/>
          </w:tcPr>
          <w:p w14:paraId="37894053">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151</w:t>
            </w:r>
          </w:p>
        </w:tc>
        <w:tc>
          <w:tcPr>
            <w:tcW w:w="1131" w:type="pct"/>
            <w:vAlign w:val="center"/>
          </w:tcPr>
          <w:p w14:paraId="277580A1">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32.0</w:t>
            </w:r>
          </w:p>
        </w:tc>
        <w:tc>
          <w:tcPr>
            <w:tcW w:w="931" w:type="pct"/>
            <w:vAlign w:val="center"/>
          </w:tcPr>
          <w:p w14:paraId="61D4571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67</w:t>
            </w:r>
          </w:p>
        </w:tc>
      </w:tr>
      <w:tr w14:paraId="4516AD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3" w:type="pct"/>
            <w:vAlign w:val="center"/>
          </w:tcPr>
          <w:p w14:paraId="775E3436">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云南省</w:t>
            </w:r>
          </w:p>
        </w:tc>
        <w:tc>
          <w:tcPr>
            <w:tcW w:w="705" w:type="pct"/>
            <w:vAlign w:val="center"/>
          </w:tcPr>
          <w:p w14:paraId="7405FFF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345</w:t>
            </w:r>
          </w:p>
        </w:tc>
        <w:tc>
          <w:tcPr>
            <w:tcW w:w="796" w:type="pct"/>
            <w:vAlign w:val="center"/>
          </w:tcPr>
          <w:p w14:paraId="2538920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351</w:t>
            </w:r>
          </w:p>
        </w:tc>
        <w:tc>
          <w:tcPr>
            <w:tcW w:w="903" w:type="pct"/>
            <w:vAlign w:val="center"/>
          </w:tcPr>
          <w:p w14:paraId="0645CE90">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155</w:t>
            </w:r>
          </w:p>
        </w:tc>
        <w:tc>
          <w:tcPr>
            <w:tcW w:w="1131" w:type="pct"/>
            <w:vAlign w:val="center"/>
          </w:tcPr>
          <w:p w14:paraId="3F122582">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18.0</w:t>
            </w:r>
          </w:p>
        </w:tc>
        <w:tc>
          <w:tcPr>
            <w:tcW w:w="931" w:type="pct"/>
            <w:vAlign w:val="center"/>
          </w:tcPr>
          <w:p w14:paraId="3635B2BC">
            <w:pPr>
              <w:pStyle w:val="30"/>
              <w:spacing w:line="240" w:lineRule="auto"/>
              <w:jc w:val="center"/>
              <w:rPr>
                <w:rFonts w:hint="default" w:ascii="Times New Roman" w:hAnsi="Times New Roman" w:cs="Times New Roman"/>
                <w:color w:val="auto"/>
                <w:kern w:val="2"/>
                <w:highlight w:val="none"/>
              </w:rPr>
            </w:pPr>
            <w:r>
              <w:rPr>
                <w:rFonts w:hint="default" w:ascii="Times New Roman" w:hAnsi="Times New Roman" w:cs="Times New Roman"/>
                <w:color w:val="auto"/>
                <w:kern w:val="2"/>
                <w:highlight w:val="none"/>
              </w:rPr>
              <w:t>88</w:t>
            </w:r>
          </w:p>
        </w:tc>
      </w:tr>
    </w:tbl>
    <w:p w14:paraId="11FFE56F">
      <w:pPr>
        <w:pStyle w:val="14"/>
        <w:spacing w:before="156" w:beforeLines="5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人均用水量指标。按各县（区）来分析统计，人均用水量指标在300m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/人以上的有马龙县、陆良县及沾益区，人均用水量指标在200~300m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/人的县（区）有麒麟区、师宗县、罗平县。人均用水量指标在200m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/人以下的县（区）有富源县。其中以沾益区最高，达到438m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/人，约为南盘江流域平均水平的1.8倍，最低为富源县仅为127m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/人，仅为云南省平均水平的37%。</w:t>
      </w:r>
    </w:p>
    <w:p w14:paraId="21118D9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农田灌溉综合用水指标。现状年农田灌溉综合用水指标508m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/亩。按行政区来分析统计，农田灌溉综合定额在400m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/亩以上的有麒麟区、沾益区、陆良县、师宗县、罗平县，这些县（区）由于耕地资源丰富，种植业以水稻和蔬菜花卉等经济作物为主，位于平坝区，为全省农田灌溉用水量定额的高值区；在300~400m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/亩之间有马龙区、富源县，两县耕地面积较大，部分耕地位于山区半山区等区域，水稻种植比例不高，作物用水指标较低。</w:t>
      </w:r>
    </w:p>
    <w:p w14:paraId="3972CC60">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工业用水水平分析。通过对现状工业用水情况调查分析，流域内一般工业万元工业增加值用水指标在30~40m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万元以上的有沾益区、师宗县、罗平县，其中沾益区高耗水产业占比较大，如煤炭开采、洗选、钢铁冶炼等，导致工业用水指标偏高；师宗县、罗平县则节水水平低，工业结构单一，工业产品附加值低，为工业用水量定额的高值区。麒麟区、马龙区、陆良县富源县工业用水指标在20~30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万元之间，其中麒麟区经济最为发达，是南盘江流域内的主要工业区，其工业增加值占全流域总数的54.6%，集中了全市主要的卷烟、纺织、石化、机械、电子、磷化工等行业的大中型工业企业，是流域内经济发达地区，同时也是水资源紧缺地区，节水水平较高，且低用水、高产出的烟草加工业，机械、电子及其它高新技术产业也主要位于该区，因此，用水指标处于较低水平，仅为25.6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/万元。</w:t>
      </w:r>
    </w:p>
    <w:p w14:paraId="041760E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综合生活用水水平分析。流域内现状年城镇生活平均综合用水指标为151L/（人•d），城镇生活用水指标在平均水平以上的有麒麟区、罗平县，其中麒麟区是曲靖市的州府城市，是曲靖市的政治、经济、文化中心，生活水平高，行政事业单位多，公共设施配套较完善，城镇绿化率高、第三产业发达，居民用水和公共用水均高于省内</w:t>
      </w:r>
      <w:r>
        <w:rPr>
          <w:rFonts w:hint="default" w:ascii="Times New Roman" w:hAnsi="Times New Roman" w:cs="Times New Roman"/>
          <w:color w:val="auto"/>
          <w:highlight w:val="green"/>
        </w:rPr>
        <w:t>其</w:t>
      </w:r>
      <w:r>
        <w:rPr>
          <w:rFonts w:hint="eastAsia" w:cs="Times New Roman"/>
          <w:color w:val="auto"/>
          <w:highlight w:val="green"/>
          <w:lang w:val="en-US" w:eastAsia="zh-CN"/>
        </w:rPr>
        <w:t>他</w:t>
      </w:r>
      <w:r>
        <w:rPr>
          <w:rFonts w:hint="default" w:ascii="Times New Roman" w:hAnsi="Times New Roman" w:cs="Times New Roman"/>
          <w:color w:val="auto"/>
          <w:highlight w:val="green"/>
        </w:rPr>
        <w:t>地区</w:t>
      </w:r>
      <w:r>
        <w:rPr>
          <w:rFonts w:hint="default" w:ascii="Times New Roman" w:hAnsi="Times New Roman" w:cs="Times New Roman"/>
          <w:color w:val="auto"/>
          <w:highlight w:val="none"/>
        </w:rPr>
        <w:t>，城镇生活综合用水标准在全市最高，为173L/（人•d）；罗平县由于旅游人口较多，旅游人口用水属城镇公共用水的范畴，因此其城镇生活综合用水标准较高，为159L/（人•d）。城镇生活用水定额在140</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150L/（人•d）之间的有沾益区、马龙县、陆良县、师宗县、富源县，这些县城城镇公共设施配套较差，城镇生活用水定额处于省内的较低水平。</w:t>
      </w:r>
    </w:p>
    <w:p w14:paraId="0FEC880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流域内农村</w:t>
      </w:r>
      <w:bookmarkStart w:id="56" w:name="OLE_LINK34"/>
      <w:r>
        <w:rPr>
          <w:rFonts w:hint="default" w:ascii="Times New Roman" w:hAnsi="Times New Roman" w:cs="Times New Roman"/>
          <w:color w:val="auto"/>
          <w:highlight w:val="none"/>
        </w:rPr>
        <w:t>居民生活用水指标</w:t>
      </w:r>
      <w:bookmarkEnd w:id="56"/>
      <w:r>
        <w:rPr>
          <w:rFonts w:hint="default" w:ascii="Times New Roman" w:hAnsi="Times New Roman" w:cs="Times New Roman"/>
          <w:color w:val="auto"/>
          <w:highlight w:val="none"/>
        </w:rPr>
        <w:t>在62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70L/（人•d）之间，平均为67L/（人•d），其中经济较为发达的地区农村生活水平高，卫生设施与家用电器普及程度高，农村基础供水设施完善，居民生活用水指标相对较高；经济相对落后的地区，投资力度小，农民生活水平低，特别是边疆地区和高寒山区，人畜饮水困难的数量相对较大，其综合用水定额也相对要低。</w:t>
      </w:r>
    </w:p>
    <w:p w14:paraId="1EF2654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（2）现状用水效率分析</w:t>
      </w:r>
    </w:p>
    <w:p w14:paraId="0E8AD797">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流域内现状管网漏损率为</w:t>
      </w:r>
      <w:r>
        <w:rPr>
          <w:rFonts w:hint="default" w:ascii="Times New Roman" w:hAnsi="Times New Roman" w:cs="Times New Roman"/>
          <w:color w:val="auto"/>
          <w:highlight w:val="none"/>
          <w:lang w:eastAsia="zh-CN"/>
        </w:rPr>
        <w:t>13%～15%</w:t>
      </w:r>
      <w:r>
        <w:rPr>
          <w:rFonts w:hint="default" w:ascii="Times New Roman" w:hAnsi="Times New Roman" w:cs="Times New Roman"/>
          <w:color w:val="auto"/>
          <w:highlight w:val="none"/>
        </w:rPr>
        <w:t>，根据节水型社会发展要求，到2035年管网漏损率为8%，基本持平国家节水考核指标的要求。总体看，现状用水水平较低，节水潜力较大。</w:t>
      </w:r>
    </w:p>
    <w:p w14:paraId="17A5A7F4">
      <w:pPr>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本次典型区农业灌溉用水指标在339~661m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亩之间，由于各地气候、种植结构和管理水平不同，以致各灌区用水悬殊。现状灌溉水利用系数在0.50~0.56之间，其中山区、经济落后地区和水资源丰富地区在0.53左右，师宗县龙庆片区现状主要种植三七、薏仁等经济作物，采取管灌等灌溉方式，灌溉水利用系数（0.8）较高。</w:t>
      </w:r>
    </w:p>
    <w:p w14:paraId="7781324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水资源配置与供需水平衡</w:t>
      </w:r>
    </w:p>
    <w:p w14:paraId="3E52362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水资源配置与供需水平衡采用《南盘江（曲靖市境内）流域综合规划》成果。</w:t>
      </w:r>
    </w:p>
    <w:p w14:paraId="5C9E3A94">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现状水平年水资源供需平衡分析</w:t>
      </w:r>
    </w:p>
    <w:p w14:paraId="44DAA906">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现状基准年，多年平均情况下，南盘江（曲靖市境内）流域总需水量140557万m³，总供水量91411万m³，缺水总量为49145万m³，缺水率为35.0%，水资源供需不能平衡；P=75%频率下，流域内总需水量146841万m³，总供水量96</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80万m³，缺水总量为50461万m³，缺水率为34.4%，各行业均有不同程度缺水，主要为农业灌溉缺水，农业缺水占流域内总缺水的95.1%。在P=95%的特枯水年时，现状总缺水总量为72037万m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，缺水率为45.1%。</w:t>
      </w:r>
    </w:p>
    <w:p w14:paraId="4F8C6D99">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规划水平年第一次水资源供需平衡分析</w:t>
      </w:r>
    </w:p>
    <w:p w14:paraId="1BEDAD5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在现有水利工程条件下，统筹区域内水资源配置情况，结合现有供水设施的来水、需水、用水和节水潜力等因素，考虑河道内生态环境用水要求和退减挤占的生态环境用水，同时对部分小微型不稳定水源供水量进行置换。此外，考虑在建的大（2）型阿岗水库、车马碧水库调水工程、黑滩河水库调水工程、曲靖市中心城区供水保障提升引连调水工程、小撒卜龙中型水库扩建、补木中型水库、下河沿中型水库、小型阿汪水库、小型大海子水库扩建等项目建成后，不考虑新规划水资源开发，合理确定可供水量后进行规划年水资源一次供需平衡分析，旨在反映现状和在建水利工程的供水能力以及对规划水平年用水需求的最大满足程度。规划水平年水资源配置一次平衡结果见表6-2。</w:t>
      </w:r>
    </w:p>
    <w:p w14:paraId="081FDAB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2035年，流域内P=75%频率缺水60007万m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，缺水率31.8%，其中：城镇生活、农</w:t>
      </w:r>
      <w:r>
        <w:rPr>
          <w:rFonts w:hint="eastAsia" w:ascii="Times New Roman" w:hAnsi="Times New Roman" w:cs="Times New Roman"/>
          <w:color w:val="auto"/>
          <w:highlight w:val="none"/>
          <w:lang w:val="en-US" w:eastAsia="zh-CN"/>
        </w:rPr>
        <w:t>村</w:t>
      </w:r>
      <w:r>
        <w:rPr>
          <w:rFonts w:hint="default" w:ascii="Times New Roman" w:hAnsi="Times New Roman" w:cs="Times New Roman"/>
          <w:color w:val="auto"/>
          <w:highlight w:val="none"/>
        </w:rPr>
        <w:t>生活、工业、农业灌溉缺水分别为12183、931、13674、33219万m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，分别占流域内总缺水量的20.3%、1.6%、22.8%、55.4%；P=95%频率缺水82418万m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，缺水率41.2%。流域内多年平均缺水59762万m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，缺水率33.0%。</w:t>
      </w:r>
    </w:p>
    <w:p w14:paraId="5218CAC8">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对比以上现状基准年及2035年水资源供需成果来看，在未考虑规划其他新建工程的情况下，流域内缺水将不断加大。基准年流域内多年平均缺水量为49145万m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，主要为农业缺水，城乡生活和工业用水基本处于平衡状态。P=75%频率缺水量为50461万m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，P=95%频率缺水量为72037万m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。随着节水措施的持续推进，特别是已建灌区节水现代化改造的实施，2035年流域内多年平均需水量由基准年146841万m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增加至181323万m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，在现状供水工程条件（考虑已建与在建供水工程和退减挤占的生态环境用水前提）下，2035年流域内多年平均水资源供需缺口将扩大至59762万m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，P=75%频率缺水量为60007万m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，P=95%频率缺水量为82418万m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。不同四级区缺水差异变化加大。基准年缺水量主要集中在沾曲陆宜、黄泥河及南盘江下段干流，缺水量均超过7500万m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在现状供水工程条件下，至2035年，南盘江下段干流缺水随着阿岗水库建成使用后较现状有所缓解；沾曲陆宜因曲靖中心城区城镇化进程持续推进、中心城区人口加速集聚、产业规模不断壮大，缺水量将进一步加大；黄泥河因亟待大力发展农业灌溉，缺水量将进一步加大。</w:t>
      </w:r>
    </w:p>
    <w:p w14:paraId="6F4488E7">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规划水平年第二次水资源供需平衡分析</w:t>
      </w:r>
    </w:p>
    <w:p w14:paraId="3B3FE48D">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2035年，基于水资源禀赋条件、时空分布特点、经济社会高质量发展需求，统筹存量和增量，流域内在现有工程挖潜、续建配套和节约用水基础上，为提高缺水地区城乡生活和灌溉供水保证率，规划新建大河中型水库工程、小务龙中型水库扩建工程、九龙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小务龙水库连通工程、陆良县引水入陆工程、小（1）型龙潭水库等一批蓄引提调工程等，进一步开源、提高中水利用率、增强多水源间联合调度能力，多年平均新增供水量合计约29132万m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，在此基础上进行二次水资源供需平衡分析。</w:t>
      </w:r>
    </w:p>
    <w:p w14:paraId="1D2FDB47">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2035年，随着罗师、富源等灌区工程的建设，同时加入陆良县引水入陆工程及南盘江新建引提水工程等参与平衡后，流域内多年平均缺水量30629万m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16.9%；其中，沾益区、马龙区、师宗县、罗平县及富源县城镇生活、农村生活、工业用水和农业灌溉用水基本得到满足。缺水主要集中在麒麟区沾曲陆宜及陆良县沾曲陆宜两个计算单元上，麒麟区沾曲陆宜缺口主要体现在城镇生活及工业，陆良县沾曲陆宜缺口主要体现在工业及农灌；P=75%频率流域内缺水27689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，缺水率14.7%，P=95%特枯水年流域内缺水51786万m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，缺水率25.9%。</w:t>
      </w:r>
    </w:p>
    <w:p w14:paraId="08B5BD2F">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规划水平年第三次水资源供需平衡分析</w:t>
      </w:r>
    </w:p>
    <w:p w14:paraId="3908DBEC">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2035年，加入曲靖市牛栏江德泽水库引水济曲工程进行供需平衡。流域内多年平均缺水量10353万m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，缺水率5.7%；P=75%频率缺水5992万m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，缺水率3.2%；城镇生活、工业和农村生活供水保证率均达到95%，农业灌溉缺水率低于5%。P=95%频率下缺水30049万m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，缺水率15.0%，全部为农业灌溉缺水。</w:t>
      </w:r>
    </w:p>
    <w:p w14:paraId="0E802942">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尽管采取上述节水挖潜和外调水补给措施，到2035年曲靖大型灌区陆良坝部分的农业灌溉用水仍将存在一定缺口。究其原因，一是陆良坝子作为全省第一大高原平坝，水田连片，复种指数高，加之蔬菜、蚕桑等特色产业加快发展，用水高度集中，水资源消耗量大；二是陆良县处于曲靖中心城市区域下游，南盘江干流进入县境的来水量受上游拦蓄和生产生活取用影响较大，上下游用水矛盾客观存在。建议曲靖大型灌区内适度压减高耗水作物播种面积，大力发展喷灌、微灌、滴灌等高效节水灌溉模式，实现灌区内农灌“少用水、高利用、低排放”，最大限度挖掘灌区内部节水潜力，积极探索其他补水途径，逐步缩小农业灌溉供需缺口。</w:t>
      </w:r>
    </w:p>
    <w:p w14:paraId="6251EDD2">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水资源优化配置</w:t>
      </w:r>
    </w:p>
    <w:p w14:paraId="65DB4F29">
      <w:pPr>
        <w:pStyle w:val="14"/>
        <w:ind w:firstLine="480"/>
        <w:rPr>
          <w:rFonts w:hint="default" w:ascii="Times New Roman" w:hAnsi="Times New Roman" w:cs="Times New Roman"/>
          <w:color w:val="auto"/>
          <w:szCs w:val="32"/>
          <w:highlight w:val="none"/>
        </w:rPr>
      </w:pPr>
      <w:r>
        <w:rPr>
          <w:rFonts w:hint="default" w:ascii="Times New Roman" w:hAnsi="Times New Roman" w:cs="Times New Roman"/>
          <w:color w:val="auto"/>
          <w:highlight w:val="none"/>
        </w:rPr>
        <w:t>坚持人水和谐发展的基本理念，统筹协调河道内外用水需求，在保障河道内生态用水的前提下，充分发挥蓄、引、提、调等地表水源工程和地下水工程、非常规水利用工程的优势及特点，联合供水，互联互通，丰枯互济、互为备用，有效提升水源与用水户之间的输配水系统效率，显著改善水源与用水户之间的时空匹配关系，高质量保障经济社会发展用水需求。</w:t>
      </w:r>
    </w:p>
    <w:p w14:paraId="2978CFD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分水源水资源配置。到2035年，通过现有工程深入挖潜和系统建设一批骨干水源工程，置换或退出部分小微型水源工程和保障性不高、运行成本高的引提水工程，供水结构得到明显优化，P=75%频率可新增供水量79558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，扣除退减的生态用水后，可满足用水需求。P=75%频率流域内蓄水工程、引提水工程、调水工程、再生水利用工程及其他工程供水量分别为101037、30760、28163、7446、3563万m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，占供水总量比例分别为59.1%、18.0%、16.5%、4.4%和2.1%。</w:t>
      </w:r>
    </w:p>
    <w:p w14:paraId="1ACAD6F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分行业水资源配置。到2035年，各行业配水结构趋于合理，新增供水更多分配至缺水较为突出的农业、工业和生活。其中，生活、工业用水需求得到全面满足，农业供水支撑了灌溉面积增长和灌溉保证率的提高，河道内生态补水保障了河湖生态环境改善。多年平均情况下流域内城镇生活、农村生活、工业和农业灌溉用水量分别为25871、12104、36494和96555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，占用水总量比例分别为15.1%、7.1%、21.4%和56.5%。</w:t>
      </w:r>
    </w:p>
    <w:p w14:paraId="72A62D87">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分区域水资源配置。到2035年，随着跨流域跨区域引调水工程和水源工程建设，流域内各县（区）的用水保障显著提升，多年平均情况下麒麟区、沾益区、马龙区、陆良县、师宗县、罗平县、富源县配置用水总量分别为45165、21518、2448、34846、15943、31886和19164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，占全市比例分别为26.4%、12.6%、1.4%、20.4%、9.3%、18.7%和11.2%，用水量较基准年均呈增加趋势。</w:t>
      </w:r>
    </w:p>
    <w:p w14:paraId="35CFEB5D">
      <w:pPr>
        <w:pStyle w:val="3"/>
        <w:numPr>
          <w:ilvl w:val="1"/>
          <w:numId w:val="4"/>
        </w:numPr>
        <w:spacing w:before="374" w:after="249"/>
        <w:rPr>
          <w:rFonts w:hint="default" w:ascii="Times New Roman" w:hAnsi="Times New Roman" w:eastAsia="宋体" w:cs="Times New Roman"/>
          <w:color w:val="auto"/>
          <w:highlight w:val="none"/>
        </w:rPr>
      </w:pPr>
      <w:bookmarkStart w:id="57" w:name="_Toc7497"/>
      <w:r>
        <w:rPr>
          <w:rFonts w:hint="default" w:ascii="Times New Roman" w:hAnsi="Times New Roman" w:cs="Times New Roman"/>
          <w:color w:val="auto"/>
          <w:highlight w:val="none"/>
          <w:lang w:val="en-US" w:eastAsia="zh-CN"/>
        </w:rPr>
        <w:t>专业</w:t>
      </w:r>
      <w:r>
        <w:rPr>
          <w:rFonts w:hint="default" w:ascii="Times New Roman" w:hAnsi="Times New Roman" w:eastAsia="宋体" w:cs="Times New Roman"/>
          <w:color w:val="auto"/>
          <w:highlight w:val="none"/>
        </w:rPr>
        <w:t>规划</w:t>
      </w:r>
      <w:r>
        <w:rPr>
          <w:rFonts w:hint="default" w:ascii="Times New Roman" w:hAnsi="Times New Roman" w:cs="Times New Roman"/>
          <w:color w:val="auto"/>
          <w:highlight w:val="none"/>
          <w:lang w:val="en-US" w:eastAsia="zh-CN"/>
        </w:rPr>
        <w:t>内容</w:t>
      </w:r>
      <w:bookmarkEnd w:id="57"/>
    </w:p>
    <w:p w14:paraId="40B1439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防洪减灾规划</w:t>
      </w:r>
    </w:p>
    <w:p w14:paraId="34121D11">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南盘江干流</w:t>
      </w:r>
    </w:p>
    <w:p w14:paraId="1EBDED89">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规划南盘江干流新建及加高加固堤防工程，针对无堤防、堤防标准偏低问题，结合各河段防洪现状和防护对象重要性实施差异化建设，覆盖曲靖市沾益区、麒麟区、陆良县、罗平县、师宗县5个重点河段。核心任务为新建堤防补齐短板、加高加固现有堤防提升标准，同步优化老河道分洪功能，其中沾益区以新建堤防为主，麒麟区、陆良县以加高加固为主，同步开展清淤疏浚、病险水闸改造工程，构建适配区域发展的防洪工程体系，包括10个河段，主要建设内容为新建或提标堤防、河道清淤疏浚，规划治理河长127.88km，新建堤防共78.31km，提标堤防共119.08km，清淤河长共84.07km</w:t>
      </w:r>
      <w:r>
        <w:rPr>
          <w:rFonts w:hint="default" w:ascii="Times New Roman" w:hAnsi="Times New Roman" w:cs="Times New Roman"/>
          <w:color w:val="auto"/>
          <w:highlight w:val="none"/>
          <w:lang w:eastAsia="zh-CN"/>
        </w:rPr>
        <w:t>。</w:t>
      </w:r>
    </w:p>
    <w:p w14:paraId="45061BD6">
      <w:pPr>
        <w:pStyle w:val="6"/>
        <w:numPr>
          <w:ilvl w:val="3"/>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主要支流</w:t>
      </w:r>
    </w:p>
    <w:p w14:paraId="2E050303">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对流域面积3000km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以上主要支流开展综合治理，旨在提高县城驻地防洪标准或河道两岸集镇、耕地集中区域抵御洪涝灾害的能力。包括黄泥河、甸溪河2条河流共12个河段，主要建设内容为新建或提标堤防、河道清淤疏浚，规划治理河长119.91 km，新建堤防共211.82 km，提标堤防共13.00km，清淤河长共39.48</w:t>
      </w:r>
      <w:r>
        <w:rPr>
          <w:rFonts w:hint="default" w:ascii="Times New Roman" w:hAnsi="Times New Roman" w:cs="Times New Roman"/>
          <w:color w:val="auto"/>
          <w:highlight w:val="none"/>
          <w:lang w:val="en-US" w:eastAsia="zh-CN"/>
        </w:rPr>
        <w:t>km</w:t>
      </w:r>
      <w:r>
        <w:rPr>
          <w:rFonts w:hint="default" w:ascii="Times New Roman" w:hAnsi="Times New Roman" w:cs="Times New Roman"/>
          <w:color w:val="auto"/>
          <w:highlight w:val="none"/>
        </w:rPr>
        <w:t>。</w:t>
      </w:r>
    </w:p>
    <w:p w14:paraId="41D51043">
      <w:pPr>
        <w:pStyle w:val="6"/>
        <w:numPr>
          <w:ilvl w:val="3"/>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中小河流</w:t>
      </w:r>
    </w:p>
    <w:p w14:paraId="5DAD9578">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对流域面积200—3000km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的19条中小河流共43个河段开展河道治理，主要建设内容为新建堤防或护岸、河道清淤疏浚，以增加河道行洪能力。规划在沿河防洪保护区综合治理河长共382.89km，新建堤防或护岸共501.75 km，清淤疏浚河长13.34km。</w:t>
      </w:r>
    </w:p>
    <w:p w14:paraId="236F9B5E">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城市防洪排涝</w:t>
      </w:r>
    </w:p>
    <w:p w14:paraId="091583D7">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对县城及以上驻地麒麟、沾益、陆良、富源、师宗、罗平城区共实施6件城市防洪排涝工程项目。2026-2035年小计总投资105688万元，2036-2050年小计总投资11350万元，（建设内容涉及河道治理的项目计入相应干流、主要支流、中小河流治理中，投资不重复计算。</w:t>
      </w:r>
    </w:p>
    <w:p w14:paraId="666F5A4A">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山洪灾害防治</w:t>
      </w:r>
    </w:p>
    <w:p w14:paraId="1DD3CDAC">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）非工程措施</w:t>
      </w:r>
    </w:p>
    <w:p w14:paraId="0A76B29D">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为提升南盘江（曲靖市境内）流域山洪灾害防御能力，筑牢防灾减灾防线，结合区域实际，重点从监测预警、信息共享、群测群防、预案修订及平台建设等方面，实施非工程措施，构建全链条防御体系。</w:t>
      </w:r>
    </w:p>
    <w:p w14:paraId="065AE282">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）工程措施</w:t>
      </w:r>
    </w:p>
    <w:p w14:paraId="784463ED">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南盘江（曲靖市境内）流域规划实施150条山洪沟治理，全面提升防灾减灾能力，减轻山洪灾害损失。治理河长共1035.47 km，保护人口70.26万人，保护耕地86.50万亩。2026-2035年小计总投资108449万元，2036-2050年小计总投资101885万元，全面提升防灾减灾能力，减轻山洪灾害损失。</w:t>
      </w:r>
    </w:p>
    <w:p w14:paraId="75767AF8">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病险水库、水闸除险加固</w:t>
      </w:r>
    </w:p>
    <w:p w14:paraId="37E19955">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南盘江（曲靖市境内）流域共有242件病险水库需要进行除险加固，其中中型水库6件，小（1）型水库34件，小（2）202件；2026-2035年小计总投资70521万元，2036-2050年小计总投资85480万元。</w:t>
      </w:r>
    </w:p>
    <w:p w14:paraId="38229304">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共有50件病险水闸需要进行改造，其中大型1件，中型9件，小（1）型18件，小（2）22件；2026-2035年小计总投资8145万元，2036-2050年小计总投资10140万元。</w:t>
      </w:r>
    </w:p>
    <w:p w14:paraId="5F1F5BA1">
      <w:pPr>
        <w:pStyle w:val="6"/>
        <w:numPr>
          <w:ilvl w:val="3"/>
          <w:numId w:val="4"/>
        </w:numPr>
        <w:spacing w:before="374" w:after="249"/>
        <w:rPr>
          <w:rFonts w:hint="default" w:ascii="Times New Roman" w:hAnsi="Times New Roman" w:eastAsia="宋体" w:cs="Times New Roman"/>
          <w:color w:val="auto"/>
          <w:highlight w:val="none"/>
        </w:rPr>
      </w:pPr>
      <w:bookmarkStart w:id="58" w:name="_Toc16258"/>
      <w:r>
        <w:rPr>
          <w:rFonts w:hint="default" w:ascii="Times New Roman" w:hAnsi="Times New Roman" w:eastAsia="宋体" w:cs="Times New Roman"/>
          <w:color w:val="auto"/>
          <w:highlight w:val="none"/>
        </w:rPr>
        <w:t>老旧水库安全能力提升</w:t>
      </w:r>
    </w:p>
    <w:p w14:paraId="71DA75C3">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为补齐老旧水库防洪短板，消除工程隐患，提升水库安全能力，对一批防洪任务重、老化严重、风险较高的老旧水库进行改造提升。规划对3座中型水库、22座小（1）型水库和68座小（2）型水库进行改造提升，合计总投资14782万元</w:t>
      </w:r>
      <w:r>
        <w:rPr>
          <w:rFonts w:hint="default" w:ascii="Times New Roman" w:hAnsi="Times New Roman" w:eastAsia="宋体" w:cs="Times New Roman"/>
          <w:color w:val="auto"/>
          <w:highlight w:val="none"/>
          <w:lang w:val="en-US" w:eastAsia="zh-CN"/>
        </w:rPr>
        <w:t>。</w:t>
      </w:r>
    </w:p>
    <w:p w14:paraId="3BEEF1E8">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雨水情监测预报体系规划</w:t>
      </w:r>
      <w:bookmarkEnd w:id="58"/>
    </w:p>
    <w:p w14:paraId="60799FEA">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面向现代化防洪需求，加快推进南盘江（曲靖市境内）流域雨水情监测预报现代化建设。坚持“高效实用”原则，构建雨水情监测预报“三道防线”，加强防洪工情险情灾情监测，增强预警预报预演预案功能。</w:t>
      </w:r>
    </w:p>
    <w:p w14:paraId="7702C1E3">
      <w:pPr>
        <w:pStyle w:val="6"/>
        <w:numPr>
          <w:ilvl w:val="3"/>
          <w:numId w:val="4"/>
        </w:numPr>
        <w:spacing w:before="374" w:after="249"/>
        <w:rPr>
          <w:rFonts w:hint="default" w:ascii="Times New Roman" w:hAnsi="Times New Roman" w:eastAsia="宋体" w:cs="Times New Roman"/>
          <w:color w:val="auto"/>
          <w:highlight w:val="none"/>
        </w:rPr>
      </w:pPr>
      <w:bookmarkStart w:id="59" w:name="_Toc6070"/>
      <w:r>
        <w:rPr>
          <w:rFonts w:hint="default" w:ascii="Times New Roman" w:hAnsi="Times New Roman" w:eastAsia="宋体" w:cs="Times New Roman"/>
          <w:color w:val="auto"/>
          <w:highlight w:val="none"/>
        </w:rPr>
        <w:t>水旱灾害防御工作体系规划</w:t>
      </w:r>
      <w:bookmarkEnd w:id="59"/>
    </w:p>
    <w:p w14:paraId="70C5C99C">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为筑牢南盘江（曲靖市</w:t>
      </w:r>
      <w:r>
        <w:rPr>
          <w:rFonts w:hint="default" w:ascii="Times New Roman" w:hAnsi="Times New Roman" w:cs="Times New Roman"/>
          <w:color w:val="auto"/>
          <w:highlight w:val="none"/>
          <w:lang w:val="en-US" w:eastAsia="zh-CN"/>
        </w:rPr>
        <w:t>境内）</w:t>
      </w:r>
      <w:r>
        <w:rPr>
          <w:rFonts w:hint="default" w:ascii="Times New Roman" w:hAnsi="Times New Roman" w:cs="Times New Roman"/>
          <w:color w:val="auto"/>
          <w:highlight w:val="none"/>
          <w:lang w:eastAsia="zh-CN"/>
        </w:rPr>
        <w:t>流域水安全屏障、全面提升防洪减灾综合能力，</w:t>
      </w:r>
      <w:r>
        <w:rPr>
          <w:rFonts w:hint="default" w:ascii="Times New Roman" w:hAnsi="Times New Roman" w:cs="Times New Roman"/>
          <w:color w:val="auto"/>
          <w:highlight w:val="none"/>
          <w:lang w:val="en-US" w:eastAsia="zh-CN"/>
        </w:rPr>
        <w:t>规划</w:t>
      </w:r>
      <w:r>
        <w:rPr>
          <w:rFonts w:hint="default" w:ascii="Times New Roman" w:hAnsi="Times New Roman" w:cs="Times New Roman"/>
          <w:color w:val="auto"/>
          <w:highlight w:val="none"/>
          <w:lang w:eastAsia="zh-CN"/>
        </w:rPr>
        <w:t>从六个方面系统推进流域防洪排涝工作：一是健全政策制度体系，依据各级水利、防洪法律法规，完善本地配套管理制度与实施细则，压实河湖长制与行政首长负责制，构建权责明晰、协同高效的防洪管理格局；二是强化防灾减灾风控，常态化开展洪涝隐患排查，完善监测预警、应急预案和应急处置体系，定期组织防灾演练，推进防汛智慧化建设，依托数字化监测、洪水风险图等技术提升科学防控水平；三是规范防洪工程管护，明确市、县水利部门监管职责，划定工程管理范围、严控涉水违法违规行为，优化洪水预报与调度方案，充分发挥水利工程防洪减灾效能；四是优化水库群联合调度，科学制定削峰错峰泄洪方案，统筹流域防洪安全与水资源综合利用，兼顾供水、生态、灌溉等多元需求；五是建强防汛应急队伍，构建市、县、乡、村四级防汛工作体系，整合各类应急力量，规范队伍编组、业务培训和联动机制，夯实基层防汛根基；六是完善超标准洪水防御机制，坚持生命至上原则，通过汛前排查备汛、实战演练、多部门联动监测预报，严格落实汛期统一调度，精准处置工程隐患，科学分流滞洪、转移安置群众，最大限度降低洪涝灾害损失。</w:t>
      </w:r>
    </w:p>
    <w:p w14:paraId="0B474724">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水资源节约集约利用规划</w:t>
      </w:r>
    </w:p>
    <w:p w14:paraId="24BEC836">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节约用水规划</w:t>
      </w:r>
    </w:p>
    <w:p w14:paraId="0FE3B847">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）农业节水</w:t>
      </w:r>
    </w:p>
    <w:p w14:paraId="048A44D6">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加快灌区续建配套与现代化改造。加快曲靖大型灌区续建配套和现代化改造项目实施，推进陆良韭菜坪、马龙大把持等一批中型灌区续建配套和现代化改造工程。开展灌区信息化建设，逐步实现灌溉用水远程监控、精准调度。统筹推进灌区排水沟渠改造，减少跑冒滴漏，提升农业用水利用效率。</w:t>
      </w:r>
    </w:p>
    <w:p w14:paraId="60C4538C">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持续推进节水灌溉。结合高标准农田建设，在新建和改建灌区积极推行管道化输水、渠道防渗等节水灌溉技术。因地制宜发展喷灌、微灌、滴灌等高效节水灌溉模式。在有条件的规模化种植基地推广水肥一体化精准灌溉技术，实现水肥协同供给、按需调控。衔接曲靖市深化农业水价综合改革部署，建立健全农业用水精准补贴和节水奖励机制，以经济手段促进农业用水方式转变。至2035水平年常规灌溉水利用系数达到0.68~0.7，基本实现水资源的高效利用。</w:t>
      </w:r>
    </w:p>
    <w:p w14:paraId="050337B7">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优化调整农业种植结构。因地制宜发展旱作农业，推广覆膜保墒、集雨补灌等旱作节水技术。充分利用南盘江流域低热河谷槽区优势，优化蓝莓、草莓等高端精品水果品种结构和种植区域布局，在有条件的区域发展莲藕、食用玫瑰等高原特色农业，推广“烤烟+蔬菜”等轮作模式，通过合理安排茬口实现多样化组合轮作，提高水资源利用效率。</w:t>
      </w:r>
    </w:p>
    <w:p w14:paraId="62A7DB61">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推进畜牧业节水。实施规模化畜禽养殖场标准化节水改造，配套建设养殖废水收集处理设施，推动养殖尾水处理后循环利用。推进流域内畜禽养殖污水治理，推广干清粪、雨污分流等养殖节水工艺。加强养殖废弃物资源化利用，促进种养循环绿色发展。</w:t>
      </w:r>
    </w:p>
    <w:p w14:paraId="116FB00E">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）工业节水</w:t>
      </w:r>
    </w:p>
    <w:p w14:paraId="278944A9">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推进工业节水改造。优化工业产业结构和布局，鼓励高产出低耗水新型产业发展，培育壮大绿色发展动能。强化重点工业行业产品用水定额管理，推进工业企业用水计划管理和重点用水企业用水量在线监测。加强节水技术开发和节水设备、器具的研制等，推进工艺改造和设备更新。大力推广高效冷却、循环用水、废污水再生利用、高耗水生产工艺替代等节水工艺和技术。</w:t>
      </w:r>
    </w:p>
    <w:p w14:paraId="2E079165">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强化高耗水行业管控。严格落实主体功能区规划，在生态脆弱地区严格控制高耗水新建、扩建项目，推进高耗水企业废水深度处理和达标再利用。依法依规淘汰落后产能和列入淘汰类目录的项目，对采用淘汰目录工艺、技术和装备的项目，不予批准取水许可。重点围绕绿色铝、新能源电池、光伏等主导产业推动节水增效，降低单位产品水耗。</w:t>
      </w:r>
    </w:p>
    <w:p w14:paraId="3C3CFE84">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积极推行水循环梯级利用。引导分散工业企业向工业园区集中，推进现有园区开展节水改造和循环化升级。加强园区企业间串联用水、分质供水和梯级利用，实现一水多用。新建园区须同步规划供排水及水循环利用设施，推动企业间用水系统集成优化。加强园区配套中水收集设施及管网建设，促进工业废水深度处理回用。</w:t>
      </w:r>
    </w:p>
    <w:p w14:paraId="1265413D">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）生活节水</w:t>
      </w:r>
    </w:p>
    <w:p w14:paraId="61F9C35C">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全面推进节水型城市建设。坚持以水定城、以水定人，合理控制城镇发展规模。将节水要求贯穿城市规划、建设和管理各环节。推广节水型坐便器、淋浴器、水嘴等节水器具，提高节水器具普及率。实施公共供水管网漏损治理，加快老旧供水管网更新改造，推进城镇供水管网分区计量管理。加强公共供水系统运行监督管理，推进城镇供水管网分区计量管理。重点推进老旧供水管网的更新改造工程建设。依据《云南省“十四五”节水型社会建设规划》供水管网漏失率实现持续稳步下降，预测至2035年规划区管网漏失率最低可达8%。</w:t>
      </w:r>
    </w:p>
    <w:p w14:paraId="2D6F347F">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加强公共领域节水。从严控制洗浴、高尔夫球场等高耗水服务业用水，严格定额管理，实行超定额累进加价制度。在高耗水服务业优先利用非常规水，全面推广循环用水技术工艺。鼓励公共机构采用节水新技术、新工艺和新产品，推进公共机构节水型单位创建。</w:t>
      </w:r>
    </w:p>
    <w:p w14:paraId="6E1C30E1">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推进农村生活节水。结合城乡供水一体化建设，推进农村供水管网改造和计量设施配套。实施农村集中供水工程节水改造，推广使用节水器具，逐步减少农村供水系统跑冒滴漏。因地制宜推广农村生活污水就近处理回用，用于庭院浇灌和村庄绿化。推进农村小型水利设施维修养护，保障农村供水安全和水资源高效利用。</w:t>
      </w:r>
    </w:p>
    <w:p w14:paraId="6B3AF861">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）再生及其他水源利用</w:t>
      </w:r>
    </w:p>
    <w:p w14:paraId="5A60A383">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将再生水、集蓄雨水、矿坑（井）水等非常规水源纳入水资源统一配置，逐步提高利用比例。推进污水资源化利用，结合现有污水处理设施提标改造，统筹规划城镇再生水利用设施，园林绿化、道路清扫、洗车及景观用水优先使用再生水。推进工业园区再生水利用项目建设。加强雨水集蓄利用，城市新建及改扩建工程推广透水铺装、下沉式绿地等设施，减少雨水径流外排；农村地区结合地形建设水池、水窖等设施集蓄雨水，用于农业灌溉和牲畜用水。统筹加强矿坑（井）水利用，推动矿区生产优先使用矿坑水，具备条件的工业企业合理配置矿坑（井）水。</w:t>
      </w:r>
    </w:p>
    <w:p w14:paraId="04218F3C">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城乡供水规划</w:t>
      </w:r>
    </w:p>
    <w:p w14:paraId="6D5C84AB">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）持续改善城市供水水源结构</w:t>
      </w:r>
    </w:p>
    <w:p w14:paraId="776B13E2">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按照“盘活存量、做大增量”的思路，坚持优水优用、高水高用，新建一批区域引提水工程和水库连通工程，置换现有城镇不稳定水源或与现有水源联合供水，提高骨干水源供水能力。将非常规水源纳入流域区域水资源统一配置，促进非常规水利用。以麒麟区、沾益区、陆良县等为重点，加快再生水利用。将非常规水源纳入水资源统一配置，提高非常规水源利用比例。</w:t>
      </w:r>
    </w:p>
    <w:p w14:paraId="15576759">
      <w:pPr>
        <w:pStyle w:val="4"/>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eastAsia="zh-CN"/>
        </w:rPr>
        <w:t>）推动农村供水高质量发展</w:t>
      </w:r>
    </w:p>
    <w:p w14:paraId="1F44EF6B">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有序推进城乡供水一体化建设，在有条件的地区，大力推动城镇水厂向农村地区管网延伸供水。在人口分散的地区，通过以大并小、小小联合和达标改造等措施，因地制宜推进一批小型供水工程标准化建设和改造。实施农村水厂升级改造，更新改造一批早期建设且管道材质较差、管网漏损率较大的老旧农村供水工程和管网，完善配套水质净化消毒设施，提高农村饮用水水质达标率。在集中供水条件较差的区域，因地制宜建设小水源工程，加大备用水源建设，提高水源保障能力。</w:t>
      </w:r>
    </w:p>
    <w:p w14:paraId="6CF943D6">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）各县（区）城乡一体化总体布局</w:t>
      </w:r>
    </w:p>
    <w:p w14:paraId="21F84554">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麒麟区</w:t>
      </w:r>
    </w:p>
    <w:p w14:paraId="030245FF">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麒麟区城乡供水一体化总体布局围绕“主城提质、城乡联网”的思路，以独木水库、潇湘水库、西河水库等骨干水源为依托，以城区水厂为枢纽，通过管网延伸、水厂新建与改造等措施，加快构建覆盖全域的城乡供水网络，重点解决东山镇、潇湘街道、茨营镇、三宝街道、珠街街道等区域的人饮安全问题，推动城乡供水同源、同网、同质、同服务。</w:t>
      </w:r>
    </w:p>
    <w:p w14:paraId="56F61A2C">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规划建设东山镇北片区自来水厂，提升区域供水能力，满足东山镇及其周边群众日益增长的用水需求；新建潇湘自来水厂、法克自来水厂，进一步优化供水布局，增强区域供水保障韧性；实施三宝街道小海子自来水厂管网延伸工程，扩大规模化水厂覆盖范围，将优质水源向周边村组延伸；实施珠街街道联合水厂管网延伸工程，推进城镇管网向农村地区辐射，逐步压减分散式供水和小型供水工程比例。通过上述项目的实施，麒麟区到2035年可基本形成“骨干水源支撑、城区水厂枢纽、管网向乡延伸”的城乡供水一体化格局。</w:t>
      </w:r>
    </w:p>
    <w:p w14:paraId="72118B4C">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2</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沾益区</w:t>
      </w:r>
    </w:p>
    <w:p w14:paraId="6EB90893">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南盘江流域内沾益区城乡供水一体化总体布局围绕“城乡统筹、以城带乡、管网辐射”的思路，依托曲靖市中心城区供水保障提升引调水工程构建的多水源互联互通网络，充分发挥西河水库、花山水库、白浪水库、九龙水库等骨干水源的供水保障能力，以城区及集镇水厂为节点，通过管网延伸、设施配套等措施，加快推动城镇供水管网向农村地区拓展延伸，重点解决西平街道、龙华街道（含沾益农场）、金龙街道、花山街道、白水镇、盘江镇、炎方乡等街道及乡镇的人饮安全问题，逐步实现城乡供水同源、同网、同质、同服务。</w:t>
      </w:r>
    </w:p>
    <w:p w14:paraId="36383A89">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规划实施西平街道城市供水管网延伸项目，依托城区水厂向周边村组延伸供水管网，扩大规模化供水覆盖范围；实施龙华街道城市供水管网延伸项目，将沾益农场等区域纳入城镇供水体系，提升供水保障水平；实施金龙街道城市供水管网延伸项目，推动城镇管网向城乡接合部及农村地区有序延伸。同步推进集镇水厂管网向周边片区辐射，实施盘江集镇水厂谭家营片区管网延伸工程，解决盘江镇谭家营等片区群众饮水问题；实施花山集镇水厂大树屯片区管网延伸工程，扩大花山街道农村区域供水覆盖面；实施姑娘桥水厂云龙、金龙、东海片区管网延伸工程，有效覆盖金龙街道及周边农村区域。通过上述项目的实施，沾益区到2035年可基本形成“多源互补、水厂成网、管网到村”的城乡供水一体化格局。</w:t>
      </w:r>
    </w:p>
    <w:p w14:paraId="11596293">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马龙区</w:t>
      </w:r>
    </w:p>
    <w:p w14:paraId="634978EA">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南盘江流域内马龙区城乡供水一体化总体布局围绕“因地制宜、分区施策”的思路，针对流域内张安屯、马鸣、大庄、纳章等乡镇农村供水保障程度不高、水源分散的特点，以新建水源工程和供水设施为基础，以规模化水厂和集中供水工程为支撑，以单村供水为补充，分类解决不同区域人饮安全问题，逐步构建“水源稳定、水厂成网、管网到村”的供水保障格局。</w:t>
      </w:r>
    </w:p>
    <w:p w14:paraId="62E18B9C">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张安屯街道重点解决5个社区居委会的人饮安全问题，依托石灰冲水库供水工程和阿阳冲水库供水工程，构建以小型水库为水源的集中供水体系，同步实施单村供水工程，保障分散居住群众的用水需求。马鸣乡重点解决马鸣、永胜、新楼房、挪地等村委会的供水保障问题，规划建设马鸣集镇水厂供水工程，依托周家箐水库建设水厂向周边村组供水，新建新楼房水库水厂覆盖新楼房等片区，实施挪地大龙潭供水工程解决挪地村委会用水问题，形成“多水厂分片覆盖”的供水布局。大庄乡重点解决大庄、窝郎、乱头等村委会的人饮安全问题，实施大把</w:t>
      </w:r>
      <w:r>
        <w:rPr>
          <w:rFonts w:hint="eastAsia" w:cs="Times New Roman"/>
          <w:color w:val="auto"/>
          <w:highlight w:val="none"/>
          <w:lang w:val="en-US" w:eastAsia="zh-CN"/>
        </w:rPr>
        <w:t>持</w:t>
      </w:r>
      <w:r>
        <w:rPr>
          <w:rFonts w:hint="default" w:ascii="Times New Roman" w:hAnsi="Times New Roman" w:cs="Times New Roman"/>
          <w:color w:val="auto"/>
          <w:highlight w:val="none"/>
          <w:lang w:eastAsia="zh-CN"/>
        </w:rPr>
        <w:t>水库集中一体化供水工程，推进集镇水厂扩大规模并向周边延伸覆盖，建设火烧箐塘坝与四管箐塘坝联合供水工程，实现多水源互济互补。纳章镇重点解决纳章居委会及曲宗、竹园等村委会的供水问题，规划建设小天生坝供水工程、老屋村供水工程和西沟村供水工程，以小型集中供水工程为主，有效保障山区半山区群众饮水安全。通过上述项目的实施，马龙区南盘江流域到2035年可基本实现农村供水规模化、标准化、安全化。</w:t>
      </w:r>
    </w:p>
    <w:p w14:paraId="4949DED4">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4</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陆良县</w:t>
      </w:r>
    </w:p>
    <w:p w14:paraId="7290B262">
      <w:pPr>
        <w:ind w:firstLine="640"/>
        <w:rPr>
          <w:rFonts w:hint="default" w:ascii="Times New Roman" w:hAnsi="Times New Roman" w:cs="Times New Roman"/>
          <w:color w:val="auto"/>
          <w:szCs w:val="32"/>
          <w:highlight w:val="none"/>
        </w:rPr>
      </w:pPr>
      <w:r>
        <w:rPr>
          <w:rFonts w:hint="default" w:ascii="Times New Roman" w:hAnsi="Times New Roman" w:cs="Times New Roman"/>
          <w:color w:val="auto"/>
          <w:highlight w:val="none"/>
        </w:rPr>
        <w:t>陆良县城乡供水一体化项目</w:t>
      </w:r>
      <w:r>
        <w:rPr>
          <w:rFonts w:hint="default" w:ascii="Times New Roman" w:hAnsi="Times New Roman" w:cs="Times New Roman"/>
          <w:color w:val="auto"/>
          <w:szCs w:val="32"/>
          <w:highlight w:val="none"/>
        </w:rPr>
        <w:t>建设目标与任务解决中枢、同乐2个街道、马街、三岔河、板桥、芳华、大莫古、小百户6个镇74个社区/村委会，基准年328112人的用水问题，规划年约369662人用水问题。根据水利部和云南省水利厅要求和部署，实施陆良县城乡供水一体化项目，加快农村供水工程改造提升，推进城乡供水一体化、农村供水规模化发展及小型供水工程标准化改造，减少小型分散供水人口数量，项目实施后陆良县农村饮用水供水保证率达到95%以上，自来水普及率达到100%，水质达标率达到100%，集中供水率达到99%以上的目标。</w:t>
      </w:r>
    </w:p>
    <w:p w14:paraId="24A659C1">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szCs w:val="32"/>
          <w:highlight w:val="none"/>
        </w:rPr>
        <w:t>陆良县城乡供水一体化项目主要建设内容为：陆良县城乡供水一体化项目共涉及4个子项：1、大坝冲引水工程管道长约26km（其中：输水隧洞约2km），年引水量1833.63m³，管径dn800-1200 mm，泵站2座，水池2座；2、改扩建Ⅰ型水厂1座（大坝冲水厂41000m³/d）；新建Ⅰ型水厂1座（下河沿10000m³/d）；新建Ⅲ型净水厂3座（韭菜坪水厂1500m³/d、吃水坝水厂3000m³/d、四丘水厂1100m³/d）；Ⅳ型水厂1座（雨补水厂500m³/d）；取水泵站6座，提水管线长约4km；3、新建供水主干管道约175km。其中：大坝冲水厂供水主干管40.98km、韭菜坪水厂供水主干管约31.66km、雨补水厂供水主干管约15.52km、四丘水厂供水主干管约46.51km、下河沿水厂供水主干管约15.59km、吃水坝水厂供水主干管约24.74km；4、村内管网约295.83km。</w:t>
      </w:r>
    </w:p>
    <w:p w14:paraId="6CDBA146">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5</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师宗县</w:t>
      </w:r>
    </w:p>
    <w:p w14:paraId="78FB7D8A">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师宗县城乡供水一体化总体布局围绕“库库连通、分区覆盖、管网延伸”的思路，以在建的阿岗水库等骨干水源为依托，以库库连通工程为纽带，以规模化水厂和管网延伸为支撑，统筹解决雄壁、高良、五龙、大同、竹基、葵山、彩云等乡镇及街道的城乡供水问题，着力构建“水源互济、分区供给、管网成网”的城乡供水一体化格局。</w:t>
      </w:r>
    </w:p>
    <w:p w14:paraId="025B22CD">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规划实施库库连通工程7项，新建输水线路总长102.6公里，将骨干水源与各供水片区有效串联，实现水资源在空间上的优化调配，覆盖人口约14.12万人。以中心城区水厂为枢纽，实施大堵片区、古城片区、海晏片区城市管网延伸工程，推动城镇供水管网向周边村组辐射延伸，扩大规模化供水覆盖范围。分片区推进规模化供水工程建设，实施雄壁集镇供水水厂水资源循环利用项目，提升水资源利用效率；推进高良乡、五龙乡、大同街道、竹基镇、葵山镇、彩云集镇供水规模化工程，以集镇水厂为核心向周边村组延伸管网，逐步压减分散式供水比例。上述工程共涉及西南、北、东南、西、中心城区五大片区16个工程项目，通过分片实施、整体推进，师宗县到2035年可基本形成“库库连通、分区成网、规模供水”的城乡供水一体化格局。</w:t>
      </w:r>
    </w:p>
    <w:p w14:paraId="7D935558">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6</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罗平县</w:t>
      </w:r>
    </w:p>
    <w:p w14:paraId="701C4CE2">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罗平县城乡供水一体化总体布局以现有骨干水源及罗师灌区调水工程为依托，以城区水厂改造提升和规模化集中供水工程为支撑，以小型供水规范化建设为补充，统筹解决城镇供水漏损、农村供水保障不足等问题，着力构建“水源稳定、水厂成网、规范管理”的城乡供水一体化格局。</w:t>
      </w:r>
    </w:p>
    <w:p w14:paraId="11CCD441">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规划建设罗平县城乡饮水供水工程，完善从水源到用户的供水主骨架，提升全域供水保障能力。实施罗平县规模化集中供水工程，新建和改扩建一批集镇水厂及配套管网，扩大规模化供水覆盖范围，推进城乡供水同质同服务。推进罗平县城区公共供水管网漏损治理建设项目，系统更新改造老旧管网，降低管网漏损率，提高水资源利用效率。实施罗平县自来水厂设施设备更新改造项目，对城区现有水厂进行升级，提升净水工艺和自动化水平，增强供水安全韧性。同步推进罗平县小型供水规范化建设工程，对暂不具备规模化供水条件的偏远山区和零星村落，实施标准化改造和管护提升，保障分散供水的水质与水量安全。</w:t>
      </w:r>
    </w:p>
    <w:p w14:paraId="4A2B2051">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7</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eastAsia="zh-CN"/>
        </w:rPr>
        <w:t>富源县</w:t>
      </w:r>
    </w:p>
    <w:p w14:paraId="37349A3E">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富源县城乡供水一体化总体布局围绕“分区施策、连片推进、规模覆盖”的思路，以在建的阿汪水库、补木水库及规划的大河水库等骨干水源为依托，以片区规模化供水工程为支撑，以管网连通和水厂新建为纽带，分南部、北部、西部、中部四大片区统筹解决后所镇、大河镇、营上镇、竹园镇、墨红镇、富村镇、老厂镇、十八连山镇、黄泥河镇和古敢乡9镇1乡的人饮安全问题，着力构建“水源互济、分区供给、规模覆盖”的城乡供水一体化格局。</w:t>
      </w:r>
    </w:p>
    <w:p w14:paraId="76B2B345">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南部片区以岔河水库等水源为依托，实施岔河水库片区供水工程，推进岔河水库至老厂镇片区供水工程，建设十八连山片区供水工程，形成多水源联合调度的南部供水网络。北部片区重点实施二道沟片区供水工程及富源县红石岩水库至大坪引水工程，打通水源与用水片区的输水通道，提升北部区域供水保障能力。西部片区以墨红片区供水工程为核心，同步推进江浪片区供水工程和社安河片区供水工程，完善西部山区供水基础设施。中部片区聚焦营上镇等人口集中区域，实施营上镇民家片区供水工程和营上镇迤启片区供水工程，扩大规模化供水覆盖范围，强化中部区域供水枢纽功能。通过分片推进、整体联动，富源县到2035年可基本形成“分片成网、规模供水、全域覆盖”的城乡供水一体化格局。</w:t>
      </w:r>
    </w:p>
    <w:p w14:paraId="13ABF983">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应急和备用供水规划</w:t>
      </w:r>
    </w:p>
    <w:p w14:paraId="1957FEA1">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按照“多源互备、适当备用”的总体思路，统筹考虑本地地表水源、地下水源和外调水源，因地制宜补齐城市备用水源工程短板，加强相互独立的主水源和备用水源联合供水，实现水源连通互济，多途径、多方式、高标准构建多水源保障的城镇供水体系，提升保障供水能力。县级及以上城市全部具备保障供水能力，全面实现“一源一备”。加强供水调度管理，制定城市应对突发水污染事件及极端干旱年份的供水预案。</w:t>
      </w:r>
    </w:p>
    <w:p w14:paraId="039895AD">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曲靖中心城区（麒麟、沾益）现状主要供水水源为西河水库、独木水库连通工程为主，现状应急备用水源为龙潭河水库及水城水库；2035年新增水源为黑滩河水库调水工程及牛栏江德泽水库引水济曲工程，新增黑滩河水库作为应急备用水源；陆良县主城区现状主要供水水源为莲花田水库、永清水库、北山水库，莲花田水库为应急备用水源，现状应急备用水源大坝冲水库，2035年新增供水水源为下河沿水库，新增陆良县引水入陆工程作为应急备用水源；师宗县主城区现状主要供水水源为东风水库及小石山水库，应急备用水源为大堵水库，2035年加大东风水库供水以满足师宗县主城区用水需求；罗平县主城区现状主要供水水源为龙王庙水库和湾子水库，应急备用水源为牛街河水库，规划水平年新增水源为阿岗水库；富源县城现状主要供水水源为洞上水库，应急备用水源为响水河水库、东堡龙潭、出水洞龙潭，规划水平年新增水源为补木水库。</w:t>
      </w:r>
    </w:p>
    <w:p w14:paraId="0A02D416">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加强城市集中式饮用水水源地保护，科学划定和完善水源保护区范围，推进保护区隔离防护、警示标志和监测监控设施建设，强化水源地风险源排查与整治。健全水源地水质监测预警体系，完善突发水污染事件应急处置预案，落实应急物资储备和队伍配备。规范应急备用水源建设与管理，明确备用水源启用条件和调度程序，定期开展备用水源水质检测和维护保养，确保备用水源“平时管得好、急时用得上”。</w:t>
      </w:r>
    </w:p>
    <w:p w14:paraId="79973D13">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坚持“平急两用”原则，推动应急供水工程设施在平时服务于常规供水体系，急时快速切换为应急保障水源，充分发挥工程综合效益。通过上述措施的综合推进，到2035年流域内各县（市、区）城区全面实现双水源或多水源联网供水，基本形成“常态保障有力、应急响应迅速、风险管控到位”的供水安全保障新格局。</w:t>
      </w:r>
    </w:p>
    <w:p w14:paraId="3366071C">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灌溉规划</w:t>
      </w:r>
    </w:p>
    <w:p w14:paraId="15508F44">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立足流域内水资源禀赋和农业灌溉现状，围绕到2035年基本实现社会主义现代化的目标，提出2035年灌溉发展的总体目标和具体指标，基本构建“设施完善、技术先进、管理科学、用水高效、生态良好、保障有力”的现代化灌溉体系，全面提升流域水资源利用效率和农田供水保障水平。</w:t>
      </w:r>
    </w:p>
    <w:p w14:paraId="141583A0">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至2035年，全面完成南盘江曲靖境内重点灌区续建配套与现代化改造，完善干支渠输水网络和田间节水体系，消除工程短板，规范用水管理，提高灌溉水利用效率。推广高效节水的灌溉新技术。彻底解决老旧渠系渗漏、输水效率低、灌溉不均等问题，大幅减少农业用水浪费。兴建一批水源和灌区工程，建立常态化灌溉调度与极端干旱应急抗旱双保障机制，全面提升流域抗御干旱灾害能力，保障流域粮食作物、高原特色经济作物稳定灌溉供水，实现农业灌溉与流域水生态保护协调发展，助力区域现代农业高质量发展和粮食安全稳固。流域耕园地灌溉面积由现状的178.01万亩增加至276.80万亩，耕园地灌溉率达到42.42%；常规灌溉面积达到214.84万亩，占总灌溉面积的77.6%，高效节水灌溉面积61.96万亩，占总灌溉面积的22.4%；灌溉保证率75%~80%；高效节水灌溉方式灌溉保证率达到85%~90%；农田灌溉水有效利用系数达到0.63。</w:t>
      </w:r>
    </w:p>
    <w:p w14:paraId="0424BD89">
      <w:pPr>
        <w:pStyle w:val="4"/>
        <w:rPr>
          <w:rFonts w:hint="default" w:ascii="Times New Roman" w:hAnsi="Times New Roman" w:cs="Times New Roman"/>
          <w:b w:val="0"/>
          <w:bCs w:val="0"/>
          <w:color w:val="auto"/>
          <w:highlight w:val="none"/>
          <w:lang w:val="en-US" w:eastAsia="zh-CN"/>
        </w:rPr>
      </w:pPr>
      <w:r>
        <w:rPr>
          <w:rFonts w:hint="default" w:ascii="Times New Roman" w:hAnsi="Times New Roman" w:cs="Times New Roman"/>
          <w:color w:val="auto"/>
          <w:highlight w:val="none"/>
          <w:lang w:val="en-US" w:eastAsia="zh-CN"/>
        </w:rPr>
        <w:t>根据灌溉发展目标南盘江（曲靖市境内）流域内规划重点水源工程65件，其中，中型水库12件，小（1）型水库53件；规划灌区工程42件，其中大型灌区3件，中型灌区39件</w:t>
      </w:r>
      <w:r>
        <w:rPr>
          <w:rFonts w:hint="default" w:ascii="Times New Roman" w:hAnsi="Times New Roman" w:cs="Times New Roman"/>
          <w:b w:val="0"/>
          <w:bCs w:val="0"/>
          <w:color w:val="auto"/>
          <w:highlight w:val="none"/>
          <w:lang w:val="en-US" w:eastAsia="zh-CN"/>
        </w:rPr>
        <w:t>。</w:t>
      </w:r>
    </w:p>
    <w:p w14:paraId="7869F81A">
      <w:pPr>
        <w:pStyle w:val="6"/>
        <w:numPr>
          <w:ilvl w:val="3"/>
          <w:numId w:val="4"/>
        </w:numPr>
        <w:spacing w:before="374" w:after="24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重大灌区工程</w:t>
      </w:r>
    </w:p>
    <w:p w14:paraId="2D4A4473">
      <w:pPr>
        <w:pStyle w:val="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（1）曲靖灌区续建配套与现代化改造</w:t>
      </w:r>
    </w:p>
    <w:p w14:paraId="6701A3FC">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曲靖灌区位于云南省东部，属南盘江的上游即珠江的源头地区，地跨沾益、麒麟和陆良三县（区）。灌区设计灌溉面积为84.39万亩。灌区内已兴建了花山、白浪、西河、潇湘、水城、莲花田、永清、麦子河、板桥、响水坝、古宁、大坝冲等12座中型水库，27件小（1）型水库，94件小（2）型水库及塘堰427件。曲靖大型灌区续建配套与现代化改造“十四五”规划实施63条灌溉排涝渠道，总长216.94km，并配套相应的渠系建筑物。2021-2023年度项目已完成竣工验收，2024年度项目已通过分部工程验收，“十四五”期间的建设成效为灌区高质量发展奠定了坚实基础。面向“十五五”，曲靖灌区续建配套与现代化改造工作已提前谋划、有序衔接。目前，灌区“十五五”期续建配套与现代化改造项目已获上级主管部门可行性研究报告批复，项目建成后可有效改善灌溉面积，提高灌溉水利用系数和用水保障率，增加粮食产量，并增强防洪排涝能力。</w:t>
      </w:r>
    </w:p>
    <w:p w14:paraId="0E85924B">
      <w:pPr>
        <w:pStyle w:val="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（2）罗师灌区</w:t>
      </w:r>
    </w:p>
    <w:p w14:paraId="34D3F98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详见2.3.1章节，重点水利工程规划。</w:t>
      </w:r>
    </w:p>
    <w:p w14:paraId="004802D4">
      <w:pPr>
        <w:pStyle w:val="4"/>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highlight w:val="none"/>
          <w:lang w:val="en-US" w:eastAsia="zh-CN"/>
        </w:rPr>
        <w:t>（3）富源灌区</w:t>
      </w:r>
    </w:p>
    <w:p w14:paraId="428529DF">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详见2.3.1章节，重点水利工程规划。</w:t>
      </w:r>
    </w:p>
    <w:p w14:paraId="0AFFE96F">
      <w:pPr>
        <w:pStyle w:val="4"/>
        <w:numPr>
          <w:ilvl w:val="0"/>
          <w:numId w:val="0"/>
        </w:numPr>
        <w:ind w:firstLine="480" w:firstLineChars="200"/>
        <w:rPr>
          <w:rFonts w:hint="default" w:ascii="Times New Roman" w:hAnsi="Times New Roman" w:cs="Times New Roman"/>
          <w:b w:val="0"/>
          <w:bCs w:val="0"/>
          <w:color w:val="auto"/>
          <w:highlight w:val="none"/>
          <w:lang w:val="en-US" w:eastAsia="zh-CN"/>
        </w:rPr>
      </w:pPr>
      <w:r>
        <w:rPr>
          <w:rFonts w:hint="default"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cs="Times New Roman"/>
          <w:b w:val="0"/>
          <w:bCs w:val="0"/>
          <w:color w:val="auto"/>
          <w:kern w:val="2"/>
          <w:sz w:val="24"/>
          <w:szCs w:val="24"/>
          <w:highlight w:val="none"/>
          <w:lang w:val="en-US" w:eastAsia="zh-CN" w:bidi="ar-SA"/>
        </w:rPr>
        <w:t>4</w:t>
      </w:r>
      <w:r>
        <w:rPr>
          <w:rFonts w:hint="default" w:ascii="Times New Roman" w:hAnsi="Times New Roman" w:eastAsia="宋体" w:cs="Times New Roman"/>
          <w:b w:val="0"/>
          <w:bCs w:val="0"/>
          <w:color w:val="auto"/>
          <w:kern w:val="2"/>
          <w:sz w:val="24"/>
          <w:szCs w:val="24"/>
          <w:highlight w:val="none"/>
          <w:lang w:val="en-US" w:eastAsia="zh-CN" w:bidi="ar-SA"/>
        </w:rPr>
        <w:t>）</w:t>
      </w:r>
      <w:r>
        <w:rPr>
          <w:rFonts w:hint="default" w:ascii="Times New Roman" w:hAnsi="Times New Roman" w:cs="Times New Roman"/>
          <w:b w:val="0"/>
          <w:bCs w:val="0"/>
          <w:color w:val="auto"/>
          <w:highlight w:val="none"/>
          <w:lang w:val="en-US" w:eastAsia="zh-CN"/>
        </w:rPr>
        <w:t>沾马灌区</w:t>
      </w:r>
    </w:p>
    <w:p w14:paraId="0D880223">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详见2.3.1章节，重点水利工程规划。</w:t>
      </w:r>
    </w:p>
    <w:p w14:paraId="5B031026">
      <w:pPr>
        <w:pStyle w:val="5"/>
        <w:numPr>
          <w:ilvl w:val="2"/>
          <w:numId w:val="4"/>
        </w:numPr>
        <w:spacing w:before="374" w:after="24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引调水规划</w:t>
      </w:r>
    </w:p>
    <w:p w14:paraId="015C8F2D">
      <w:pPr>
        <w:pStyle w:val="6"/>
        <w:numPr>
          <w:ilvl w:val="3"/>
          <w:numId w:val="4"/>
        </w:numPr>
        <w:spacing w:before="374" w:after="24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流</w:t>
      </w:r>
      <w:r>
        <w:rPr>
          <w:rFonts w:hint="default" w:ascii="Times New Roman" w:hAnsi="Times New Roman" w:eastAsia="宋体" w:cs="Times New Roman"/>
          <w:color w:val="auto"/>
          <w:highlight w:val="none"/>
          <w:lang w:val="en-US" w:eastAsia="zh-CN"/>
        </w:rPr>
        <w:t>流域调水规划</w:t>
      </w:r>
    </w:p>
    <w:p w14:paraId="3335DDB0">
      <w:pPr>
        <w:pStyle w:val="4"/>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曲靖市牛栏江德泽水库引水济曲工程。</w:t>
      </w:r>
      <w:r>
        <w:rPr>
          <w:rFonts w:hint="default" w:ascii="Times New Roman" w:hAnsi="Times New Roman" w:cs="Times New Roman"/>
          <w:color w:val="auto"/>
          <w:highlight w:val="none"/>
          <w:lang w:val="en-US" w:eastAsia="zh-CN"/>
        </w:rPr>
        <w:t>根据《牛栏江-滇池补水工程初步设计报告》成果，牛栏江—滇池补水工程任务采用水利部审查确定的工程任务，近期任务是向滇池补水，改善滇池水环境和水资源条件，配合滇池水污染防治的其他措施，达到规划水质目标，并具备为昆明市应急供水的能力；远期任务主要是向曲靖市供水，并与金沙江调水工程共同向滇池补水，同时作为昆明市的备用水源。2030年，牛栏江—滇池补水工程的调水量为4.48亿m³，其中向曲靖市调水量为3.10亿m³，与滇中调水工程联合调度后向滇池补水1.38亿m³。</w:t>
      </w:r>
    </w:p>
    <w:p w14:paraId="583C8C38">
      <w:pPr>
        <w:ind w:firstLine="640"/>
        <w:rPr>
          <w:rFonts w:hint="default" w:ascii="Times New Roman" w:hAnsi="Times New Roman" w:cs="Times New Roman"/>
          <w:color w:val="auto"/>
          <w:highlight w:val="none"/>
        </w:rPr>
      </w:pPr>
      <w:r>
        <w:rPr>
          <w:rFonts w:hint="default" w:ascii="Times New Roman" w:hAnsi="Times New Roman" w:cs="Times New Roman"/>
          <w:color w:val="auto"/>
          <w:highlight w:val="none"/>
        </w:rPr>
        <w:t>根据《曲靖市牛栏江德泽水库引水济曲工程可行性研究报告》，工程建设的开发任务为：近期任务主要是向滇池补水，改善滇池水环境和水资源条件，配合滇池水污染防治的其他措施，达到规划水质目标，并具备为昆明市应急供水的能力；远期任务主要是向曲靖市供水，并与滇中引水工程共同向滇池补水，同时作为昆明市的备用水源。规划年2035年，德泽水库向曲靖市调水33659万m³，其中向南盘江流域麒麟区及陆良县城市生活、工业及农业灌溉多年平均供水量16881万m³。</w:t>
      </w:r>
    </w:p>
    <w:p w14:paraId="05D692F7">
      <w:pPr>
        <w:ind w:firstLine="640"/>
        <w:rPr>
          <w:rFonts w:hint="default" w:ascii="Times New Roman" w:hAnsi="Times New Roman" w:cs="Times New Roman"/>
          <w:color w:val="auto"/>
          <w:highlight w:val="none"/>
        </w:rPr>
      </w:pPr>
      <w:r>
        <w:rPr>
          <w:rFonts w:hint="default" w:ascii="Times New Roman" w:hAnsi="Times New Roman" w:cs="Times New Roman"/>
          <w:color w:val="auto"/>
          <w:highlight w:val="none"/>
        </w:rPr>
        <w:t>规划实施牛栏江跨流域向南盘江补水，加快推进曲靖市牛栏江德泽水库引水济曲工程，进一步提高南盘江流域曲靖中心城区水资源调配能力，保障流域内社会经济高质量发展和生态安全。</w:t>
      </w:r>
    </w:p>
    <w:p w14:paraId="0130CC13">
      <w:pPr>
        <w:pStyle w:val="6"/>
        <w:numPr>
          <w:ilvl w:val="3"/>
          <w:numId w:val="4"/>
        </w:numPr>
        <w:spacing w:before="374" w:after="24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流域内引调水规划</w:t>
      </w:r>
    </w:p>
    <w:p w14:paraId="31B1569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根据用水需求及现状供水能力，南盘江（曲靖市境内）流域内规划重大引调水工程11件，其中，在建引调水工程2件，规划新建流域内引调水8件。</w:t>
      </w:r>
    </w:p>
    <w:p w14:paraId="280A71E7">
      <w:pPr>
        <w:pStyle w:val="5"/>
        <w:numPr>
          <w:ilvl w:val="2"/>
          <w:numId w:val="4"/>
        </w:numPr>
        <w:spacing w:before="374" w:after="24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水力发电规划</w:t>
      </w:r>
    </w:p>
    <w:p w14:paraId="4C512B54">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云南省曲靖市罗平抽水蓄能电站新增纳入抽水蓄能中长期规划初步分析报告》，本次规划将罗平县抽水蓄能电站纳入规划，规划期内曲靖市其余县份原则上不再新增以发电为主功能的常规水电站。在抽水蓄能电站发展方面，应坚持“确有需要、生态安全、可以持续”的重大水利工程论证原则，在不影响防洪安全及上下游用水权益的前提下，合理有序推进项目建设。同时，须依法强化水电站生态流量监管，压实各级监管责任，配齐配全生态流量监控装置，</w:t>
      </w:r>
      <w:r>
        <w:rPr>
          <w:rFonts w:hint="default" w:ascii="Times New Roman" w:hAnsi="Times New Roman" w:cs="Times New Roman"/>
          <w:color w:val="auto"/>
          <w:highlight w:val="green"/>
          <w:lang w:val="en-US" w:eastAsia="zh-CN"/>
        </w:rPr>
        <w:t>加强</w:t>
      </w:r>
      <w:r>
        <w:rPr>
          <w:rFonts w:hint="eastAsia" w:cs="Times New Roman"/>
          <w:color w:val="auto"/>
          <w:highlight w:val="green"/>
          <w:lang w:val="en-US" w:eastAsia="zh-CN"/>
        </w:rPr>
        <w:t>监测</w:t>
      </w:r>
      <w:r>
        <w:rPr>
          <w:rFonts w:hint="default" w:ascii="Times New Roman" w:hAnsi="Times New Roman" w:cs="Times New Roman"/>
          <w:color w:val="auto"/>
          <w:highlight w:val="green"/>
          <w:lang w:val="en-US" w:eastAsia="zh-CN"/>
        </w:rPr>
        <w:t>预报预警</w:t>
      </w:r>
      <w:r>
        <w:rPr>
          <w:rFonts w:hint="default" w:ascii="Times New Roman" w:hAnsi="Times New Roman" w:cs="Times New Roman"/>
          <w:color w:val="auto"/>
          <w:highlight w:val="none"/>
          <w:lang w:val="en-US" w:eastAsia="zh-CN"/>
        </w:rPr>
        <w:t>，确保生态流量足额、稳定泄放；持续推动小水电绿色改造与现代化提升，切实维护电站影响河段的水生态环境。对于已开发梯级水库，应严格遵循兴利调度服从防洪调度、区域调度服从流域调度、电力调度服从水量调度的原则，科学安排水库群蓄放水时机，统筹协调发电、防洪、供水及生态需求，充分发挥水利水电工程的综合效益。</w:t>
      </w:r>
    </w:p>
    <w:p w14:paraId="574C6EB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罗平抽水蓄能电站上水库位于罗平县九龙街道，下水库位于老厂乡与九龙街道交界处，属黄泥河右岸支流流域，供电范围为云南电网。电站装机规模2400MW，安装6台单机容量400MW的可逆式水泵水轮机组，工程静态总投资约107.76亿元。</w:t>
      </w:r>
    </w:p>
    <w:p w14:paraId="637D3F52">
      <w:pPr>
        <w:pStyle w:val="5"/>
        <w:numPr>
          <w:ilvl w:val="2"/>
          <w:numId w:val="4"/>
        </w:numPr>
        <w:spacing w:before="374" w:after="24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水资源保护规划</w:t>
      </w:r>
    </w:p>
    <w:p w14:paraId="43155F58">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入河排污口调整与整治</w:t>
      </w:r>
    </w:p>
    <w:p w14:paraId="6BE6A235">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云南省加强入河排污口监督管理工作方案》《排查溯源城区入河排污口提升污水收集率的通知》，沾益区、麒麟区、富源县、陆良县、师宗县、罗平县、马龙区7个县（区）按照查清现状、分类整治的要求，在现有入河排污口工作成果上全面摸清入河排污口现状情况，清理整顿各类违法设置的入河排污口，不断规范监督管理，进一步提升监管能力，实现保护水资源、防治水污染、改善水环境、修复水生态的目标。通过实施入河排污口综合整治，对区域入河排污口进行统一规划，有效管控污染物排放，推动受纳河流水质持续改善，提升流域水生态环境。</w:t>
      </w:r>
    </w:p>
    <w:p w14:paraId="7424D4EB">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按照“边排查、边监测”要求，开展排污口水质水量监测，摸清不同类型、不同空间区域排污口的污染排放状况、特点及规律，明确排污口责任主体以及排污口分类情况，并针对不同的排污口明确整治要求，对违反法律规定的排污口依法取缔；进一步加强监督管理，严格规范审批、严格环境执法，建立信息平台，并通过组织领导，建立机制、强化支撑，公众监督等方式，提高支撑保障。</w:t>
      </w:r>
    </w:p>
    <w:p w14:paraId="4BA84A3B">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水源涵养及水源地保护</w:t>
      </w:r>
    </w:p>
    <w:p w14:paraId="4043F6CA">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（1）巩固饮用水水源地保护治理成效</w:t>
      </w:r>
    </w:p>
    <w:p w14:paraId="0C55F3E9">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强化饮用水水源地名录管理，推进饮用水水源地规划和建设。加强饮用水水源地规范化建设，稳步推进农村饮用水水源保护。持续做好西河水库、独木水库、水城水库等重要饮用水水源地安全评估，加强重要跨界水源协同保护。开展饮用水水源地生态隔离带建设，科学规范隔离防护设施，提升水源涵养与污染阻控能力。</w:t>
      </w:r>
    </w:p>
    <w:p w14:paraId="50242ADB">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（2）严格落实饮用水水源保护区管理</w:t>
      </w:r>
    </w:p>
    <w:p w14:paraId="426DEE28">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严格落实已划定饮用水水源地一级、二级保护区及准保护区管控要求，分类实施差异化保护管理措施。因地制宜推进保护区物理防护隔离设施建设，合理构建生态缓冲带，强化水源地岸线生态防护，阻隔外源污染输入，提升水源涵养与污染阻控能力。强化水源保护区常态化监管，严格执行保护区内项目准入、活动管控相关制度，规范生产生活行为，严控各类风险源。科学开展准保护区现状综合评估，系统研判区域开发活动对饮用水水质的长期潜在影响，压实准保护区环境管理责任，加强区域环境风险排查与防控。统筹做好保护区日常巡查、风险预警、隐患排查整治工作，</w:t>
      </w:r>
      <w:r>
        <w:rPr>
          <w:rFonts w:hint="default" w:ascii="Times New Roman" w:hAnsi="Times New Roman" w:eastAsia="宋体" w:cs="Times New Roman"/>
          <w:color w:val="auto"/>
          <w:highlight w:val="green"/>
          <w:lang w:val="en-US" w:eastAsia="zh-CN"/>
        </w:rPr>
        <w:t>健全水源地环境风险</w:t>
      </w:r>
      <w:r>
        <w:rPr>
          <w:rFonts w:hint="eastAsia" w:cs="Times New Roman"/>
          <w:color w:val="auto"/>
          <w:highlight w:val="green"/>
          <w:lang w:val="en-US" w:eastAsia="zh-CN"/>
        </w:rPr>
        <w:t>防控</w:t>
      </w:r>
      <w:r>
        <w:rPr>
          <w:rFonts w:hint="default" w:ascii="Times New Roman" w:hAnsi="Times New Roman" w:eastAsia="宋体" w:cs="Times New Roman"/>
          <w:color w:val="auto"/>
          <w:highlight w:val="green"/>
          <w:lang w:val="en-US" w:eastAsia="zh-CN"/>
        </w:rPr>
        <w:t>体系</w:t>
      </w:r>
      <w:r>
        <w:rPr>
          <w:rFonts w:hint="default" w:ascii="Times New Roman" w:hAnsi="Times New Roman" w:eastAsia="宋体" w:cs="Times New Roman"/>
          <w:color w:val="auto"/>
          <w:highlight w:val="none"/>
          <w:lang w:val="en-US" w:eastAsia="zh-CN"/>
        </w:rPr>
        <w:t>，防范各类不利因素威胁供水水质安全，切实保障饮用水水源水质稳定达标。</w:t>
      </w:r>
    </w:p>
    <w:p w14:paraId="66FAB3EE">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加强水质安全保障</w:t>
      </w:r>
    </w:p>
    <w:p w14:paraId="05B8F776">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（1）加强源头区水质保护</w:t>
      </w:r>
    </w:p>
    <w:p w14:paraId="73C1EA6A">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稳步提升水源涵养能力。以富源十八连山省级自然保护区、云南马龙马过河省级风景名胜区、云南师宗丁累大箐自然保护区为依托，筑牢生态安全屏障，提升生态系统完整性、稳定性和服务功能。统筹山水林田湖草沙系统化治理，做好江河源头区生态环境保护，巩固珠江生态廊带、南盘江-黄泥河次级生态廊带等重点区域天然林保护成果，采取植树造林、水土流失治理等措施，增强水源涵养能力，保障水质稳定达标。</w:t>
      </w:r>
    </w:p>
    <w:p w14:paraId="2A2C94F7">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加强工业和城镇污水治理。提升工业污水治理水平，结合工矿企业分布、污染源现状调查及管网摸排情况，完善截污排污系统建设，推进工业园区节水改造，加强污泥综合处置，提升工业废水处理能力。提升城镇生活污水收集处理能力，加强污水收集处理设施建设，推进师宗县和罗平县主要河流沿线城镇污水管网建设和处理设施改扩建，确保稳定达标运行。</w:t>
      </w:r>
    </w:p>
    <w:p w14:paraId="3FD63204">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加强农业农村污染治理。加强化肥农药减量增效、农田生态措施建设。在县级及以上水源保护区及其重要支流流域，优化调整畜禽养殖布局，加强畜禽粪污资源化利用。加强水产养殖污染治理，严格执行禁养区限养区管理。加快推进农村生活污水治理，全面执行现行农村生活污水集中处理设施水污染物排放标准，在水源保护区、自然保护地、重要生态功能区等环境敏感区域和水环境问题突出区域，梯次推进农村生活污水治理。加快推进农村垃圾治理，完善农村生活垃圾收集转运处理和污水收集处理体系。</w:t>
      </w:r>
    </w:p>
    <w:p w14:paraId="40777B32">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（2）强化流域水质安全风险防控</w:t>
      </w:r>
    </w:p>
    <w:p w14:paraId="0501C164">
      <w:pPr>
        <w:pStyle w:val="4"/>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lang w:val="en-US" w:eastAsia="zh-CN"/>
        </w:rPr>
        <w:t>聚焦冯家圩和水质波动断面，持续开展水质安全风险源排查，研究制定并滚动修订水质风险应对预案，建立健全重点风险源评估预警和应急处置机制。加强交通运输风险防控，强化危险化学品运输过程安全监管，加强危险化学品运输车辆通行集中的公路沿线专用停车场、危险化学品卸载基地等基础设施和防污染设施建设。针对大中型水库富营养化和“水华”风险，深化藻类异常增殖和“水华”机理机制及防控对策研究，建立适合流域特征的藻类监测、分级预警和应急处置规范标准，强化水华监控预警能力建设；科学制定应对“水华”的水工程防控和应急调度方案，建立跨部门、跨区域的藻类防控联动协调机制，提升富营养化和“水</w:t>
      </w:r>
      <w:r>
        <w:rPr>
          <w:rFonts w:hint="default" w:ascii="Times New Roman" w:hAnsi="Times New Roman" w:cs="Times New Roman"/>
          <w:color w:val="auto"/>
          <w:highlight w:val="none"/>
          <w:lang w:val="en-US" w:eastAsia="zh-CN"/>
        </w:rPr>
        <w:t>华”防控与应急处置能力。</w:t>
      </w:r>
    </w:p>
    <w:p w14:paraId="385851FF">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水资源保护监测</w:t>
      </w:r>
    </w:p>
    <w:p w14:paraId="430E4A01">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（1）完善水质监测体系</w:t>
      </w:r>
    </w:p>
    <w:p w14:paraId="4CB4AA7C">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加快完善南盘江流域水质监测体系，做好南盘江干流及主要支流、库区水质和富营养化监测；加快建立水质在线监测、预警系统和相机调度机制，健全“水华”监测预警体系。</w:t>
      </w:r>
    </w:p>
    <w:p w14:paraId="208F158C">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（2）强化饮用水水源地监测</w:t>
      </w:r>
    </w:p>
    <w:p w14:paraId="2FA4912A">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结合饮用水水源地安全保障要求，加强集中式饮用水水源地水质监测，重点加强3个市级和11个县级重要饮用水水源地水质、水位及流量状况监测，对重要控制断面实施必要的在线监控，并对上游来水及污染风险状况等进行监测监控。加强饮用水水源保护区预警监控能力建设，着力提升环境污染防控能力。</w:t>
      </w:r>
    </w:p>
    <w:p w14:paraId="67AAF0AE">
      <w:pPr>
        <w:pStyle w:val="5"/>
        <w:numPr>
          <w:ilvl w:val="2"/>
          <w:numId w:val="4"/>
        </w:numPr>
        <w:spacing w:before="374" w:after="24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河湖生态环境保护规划</w:t>
      </w:r>
    </w:p>
    <w:p w14:paraId="73D03B8A">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加强生态流量保障</w:t>
      </w:r>
    </w:p>
    <w:p w14:paraId="23B32CA0">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（1）全面开展生态流量管控指标确定及保障</w:t>
      </w:r>
    </w:p>
    <w:p w14:paraId="10A0E59B">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严格贯彻落实《河湖生态流量管理办法（试行）》，科学合理确定河湖控制断面和已建水利水电工程生态流量目标，强化南盘江、黄泥河已批复生态流量管控目标保障，确保各控制断面生态流量达标率不低于90%；加强河流生态需水研究，保障河湖生态用水，优化水资源利用逐步退还挤占的生态环境用水，确保南盘江、黄泥河、甸溪河、清水江等达到生态流量底线要求，增强河流湖泊水体的流动性，恢复水体的自我调节功能。</w:t>
      </w:r>
    </w:p>
    <w:p w14:paraId="483DFB06">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2.2.7-1</w:t>
      </w:r>
      <w:r>
        <w:rPr>
          <w:rFonts w:hint="default" w:ascii="Times New Roman" w:hAnsi="Times New Roman" w:cs="Times New Roman"/>
          <w:color w:val="auto"/>
          <w:highlight w:val="none"/>
        </w:rPr>
        <w:t xml:space="preserve">  河流生态流量下泄目标</w:t>
      </w:r>
    </w:p>
    <w:tbl>
      <w:tblPr>
        <w:tblStyle w:val="22"/>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469"/>
        <w:gridCol w:w="1641"/>
        <w:gridCol w:w="2074"/>
        <w:gridCol w:w="2646"/>
      </w:tblGrid>
      <w:tr w14:paraId="6E725A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404" w:type="pct"/>
            <w:noWrap/>
            <w:vAlign w:val="center"/>
          </w:tcPr>
          <w:p w14:paraId="36C9C03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862" w:type="pct"/>
            <w:noWrap/>
            <w:vAlign w:val="center"/>
          </w:tcPr>
          <w:p w14:paraId="6AD2CFF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名称</w:t>
            </w:r>
          </w:p>
        </w:tc>
        <w:tc>
          <w:tcPr>
            <w:tcW w:w="963" w:type="pct"/>
            <w:noWrap/>
            <w:vAlign w:val="center"/>
          </w:tcPr>
          <w:p w14:paraId="0EF46D2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主要控制断面</w:t>
            </w:r>
          </w:p>
        </w:tc>
        <w:tc>
          <w:tcPr>
            <w:tcW w:w="1217" w:type="pct"/>
            <w:noWrap/>
            <w:vAlign w:val="center"/>
          </w:tcPr>
          <w:p w14:paraId="752446E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生态流量（m</w:t>
            </w:r>
            <w:r>
              <w:rPr>
                <w:rFonts w:hint="default" w:ascii="Times New Roman" w:hAnsi="Times New Roman" w:cs="Times New Roman"/>
                <w:color w:val="auto"/>
                <w:highlight w:val="none"/>
                <w:lang w:val="en-US" w:eastAsia="zh-CN"/>
              </w:rPr>
              <w:t>³</w:t>
            </w:r>
            <w:r>
              <w:rPr>
                <w:rFonts w:hint="default" w:ascii="Times New Roman" w:hAnsi="Times New Roman" w:cs="Times New Roman"/>
                <w:color w:val="auto"/>
                <w:highlight w:val="none"/>
              </w:rPr>
              <w:t>/s）</w:t>
            </w:r>
          </w:p>
        </w:tc>
        <w:tc>
          <w:tcPr>
            <w:tcW w:w="1552" w:type="pct"/>
            <w:noWrap/>
            <w:vAlign w:val="center"/>
          </w:tcPr>
          <w:p w14:paraId="0DBAE9B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来源</w:t>
            </w:r>
          </w:p>
        </w:tc>
      </w:tr>
      <w:tr w14:paraId="13BE7A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404" w:type="pct"/>
            <w:noWrap/>
            <w:vAlign w:val="center"/>
          </w:tcPr>
          <w:p w14:paraId="454F262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862" w:type="pct"/>
            <w:noWrap/>
            <w:vAlign w:val="center"/>
          </w:tcPr>
          <w:p w14:paraId="00D03F6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w:t>
            </w:r>
          </w:p>
        </w:tc>
        <w:tc>
          <w:tcPr>
            <w:tcW w:w="963" w:type="pct"/>
            <w:noWrap/>
            <w:vAlign w:val="center"/>
          </w:tcPr>
          <w:p w14:paraId="6F5B985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八大河</w:t>
            </w:r>
          </w:p>
        </w:tc>
        <w:tc>
          <w:tcPr>
            <w:tcW w:w="1217" w:type="pct"/>
            <w:noWrap/>
            <w:vAlign w:val="center"/>
          </w:tcPr>
          <w:p w14:paraId="763E1AA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35.5</w:t>
            </w:r>
          </w:p>
        </w:tc>
        <w:tc>
          <w:tcPr>
            <w:tcW w:w="1552" w:type="pct"/>
            <w:noWrap/>
            <w:vAlign w:val="center"/>
          </w:tcPr>
          <w:p w14:paraId="50F2900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水资管〔2020〕285号</w:t>
            </w:r>
          </w:p>
        </w:tc>
      </w:tr>
      <w:tr w14:paraId="5DC406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4" w:type="pct"/>
            <w:noWrap/>
            <w:vAlign w:val="center"/>
          </w:tcPr>
          <w:p w14:paraId="2C18306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p>
        </w:tc>
        <w:tc>
          <w:tcPr>
            <w:tcW w:w="862" w:type="pct"/>
            <w:noWrap/>
            <w:vAlign w:val="center"/>
          </w:tcPr>
          <w:p w14:paraId="19C0BB4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黄泥河</w:t>
            </w:r>
          </w:p>
        </w:tc>
        <w:tc>
          <w:tcPr>
            <w:tcW w:w="963" w:type="pct"/>
            <w:noWrap/>
            <w:vAlign w:val="center"/>
          </w:tcPr>
          <w:p w14:paraId="23CAD82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长底</w:t>
            </w:r>
          </w:p>
        </w:tc>
        <w:tc>
          <w:tcPr>
            <w:tcW w:w="1217" w:type="pct"/>
            <w:noWrap/>
            <w:vAlign w:val="center"/>
          </w:tcPr>
          <w:p w14:paraId="1466C71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12.4</w:t>
            </w:r>
          </w:p>
        </w:tc>
        <w:tc>
          <w:tcPr>
            <w:tcW w:w="1552" w:type="pct"/>
            <w:noWrap/>
            <w:vAlign w:val="center"/>
          </w:tcPr>
          <w:p w14:paraId="30AC54F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水资管函〔2020〕43号</w:t>
            </w:r>
          </w:p>
        </w:tc>
      </w:tr>
    </w:tbl>
    <w:p w14:paraId="70FEC208">
      <w:pPr>
        <w:pStyle w:val="4"/>
        <w:rPr>
          <w:rFonts w:hint="default" w:ascii="Times New Roman" w:hAnsi="Times New Roman" w:cs="Times New Roman"/>
          <w:color w:val="auto"/>
          <w:highlight w:val="none"/>
          <w:lang w:val="en-US" w:eastAsia="zh-CN"/>
        </w:rPr>
      </w:pPr>
    </w:p>
    <w:p w14:paraId="19F9FCF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（2）加强生态流量泄放和调度</w:t>
      </w:r>
    </w:p>
    <w:p w14:paraId="1F3AC957">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完善水利水电工程生态流量泄放设施，新建、改建和扩建水库工程应当设置合适的生态流量泄放设施，推进已建水利水电工程生态流量泄放设施建设或更新改造。强化南盘江流域水资源统一调度管理，统筹考虑防洪、兴利与生态的关系，将河湖生态流量管控指标纳入流域水资源调度方案和年度水量调度计划。强化水利水电工程的联合调度，将生态用水调度纳入水工程运行调度规程。开展流域敏感期生态流量研究，以加大枯水期和生态敏感期下泄流量、恢复中下游特殊时段的水文节律和水动力条件为目标，优化水库运行调度和生态流量泄放方案。</w:t>
      </w:r>
    </w:p>
    <w:p w14:paraId="28E5C8E4">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强化岸线空间管控与保护</w:t>
      </w:r>
    </w:p>
    <w:p w14:paraId="4399E43E">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（1）强化河湖水域岸线空间管控</w:t>
      </w:r>
    </w:p>
    <w:p w14:paraId="3C372D7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推进管理范围划界确权，开展管理范围划定调整，明确河湖管理范围，严格涉河活动的社会管理。逐步完成划界、确权登记工作；其次，逐步完成全流域水域岸线保护利用管理规划，按要求进行复核调整，确定流域岸线保护区、保留区、控制利用区和开发利用区，实施区别管理，严格保护、合理利用、科学引导、有序开发，管好河湖空间及其水域岸线，其他村庄、建筑物、产业以及与河湖保护治理无关的设施有序退出，坚决退出违规违建项目。</w:t>
      </w:r>
    </w:p>
    <w:p w14:paraId="08B610EF">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（2）加强水体及岸线管控</w:t>
      </w:r>
    </w:p>
    <w:p w14:paraId="12908170">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范保护范围的用途管制，逐步建立水域岸线生态空间保护的评价考核追责制度，对不符合水源涵养区、水域、河湖缓冲带等保护要求的人类活动进行整治。重点整治非正规垃圾堆放点，并对清理出的垃圾进行无害化处理处置，及时对水体内垃圾和漂浮物进行清捞并妥善处理，将符合河道垃圾清理和水面打捞经费纳入地方财政预算，建立相关工作台账。</w:t>
      </w:r>
    </w:p>
    <w:p w14:paraId="66B09882">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强化水域岸线管理保护范围管理。清除岸线保护范围内的围垦河道、圈圩养殖、堤坡垦、各类行洪、阻水障碍物和设施，恢复河湖库渠行洪和水域岸线生态功能，全面清除非法侵占河道现象。</w:t>
      </w:r>
    </w:p>
    <w:p w14:paraId="096F55BD">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推进水生态保护与修复</w:t>
      </w:r>
    </w:p>
    <w:p w14:paraId="7331F5B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（1）加强栖息地建设与保护</w:t>
      </w:r>
    </w:p>
    <w:p w14:paraId="19D26130">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加大流域源头生境保护，对水生生物“三场”及洄游通道等敏感区域的环境开展保护与修复，重点开展曲靖市珠江水系水生动物市级保护区（含五洛河保护区、牛街河保护区、多依河保护区）河段鱼类“三场”保护和修复，以及拦河建筑物拆除改造工程（农田灌溉建筑设施除外）。</w:t>
      </w:r>
    </w:p>
    <w:p w14:paraId="5C3E657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（2）加强流域生态治理和修复</w:t>
      </w:r>
    </w:p>
    <w:p w14:paraId="5DB7C63E">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推进水生态保护修复工程。聚焦河道水动力不足、湿地萎缩、生态功能显著降低等流域区域问题，综合实施水系连通、岸坡整治、河道地形地貌修复、生态流量下泄设施建设等河湖生态治理修复措施，推进实施南盘江（珠江源头）生态保护修复工程。</w:t>
      </w:r>
    </w:p>
    <w:p w14:paraId="21DEFD1A">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构建严密监测体系</w:t>
      </w:r>
    </w:p>
    <w:p w14:paraId="17452AD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立健全水生生物资源和栖息地调查监测体系，在开展南盘江（曲靖市境内）水生生物多样性资源本底调查评估工作基础上，建立南盘江及重要支流水生生态监测制度和水生生物外来物种防控机制，对干流和主要支流浮游生物、底栖动物、水生植物、水生动物等开展科学系统的监测，重点监控流域内珍稀濒危保护鱼类、特有土著鱼类和外来入侵物种。</w:t>
      </w:r>
    </w:p>
    <w:p w14:paraId="76D39E07">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南盘江（曲靖市境内）流域规划河湖生态保护项目21件，其中，在建1项，规划新建20项，如表2.2.7-2。</w:t>
      </w:r>
    </w:p>
    <w:p w14:paraId="678F468C">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2.2.7-2</w:t>
      </w:r>
      <w:r>
        <w:rPr>
          <w:rFonts w:hint="default" w:ascii="Times New Roman" w:hAnsi="Times New Roman" w:cs="Times New Roman"/>
          <w:color w:val="auto"/>
          <w:highlight w:val="none"/>
        </w:rPr>
        <w:t xml:space="preserve">  南盘江（曲靖市境内）流域河湖生态保护治理与修复项目表</w:t>
      </w:r>
    </w:p>
    <w:tbl>
      <w:tblPr>
        <w:tblStyle w:val="22"/>
        <w:tblW w:w="5000" w:type="pct"/>
        <w:tblInd w:w="0" w:type="dxa"/>
        <w:tblLayout w:type="fixed"/>
        <w:tblCellMar>
          <w:top w:w="0" w:type="dxa"/>
          <w:left w:w="11" w:type="dxa"/>
          <w:bottom w:w="0" w:type="dxa"/>
          <w:right w:w="11" w:type="dxa"/>
        </w:tblCellMar>
      </w:tblPr>
      <w:tblGrid>
        <w:gridCol w:w="378"/>
        <w:gridCol w:w="1349"/>
        <w:gridCol w:w="4211"/>
        <w:gridCol w:w="1039"/>
        <w:gridCol w:w="737"/>
        <w:gridCol w:w="614"/>
      </w:tblGrid>
      <w:tr w14:paraId="08E7F33D">
        <w:tblPrEx>
          <w:tblCellMar>
            <w:top w:w="0" w:type="dxa"/>
            <w:left w:w="11" w:type="dxa"/>
            <w:bottom w:w="0" w:type="dxa"/>
            <w:right w:w="11" w:type="dxa"/>
          </w:tblCellMar>
        </w:tblPrEx>
        <w:trPr>
          <w:trHeight w:val="23" w:hRule="atLeast"/>
          <w:tblHeader/>
        </w:trPr>
        <w:tc>
          <w:tcPr>
            <w:tcW w:w="226" w:type="pct"/>
            <w:tcBorders>
              <w:top w:val="single" w:color="000000" w:sz="4" w:space="0"/>
              <w:left w:val="single" w:color="000000" w:sz="4" w:space="0"/>
              <w:bottom w:val="single" w:color="000000" w:sz="4" w:space="0"/>
              <w:right w:val="single" w:color="000000" w:sz="4" w:space="0"/>
            </w:tcBorders>
            <w:noWrap/>
            <w:vAlign w:val="center"/>
          </w:tcPr>
          <w:p w14:paraId="6ED83E68">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序号</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E6775DC">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所在区、县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3277B12A">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项目名称</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6DEDD5E">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总投资（万元）</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5107AC67">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备注</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18D2355D">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实施年限</w:t>
            </w:r>
          </w:p>
        </w:tc>
      </w:tr>
      <w:tr w14:paraId="6D77B020">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2E53774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6027864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5B02ECA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罗平县城市污水管网及厂区提标改造工程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CF9317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39700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4CD72B8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在建</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008D208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2024</w:t>
            </w:r>
          </w:p>
        </w:tc>
      </w:tr>
      <w:tr w14:paraId="48622FF4">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3C5D614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392FCC0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34D2B7D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罗平县森林质量提升项目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3B7C68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6552</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43D94E9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18656F0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795E6491">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542FAED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30741FC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4EF8D8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罗平县重点饮用水源点保护工程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00E8BA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11400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1236FA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7444919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79C1651F">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8D1EC9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875C12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7688EFD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r>
              <w:rPr>
                <w:rFonts w:hint="eastAsia" w:cs="Times New Roman"/>
                <w:color w:val="auto"/>
                <w:sz w:val="20"/>
                <w:szCs w:val="22"/>
                <w:highlight w:val="none"/>
                <w:lang w:eastAsia="zh-CN"/>
              </w:rPr>
              <w:t>污水处理</w:t>
            </w:r>
            <w:r>
              <w:rPr>
                <w:rFonts w:hint="default" w:ascii="Times New Roman" w:hAnsi="Times New Roman" w:cs="Times New Roman"/>
                <w:color w:val="auto"/>
                <w:sz w:val="20"/>
                <w:szCs w:val="22"/>
                <w:highlight w:val="none"/>
              </w:rPr>
              <w:t>尾水人工湿地水质净化工程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8E1750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7736</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32F8C5E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595A3A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D7D15E9">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4BDA3C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728848D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8910F3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师宗县城镇污水治理及管网工程建设项目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CE1B54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D19580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637DE1A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F5AEDCD">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25190AA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BB2A9A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518711B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陆良县永清河生态治理与修复</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E7B29A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27320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2DCDBE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147415E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DCEA15D">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1A04A53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010092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69938CE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马龙区西河水生态保护修复工程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EABDCC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4500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B2E5C9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712FD00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058891CC">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287576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63BD10B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BA88E8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曲靖市杜公河幸福河湖建设项目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5C77C2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5423</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75EDA57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25FC00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71F6BF4B">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313D726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4240ACC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沾益区、麒麟区、陆良县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309830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云南省南盘江（珠江源头）水生态保护与修复</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AB5619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125700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67BBBB7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5C9B14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14A4C206">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1CE30F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66CF7B0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021A66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师宗县东风水库水环境综合治理工程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08D59C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10590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345A70B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E73F09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E0D07FE">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2FFB70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589588F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514F403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师宗县溜子田水库水环境综合治理工程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0C4FCE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6C0D218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363E1B7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E467F58">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1667707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42B04E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5F3414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师宗县羊洞水库水环境综合治理工程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4A5287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88D268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665D9E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70674D41">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96B80B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13</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189CA79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20F7075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师宗县大堵水库水环境综合治理工程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25F5B0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561400A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65BA6BD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868B46F">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D9311B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14</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624539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49140C0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师宗县五洛河水环境综合治理工程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A27B83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5DDF884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5B07343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B82340E">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61E6249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15</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3AA0E3D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71ED1E3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师宗县子午河水环境综合治理工程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8771EC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960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1D4B6F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7AF0C85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818E878">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D107A9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16</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66B7C73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2908E1C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师宗县鱼洞沟水环境综合治理工程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283867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750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3EA34C1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6BBF18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2AE938AA">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9E514C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17</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7B532D7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61CB909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小务龙水库饮用水水源保护区划定方案</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649754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A2B34D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04D284A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1027A34D">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673BBF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18</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093584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61999F7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小务龙水库饮用水水源地规范化建设工程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3C995D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3805E27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39DAD05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7E53FB7">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4AC1C5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19</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C2763D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师宗县、罗平县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D8FBBE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主要河流生态基流调查研究</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860594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C7ABD6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6775AAF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234F4C97">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29F4EA1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45D8CC0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785C6D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陆良县大坝冲水库水环境综合治理工程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9C902B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2DC5C3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3932757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B40DFBD">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6F7FCFB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21</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0A968A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429EE3A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陆良县麦子河生态治理与修复</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4E5FCD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7700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32F7784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6EE5F2F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25FC778">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E4406F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22</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DC262A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3C1885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麒麟区南盘江两江交汇口水生态综合治理</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8CE1E7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3997F16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696362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7F932D7F">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5F63E8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23</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40A800E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72FABE3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富源县黄泥河生态保护修复工程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68A95C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12650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C67107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039C29D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294FD9DF">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272FDE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24</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1ABA03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5C2CF5A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麒麟区中河河湖综合治理项目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5D356E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14478</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006D32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61AB948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445C247">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1D9348D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25</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4799A9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868B6D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罗平县多依河全段沿岸水生态修复工程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BBF62D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4F299AF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71169BE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FE191AB">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8A069B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26</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5AB20CC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487595F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马龙区麦田河水生态保护修复工程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F780EB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CA1E68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D4A516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1F6DE22E">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1831C65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27</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120B2F3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3752758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马龙区獐子坝河水生态保护修复工程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11EC7A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35A281C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5AA59F4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8E7E4C8">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1BFB11F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28</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B9BF2D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491E189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南盘江陆良段河湖岸线保护修复项目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971910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15971</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D93FF7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A79E8F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0E5B4EC0">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FCC15E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29</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4D56A7F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师宗县、罗平县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66ADFA0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曲靖市多依河幸福河湖建设项目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C3E4A8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E8FC04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514176A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C900074">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E8BEE3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30</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74B2F92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EB39F8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马龙区马蹄河水生态保护修复工程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CC7CB1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08BDC3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4945A7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2C1B807A">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6A25A55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31</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655DC2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14AA91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罗平县黄泥河流域美丽河湖建设</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FEB424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50000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31A8D57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5F40B2C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241C3903">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499F903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32</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E75C20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219B58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马龙区潇湘江水生态保护修复工程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E13DBF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1300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A48074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64E22C3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D9D37D4">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2082F8E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33</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04E24A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F7DC4D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马龙区白石江马龙段水生态保护修复工程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B31CB5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580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158515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6417FF8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19C82A69">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5BFE4E1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34</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15BC9A6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6F445DF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曲靖市马龙区西河幸福河湖建设项目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A6EF31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5AA88FF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73445B5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04C5C5EF">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5F5B237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35</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B2F84E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29B8C42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曲靖市马龙区麦田河幸福河湖建设项目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13B568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30A884A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08EBD44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B89F658">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F7400B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36</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52A5AE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773CB4B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曲靖市马龙区獐子坝河幸福河湖建设项目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A24FD6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4144B83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0BFC206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626EEFB5">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3ABCA2E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37</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7E5BEA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2521B2E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曲靖市马龙区马蹄河幸福河湖建设项目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8290DD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4773174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54B1C11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CD1929A">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955940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38</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441AACA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3BEECF9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南盘江沾益区九龙山段水生态综合治理工程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042DF3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7500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60F557B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1350D5C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99D7366">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3A57917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39</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31C7FD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791CA25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沾益区清水河水生态综合治理工程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5BC822D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3250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924268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39B0A97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6CE01815">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35B92A8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40</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0F7736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37AD17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沾益区宋家河水生态综合治理工程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8BF947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4500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552AE84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16F0BE2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6DFC0BC7">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81D6AE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41</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552C380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DEAD2A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师宗县小石山水库水环境综合治理工程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C46458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920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562B3BA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5A7AE50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63E34C39">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6623595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42</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441C521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7B13B17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师宗县摩西河水库水环境综合治理工程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E50E30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6FF9918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B699A5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62B3A098">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629C1D1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43</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3AE6047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5CE7593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师宗县过山洞水库水环境综合治理工程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37B397C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7D99AEC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030D153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B1FC08F">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0F7269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44</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7DEE9D2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7B86F9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师宗县小河水库水环境综合治理工程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A487BF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61E534E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528EA03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CABA30D">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3B1E4E1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45</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6B24B11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78868A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师宗县天生桥水库水环境综合治理工程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D259D1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860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59A3D60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3025A1F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DEBB522">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5395D4B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46</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113764C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54D1A7E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师宗县东风水库至荣海新区生态补水工程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7A0EFD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CD3B76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5EC3449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CA9F839">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649B9C5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47</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08CF872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5A4009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甸溪河（葵山段）水环境综合治理工程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2AA9E5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920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4698A2D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343BEA6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12B2824F">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A131A3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48</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723D770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1E3FE5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师宗县额则水库水环境综合治理工程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602D60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850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EFB654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4A38B1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B321836">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321A537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49</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389FE09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63EB486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师宗县色从水库水环境综合治理工程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FD0543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740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C33C78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11CC0DB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3A1FF41">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1648E32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50</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414C560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301F6C8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师宗县阿宜格水库水环境综合治理工程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1DBD68E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8F1D6A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5BD619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9F28B25">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6DFFEAA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51</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6C61CC9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55E1224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师宗县小龙潭水库水环境综合治理工程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672DD7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850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112857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341173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1587457">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5105A88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52</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79F662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B2377B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富源县响水河水库水生态保护治理工程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A0AEA2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6900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E676E6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8F7D79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E7B6419">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1FAAD85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53</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A7DE37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20C1482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富源县石坝水库水生态保护治理工程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718620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6ADEC71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B11EA2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13671A3">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6D39609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54</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4060BAE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2E546CF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富源县岔河水库水生态保护治理工程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DD32D5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9800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771F3D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35B665B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14CECEE">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3368419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55</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9AD149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63B52D6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富源县洞上水库水生态保护治理工程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3AD4A4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7500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659A2E6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156B6C6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A4AF8C4">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0F33E4F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56</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35237D7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07F0FF7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罗平县九龙河幸福河湖建设</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0D3F103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1B810E2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89AFD0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30E1D54">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5CFFB3E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57</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382D5FE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5059480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南盘江（麒麟段）幸福河湖建设项目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69F3CD5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2D39E4E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267CB13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0EB140B">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3373B1B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58</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34305D6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69BBFA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九龙河（麒麟段）幸福河湖建设项目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83BE33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69CFCDC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B63CF0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6533914">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1003C44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59</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44073E0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3F1497D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龙潭河（麒麟段）幸福河湖建设项目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26F31C4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5CC1682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78E7B57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6F235DA">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7CB5855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60</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4998A8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25A7493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潇湘江（麒麟段）幸福河湖建设项目</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755FC3C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0EB0326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143C7F2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C3726E4">
        <w:tblPrEx>
          <w:tblCellMar>
            <w:top w:w="0" w:type="dxa"/>
            <w:left w:w="11" w:type="dxa"/>
            <w:bottom w:w="0" w:type="dxa"/>
            <w:right w:w="11" w:type="dxa"/>
          </w:tblCellMar>
        </w:tblPrEx>
        <w:trPr>
          <w:trHeight w:val="23"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14:paraId="2634610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61</w:t>
            </w:r>
          </w:p>
        </w:tc>
        <w:tc>
          <w:tcPr>
            <w:tcW w:w="809" w:type="pct"/>
            <w:tcBorders>
              <w:top w:val="single" w:color="000000" w:sz="4" w:space="0"/>
              <w:left w:val="single" w:color="000000" w:sz="4" w:space="0"/>
              <w:bottom w:val="single" w:color="000000" w:sz="4" w:space="0"/>
              <w:right w:val="single" w:color="000000" w:sz="4" w:space="0"/>
            </w:tcBorders>
            <w:noWrap/>
            <w:vAlign w:val="center"/>
          </w:tcPr>
          <w:p w14:paraId="24897FE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w:t>
            </w:r>
          </w:p>
        </w:tc>
        <w:tc>
          <w:tcPr>
            <w:tcW w:w="2528" w:type="pct"/>
            <w:tcBorders>
              <w:top w:val="single" w:color="000000" w:sz="4" w:space="0"/>
              <w:left w:val="single" w:color="000000" w:sz="4" w:space="0"/>
              <w:bottom w:val="single" w:color="000000" w:sz="4" w:space="0"/>
              <w:right w:val="single" w:color="000000" w:sz="4" w:space="0"/>
            </w:tcBorders>
            <w:noWrap/>
            <w:vAlign w:val="center"/>
          </w:tcPr>
          <w:p w14:paraId="11BB385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陆良县石槽河生态治理与修复工程</w:t>
            </w:r>
          </w:p>
        </w:tc>
        <w:tc>
          <w:tcPr>
            <w:tcW w:w="623" w:type="pct"/>
            <w:tcBorders>
              <w:top w:val="single" w:color="000000" w:sz="4" w:space="0"/>
              <w:left w:val="single" w:color="000000" w:sz="4" w:space="0"/>
              <w:bottom w:val="single" w:color="000000" w:sz="4" w:space="0"/>
              <w:right w:val="single" w:color="000000" w:sz="4" w:space="0"/>
            </w:tcBorders>
            <w:noWrap/>
            <w:vAlign w:val="center"/>
          </w:tcPr>
          <w:p w14:paraId="4C3229F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11520</w:t>
            </w:r>
          </w:p>
        </w:tc>
        <w:tc>
          <w:tcPr>
            <w:tcW w:w="442" w:type="pct"/>
            <w:tcBorders>
              <w:top w:val="single" w:color="000000" w:sz="4" w:space="0"/>
              <w:left w:val="single" w:color="000000" w:sz="4" w:space="0"/>
              <w:bottom w:val="single" w:color="000000" w:sz="4" w:space="0"/>
              <w:right w:val="single" w:color="000000" w:sz="4" w:space="0"/>
            </w:tcBorders>
            <w:noWrap/>
            <w:vAlign w:val="center"/>
          </w:tcPr>
          <w:p w14:paraId="61AA64F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规划</w:t>
            </w:r>
          </w:p>
        </w:tc>
        <w:tc>
          <w:tcPr>
            <w:tcW w:w="368" w:type="pct"/>
            <w:tcBorders>
              <w:top w:val="single" w:color="000000" w:sz="4" w:space="0"/>
              <w:left w:val="single" w:color="000000" w:sz="4" w:space="0"/>
              <w:bottom w:val="single" w:color="000000" w:sz="4" w:space="0"/>
              <w:right w:val="single" w:color="000000" w:sz="4" w:space="0"/>
            </w:tcBorders>
            <w:noWrap/>
            <w:vAlign w:val="center"/>
          </w:tcPr>
          <w:p w14:paraId="4487DAD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bl>
    <w:p w14:paraId="5258381C">
      <w:pPr>
        <w:pStyle w:val="4"/>
        <w:rPr>
          <w:rFonts w:hint="default" w:ascii="Times New Roman" w:hAnsi="Times New Roman" w:eastAsia="宋体" w:cs="Times New Roman"/>
          <w:color w:val="auto"/>
          <w:highlight w:val="none"/>
          <w:lang w:val="en-US" w:eastAsia="zh-CN"/>
        </w:rPr>
      </w:pPr>
    </w:p>
    <w:p w14:paraId="52D72E37">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水土保持规划</w:t>
      </w:r>
    </w:p>
    <w:p w14:paraId="38DC240A">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规划到2035年，流域新增水土流失治理面积563km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，水土保持率80.88%以上（规划基准年水土保持率为77.25%），其中2024年到2030年期间治理水土流失面积329km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水土保持率79.23%以上。南盘江（曲靖范围内）流域重点防治区水土流失得到全面治理，人为水土流失得到全面控制。水土保持监管能力显著提升，生产建设项目水土流失得到有效管控。农林开发等生产建设活动水土流失管控制度基本建立，生态系统水土保持功能稳步提升。</w:t>
      </w:r>
    </w:p>
    <w:p w14:paraId="7055CB0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根据水土流失现状及治理目标，南盘江（曲靖市境内）流域内规划水源涵养与水土保持项目98件，其中，小流域治理项目93件，整流域项目5件，见表2.2.7-3。</w:t>
      </w:r>
    </w:p>
    <w:p w14:paraId="61B96EC9">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2.2.7-3</w:t>
      </w:r>
      <w:r>
        <w:rPr>
          <w:rFonts w:hint="default" w:ascii="Times New Roman" w:hAnsi="Times New Roman" w:cs="Times New Roman"/>
          <w:color w:val="auto"/>
          <w:highlight w:val="none"/>
        </w:rPr>
        <w:t xml:space="preserve">  南盘江（曲靖市境内）流域水源涵养与水土保持项目表</w:t>
      </w:r>
    </w:p>
    <w:tbl>
      <w:tblPr>
        <w:tblStyle w:val="22"/>
        <w:tblW w:w="4998" w:type="pct"/>
        <w:tblInd w:w="0" w:type="dxa"/>
        <w:tblLayout w:type="fixed"/>
        <w:tblCellMar>
          <w:top w:w="0" w:type="dxa"/>
          <w:left w:w="11" w:type="dxa"/>
          <w:bottom w:w="0" w:type="dxa"/>
          <w:right w:w="11" w:type="dxa"/>
        </w:tblCellMar>
      </w:tblPr>
      <w:tblGrid>
        <w:gridCol w:w="706"/>
        <w:gridCol w:w="4683"/>
        <w:gridCol w:w="1500"/>
        <w:gridCol w:w="862"/>
        <w:gridCol w:w="574"/>
      </w:tblGrid>
      <w:tr w14:paraId="7AF13DC3">
        <w:tblPrEx>
          <w:tblCellMar>
            <w:top w:w="0" w:type="dxa"/>
            <w:left w:w="11" w:type="dxa"/>
            <w:bottom w:w="0" w:type="dxa"/>
            <w:right w:w="11" w:type="dxa"/>
          </w:tblCellMar>
        </w:tblPrEx>
        <w:trPr>
          <w:trHeight w:val="270" w:hRule="atLeast"/>
          <w:tblHeader/>
        </w:trPr>
        <w:tc>
          <w:tcPr>
            <w:tcW w:w="424" w:type="pct"/>
            <w:tcBorders>
              <w:top w:val="single" w:color="000000" w:sz="4" w:space="0"/>
              <w:left w:val="single" w:color="000000" w:sz="4" w:space="0"/>
              <w:bottom w:val="single" w:color="000000" w:sz="4" w:space="0"/>
              <w:right w:val="single" w:color="000000" w:sz="4" w:space="0"/>
            </w:tcBorders>
            <w:noWrap/>
            <w:vAlign w:val="center"/>
          </w:tcPr>
          <w:p w14:paraId="540CEE61">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序号</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EF968C1">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项目名称</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093964E">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规划治理面积（km</w:t>
            </w:r>
            <w:r>
              <w:rPr>
                <w:rFonts w:hint="default" w:ascii="Times New Roman" w:hAnsi="Times New Roman" w:cs="Times New Roman"/>
                <w:b/>
                <w:bCs/>
                <w:color w:val="auto"/>
                <w:sz w:val="20"/>
                <w:szCs w:val="22"/>
                <w:highlight w:val="none"/>
                <w:vertAlign w:val="superscript"/>
              </w:rPr>
              <w:t>2</w:t>
            </w:r>
            <w:r>
              <w:rPr>
                <w:rFonts w:hint="default" w:ascii="Times New Roman" w:hAnsi="Times New Roman" w:cs="Times New Roman"/>
                <w:b/>
                <w:bCs/>
                <w:color w:val="auto"/>
                <w:sz w:val="20"/>
                <w:szCs w:val="22"/>
                <w:highlight w:val="none"/>
              </w:rPr>
              <w:t>）</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009059F">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总投资</w:t>
            </w:r>
          </w:p>
          <w:p w14:paraId="4EFBD8EC">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（万元）</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744333E">
            <w:pPr>
              <w:spacing w:line="240" w:lineRule="auto"/>
              <w:ind w:firstLine="0" w:firstLineChars="0"/>
              <w:jc w:val="center"/>
              <w:rPr>
                <w:rFonts w:hint="default" w:ascii="Times New Roman" w:hAnsi="Times New Roman" w:cs="Times New Roman"/>
                <w:b/>
                <w:bCs/>
                <w:color w:val="auto"/>
                <w:sz w:val="20"/>
                <w:szCs w:val="22"/>
                <w:highlight w:val="none"/>
              </w:rPr>
            </w:pPr>
            <w:r>
              <w:rPr>
                <w:rFonts w:hint="default" w:ascii="Times New Roman" w:hAnsi="Times New Roman" w:cs="Times New Roman"/>
                <w:b/>
                <w:bCs/>
                <w:color w:val="auto"/>
                <w:sz w:val="20"/>
                <w:szCs w:val="22"/>
                <w:highlight w:val="none"/>
              </w:rPr>
              <w:t>实施年度</w:t>
            </w:r>
          </w:p>
        </w:tc>
      </w:tr>
      <w:tr w14:paraId="6A54B224">
        <w:tblPrEx>
          <w:tblCellMar>
            <w:top w:w="0" w:type="dxa"/>
            <w:left w:w="11" w:type="dxa"/>
            <w:bottom w:w="0" w:type="dxa"/>
            <w:right w:w="11" w:type="dxa"/>
          </w:tblCellMar>
        </w:tblPrEx>
        <w:trPr>
          <w:trHeight w:val="315" w:hRule="atLeast"/>
        </w:trPr>
        <w:tc>
          <w:tcPr>
            <w:tcW w:w="3236" w:type="pct"/>
            <w:gridSpan w:val="2"/>
            <w:tcBorders>
              <w:top w:val="single" w:color="000000" w:sz="4" w:space="0"/>
              <w:left w:val="single" w:color="000000" w:sz="4" w:space="0"/>
              <w:bottom w:val="single" w:color="000000" w:sz="4" w:space="0"/>
              <w:right w:val="single" w:color="000000" w:sz="4" w:space="0"/>
            </w:tcBorders>
            <w:noWrap/>
            <w:vAlign w:val="center"/>
          </w:tcPr>
          <w:p w14:paraId="09D46BA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（一）小流域治理项目（93件）</w:t>
            </w:r>
          </w:p>
        </w:tc>
        <w:tc>
          <w:tcPr>
            <w:tcW w:w="900" w:type="pct"/>
            <w:tcBorders>
              <w:top w:val="single" w:color="000000" w:sz="4" w:space="0"/>
              <w:left w:val="single" w:color="000000" w:sz="4" w:space="0"/>
              <w:bottom w:val="single" w:color="000000" w:sz="4" w:space="0"/>
              <w:right w:val="single" w:color="000000" w:sz="4" w:space="0"/>
            </w:tcBorders>
            <w:noWrap/>
            <w:vAlign w:val="center"/>
          </w:tcPr>
          <w:p w14:paraId="00E78C6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1319.09 </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7B98B49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114511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D94C0B1">
            <w:pPr>
              <w:spacing w:line="240" w:lineRule="auto"/>
              <w:ind w:firstLine="0" w:firstLineChars="0"/>
              <w:jc w:val="center"/>
              <w:rPr>
                <w:rFonts w:hint="default" w:ascii="Times New Roman" w:hAnsi="Times New Roman" w:cs="Times New Roman"/>
                <w:color w:val="auto"/>
                <w:sz w:val="20"/>
                <w:szCs w:val="22"/>
                <w:highlight w:val="none"/>
              </w:rPr>
            </w:pPr>
          </w:p>
        </w:tc>
      </w:tr>
      <w:tr w14:paraId="35EC19BE">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27C06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9C5672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麒麟区水井项目区小流域综合治理提质增效项目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57BA7D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18.95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297FCF9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1004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10EEBA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2D617062">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C0DE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101BD24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麒麟区团结项目区小流域综合治理提质增效项目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24AB7E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21.51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1658F1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1017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CA4F34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C94460F">
        <w:tblPrEx>
          <w:tblCellMar>
            <w:top w:w="0" w:type="dxa"/>
            <w:left w:w="11" w:type="dxa"/>
            <w:bottom w:w="0" w:type="dxa"/>
            <w:right w:w="11" w:type="dxa"/>
          </w:tblCellMar>
        </w:tblPrEx>
        <w:trPr>
          <w:trHeight w:val="30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DC8A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E57014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马龙区深沟项目区小流域综合治理提质增效项目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3BE37F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A48238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1007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90BE44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6184E0E6">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1ACA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899E45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马龙区龙洞河项目区小流域综合治理提质增效项目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A6136C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18.99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72C00E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1006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03612EC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827E177">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136B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CE5DAB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罗平县小明寨项目区小流域综合治理提质增效项目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C8AAF4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19.40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3DB888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1028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702DB1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0365868">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6130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A0BCDD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陆良县平台子项目区小流域综合治理提质增效项目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2F063B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20.98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0D973C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1112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B80342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934AEA4">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3DD6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8DFC17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沾益区小海子小流域水土流失综合治理提质增效项目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37D2EC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19.16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CEEBD9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1015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50C6BC2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18856767">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7C873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0A9392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富源县菖蒲塘小流域综合治理提质增效项目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3E4676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FC4707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79F888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12E11D10">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32895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E79F53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师宗县白龙潭项目区小流域综合治理提质增效项目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81702C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F6C929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1002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0039BE6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7303D63D">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441B5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846FA3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师宗县木海项目区小流域综合治理提质增效项目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DD4D3D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18.95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416048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1004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52EFA7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D2ECEC0">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9ED3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C6F17E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师宗县大黑箐项目区小流域综合治理提质增效项目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AE22FC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2620152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1002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1981AB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36DF04D9">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2A70A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C9B4A3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师宗县马湾项目区小流域综合治理提质增效项目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02CB6C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31B73D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1002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7BE4EC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ED1535C">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7B07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3264E6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师宗县额则项目区小流域综合治理提质增效项目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017033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281AFB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1002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6BAECB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4B0978F0">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D4D52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205FDD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师宗县路撒项目区小流域综合治理提质增效项目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5794B3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B877AE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1002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49E3D6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0B3692E2">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8AE4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5525A9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麒麟区独木项目区小流域综合治理提质增效项目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5621FE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21.47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9ACF2A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1295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55A2F90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737166D6">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8724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16</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55B42D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富源县射打沟项目区小流域综合治理提质增效项目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062CE4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19.50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EF3C9D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1034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F9CC83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0A4FE1F0">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DCBDE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17</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7B9CD6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麒麟区联合项目区小流域综合治理提质增效项目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48162B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27.49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E7D224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1004</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94A86C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06499A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13E7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18</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C040E6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麒麟区水城小流域水土流失综合治理工程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280A84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19.05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212097A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3A94DE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5772D51">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8F342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19</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701B15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麒麟区青龙大冲小流域水土流失综合治理工程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552A11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18.62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0D9562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2C7A7D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CFC3EA5">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D778A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4688C7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麒麟区竹园小流域水土流失综合治理工程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BBCFD7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19.85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C28625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4EE5B5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25572CD">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83C3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BCA338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麒麟区石头寨小流域水土流失综合治理工程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5D402F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20.35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2BDA73F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F1922A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0B6BDF5">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51C29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BB6CF2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麒麟区新村小流域水土流失综合治理工程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79F7E9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19.75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70CC4A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6F0E6D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7B8A17D">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04FB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3E295A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麒麟区卡基小流域水土流失综合治理工程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9CDB12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17.89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D58998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BF108A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3DB62F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46D26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74BB86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麒麟区咱得生态清洁型小流域综合治理工程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A65B86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3.42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CB5CCD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1190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2904F2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77F5399">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15DA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6CC5FC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麒麟区新村生态清洁型小流域综合治理工程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B2C986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2.23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03763F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1080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76D8CA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73B35AD">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B7CE8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26</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AAF950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麒麟区黄泥堡生态清洁型小流域综合治理工程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9A01BD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1.35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5C832C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1180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5E646A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CC05EA6">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0E47D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27</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D0DE70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麒麟区红土墙生态清洁型小流域综合治理工程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29D493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4.53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0C82CC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1280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9420DD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05AC327">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B67BB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28</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D6DAF5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麒麟区小河小流域重点综合治理工程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AFE58E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0.72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482EEC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1160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C9C963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2D09C9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FDB6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29</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DA2102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麒麟区巴家村小流域综合治理工程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CB2A90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6.24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3F637E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5F20A2D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5C16070">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ADD3D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30</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80EF6B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麒麟区松戈河小流域综合治理工程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77EAC0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2.80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A8D412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1250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81CB62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E8D34DB">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AB7A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00EF84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麒麟区转长河小流域综合治理工程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78C130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2.80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34052F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1070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D42AC6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FC6C1A9">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6D61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1A748D8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麒麟区白龙凹子一期小流域综合治理工程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B07A42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4.82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2A3346D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C73D17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23E6516">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732D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1DF5BCC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麒麟区竹园小流域综合治理工程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0F50FE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2.80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0616E6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1150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050E9AE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F7F215B">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AED9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DBF8F4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麒麟区大凹塘小流域综合治理工程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C062DC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2.80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9C2EB6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1090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084C98E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A305851">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F5D4B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1335105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麒麟区石洞村小流域综合治理工程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649451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8.04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108D48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1060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82171F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A1C514D">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01E8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36</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193F4DE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麒麟区石头寨小流域综合治理工程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0EA382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6.56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88E14C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0475EF2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0BC0B3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F4DD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37</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C37EBA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陆良县松林桥小流域坡耕地水土流失综合治理工程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86A969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2.48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5260CD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1864</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585D193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283E3FB">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BCA9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38</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200CD0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陆良县板田生态清洁小流域综合治理工程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44E9FD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16.26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4F8FFF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1500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5C2ECD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D41071B">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1469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39</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18E4798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陆良县百意龙潭生态清洁小流域综合治理工程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5B5B91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7.50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C00E0A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950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5B7CF2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A49BE87">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0CE4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40</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152A96B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陆良县永清生态清洁小流域综合治理工程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4DF6A1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11.50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26CF1B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1350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D7EC92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B9FAF4B">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9D74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A4A306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陆良县大坝冲生态清洁小流域综合治理工程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EAD56D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10.50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7A6516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3808B7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9E5DE52">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80B2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3F7BF7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陆良县大闸生态清洁小流域综合治理工程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F8D7C5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8.50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19BC2E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F7374E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67BA451">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107CB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1B79B6B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富源县朱家河边小流域综合治理工程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950FE0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12.00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1CBEA5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564BDFE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75CC40F">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D051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AC6DA9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富源县坝塘小流域综合治理工程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2388C8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12.00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ADAADF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C1B043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E2A5C0E">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E92A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EE6C28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富源县海安小流域综合治理工程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2FA31C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12.00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EFFE17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13E15A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2D82882">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2E14C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46</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2FEACB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富源县大箐头坡耕地综合治理工程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C71FDB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3.33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84E4E5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8DBE65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C8DDB9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DA6AD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47</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1511E6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富源县北班沟坡耕地综合治理工程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C05C37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3.33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497FED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C84A87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577C000">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7512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48</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E060B8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富源县坪子河清洁小流域综合治理工程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A1263A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C4C8C4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93E29E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7CF487E">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7DD8B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49</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109104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富源县洞上河清洁小流域综合治理工程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C6EFCF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E0FF86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C6DB30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C0DEAED">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C8B2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50</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08C11C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富源县下大桥清洁小流域综合治理工程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30602E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D4EDA4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705C30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FCAEC0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C3C34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88DFCD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富源县新厂沟清洁小流域综合治理工程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243E82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8E68A1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75A298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DA3F12D">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BEFBD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064C79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富源县田冲小流域综合治理工程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CB3FA7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FADCD5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CAB0A3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D06D3EC">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527A6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561E23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富源县米德小流域综合治理工程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5F437E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B5A9B5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9730F6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E362207">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AEBF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1D00CA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富源县鲁铁沟小流域综合治理工程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734FDF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3F6CDC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3D1E8C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1631B0E">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B64D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BFEDBB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富源县庄子坪小流域综合治理工程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96A716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484DC5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DD3AAF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8E85D08">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D61E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56</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C9F8FF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富源县凉水井小流域综合治理工程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6C4E70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3DCF9D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C549E5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2963F13">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3948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57</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811248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富源县石箐子小流域综合治理工程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2C9EEE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0E5C48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C4A936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8A24CDE">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8D35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58</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3CD010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富源县湾子小流域综合治理工程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A044C5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1DF957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73E519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DD3D9C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7243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59</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BDB555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富源县水井坑小流域综合治理工程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E594C2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C49895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1E0209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FFDBFC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7FB2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60</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F5A479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罗平县础娜河小流域综合治理提质增效项目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A39B60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2BDC59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940DA0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FE6119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6845E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CC7497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罗平县钟山小流域综合治理提质增效项目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B8CBD1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9.00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EBF1A6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2E7E07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BB43DEE">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30D4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3E1A3D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罗平县白腊山小流域综合治理提质增效项目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3C2A36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6.00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2C9AEC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8C8FCD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C0E5F11">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5BFB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C91BE8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罗平县糯下小流域综合治理提质增效项目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11E4E6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8.00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C8A1C4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13E4F7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0B13414">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A8DFD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22127D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罗平县红箐小流域综合治理提质增效项目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DBF39C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7.00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E6A707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56A7699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631AC28">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51AC5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601AF6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罗平县金箐小流域综合治理提质增效项目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E7EC94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8.00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D6E255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CB70F2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6229B0F">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F2401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66</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E57B85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罗平县木马甲小流域综合治理提质增效项目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82D5D3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11.20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275878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1740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5522AA1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2A3E7D6">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9A10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67</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0304EF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罗平县阿基洪小流域综合治理提质增效项目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8DF11E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AC52E2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2400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537CF42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FDBF912">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D73D8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68</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9CC751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罗平县革来小流域综合治理提质增效项目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6E705A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8.00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C969B8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0C8C91B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3B90928">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1D56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69</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54A76E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罗平县洒谷坡耕地水土流失综合治理项目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9C90F7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3F2D9A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2800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444072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7B85DA2">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E6D72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70</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6CC994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罗平县安木勒坡耕地水土流失综合治理项目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2ED0EA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A5CF6A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1260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81B393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3D4371F">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24DD7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59187D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罗平县板桥镇炭山村坡耕地水土流失综合治理项目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4634B2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E5404F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2600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FA4A2C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F4CD18C">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4E0BE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A4FDB8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罗平县板桥镇小陆冲村坡耕地水土流失综合治理项目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79145B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6319F24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1260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2DE329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65685AF">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74687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B5D75E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马龙区窝郎项目区小流域综合治理提质增效项目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65F0B8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19.60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7CBEFC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1800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0F0501B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F5C766B">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884D3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574CA1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马龙区石河项目区小流域综合治理提质增效项目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D0E622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19.99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D7EDC4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1060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9FAB80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7731B56">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22B86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804538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马龙区密朗项目区小流域综合治理提质增效项目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CBAFA3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29.13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BEDAEA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1060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08E42B6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F7BAF03">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22C4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76</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99BBDF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马龙区曲宗项目区小流域综合治理提质增效项目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B5E776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19.87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5317B9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1060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C33377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BF06C0A">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FD3A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77</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22F581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马龙区纳章项目区小流域综合治理提质增效项目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A74816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4A46E4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1060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EB0132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6487E16">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61DF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78</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B8B2B0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马龙区永胜项目区小流域综合治理提质增效项目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A1DB04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22.00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66944B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1061</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229AB7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57A4687">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26F5C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79</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566DCB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师宗县响水河项目区小流域综合治理提质增效项目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3922EA1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303B8E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1002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2EF34D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62A44B40">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BCFB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80</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419BC2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师宗县大舍项目区小流域综合治理提质增效项目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E6F452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7DF97FF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1002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76E2EB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34E430D">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3C5F6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6A5F81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师宗县牛衣沟项目区小流域综合治理提质增效项目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595A43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F89048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1002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315F6F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F3ADC00">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8FE32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257106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师宗县杜吉项目区小流域综合治理提质增效项目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4C943C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18.90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082671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945</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924AB5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D896D83">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20A7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9F94B8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师宗县豆温小流域整沟提质增效项目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169408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9.06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D07FAF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453</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5F0A2E7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00F628E">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0BC8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ED306C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师宗县曲祖项目区小流域综合治理提质增效项目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DFB40B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12.00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7F85F6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CA4EC0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C9962CC">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3B9A1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C4357B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师宗县白泥井项目区小流域综合治理提质增效项目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EDE5D0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14.30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7165B9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715</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1C0803D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C6D6D12">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46690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86</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E2BF7C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师宗县滴水塘项目区小流域综合治理提质增效项目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43BE615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17.15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92A36A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857.5</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4D67806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7B3F0DF">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A937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87</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9BB93E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师宗县小石山水库项目区小流域治理提质增效项目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EB3AD50">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8.10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26F5274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405</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31CE12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7F11377">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FAD8E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88</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B78D54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师宗县小阿舍项目区小流域治理提质增效项目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6A89C4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12.00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2AA837D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600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341AB4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073C99C">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71F96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89</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53B3622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师宗县阿宜格水库项目区小流域治理提质增效项目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5D7173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2.60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2D92E6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130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87BF19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44E1D48">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9E8E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90</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6F8455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师宗县金马河小流域综合治理提质增效项目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E72E14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6.56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2F2D3C6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328</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75D993D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94A66F5">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3504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4BC291B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沾益区珠江源区域坡耕地水土流失综合治理工程</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3BB9D3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85.00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ABBB51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10900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DF27DD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31CF439E">
        <w:tblPrEx>
          <w:tblCellMar>
            <w:top w:w="0" w:type="dxa"/>
            <w:left w:w="11" w:type="dxa"/>
            <w:bottom w:w="0" w:type="dxa"/>
            <w:right w:w="11" w:type="dxa"/>
          </w:tblCellMar>
        </w:tblPrEx>
        <w:trPr>
          <w:trHeight w:val="285"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5B21D">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7331C7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珠江源区域小流域水土流失综合治理提质增效项目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074F8BF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65.00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652BB3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4200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2DF6C03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1559FB7B">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D644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93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2EB14E2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沾益区岗路小流域水土流失综合治理提质增效项目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172A520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20.00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19C93C1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1100</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3A7C1B0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40EC4168">
        <w:tblPrEx>
          <w:tblCellMar>
            <w:top w:w="0" w:type="dxa"/>
            <w:left w:w="11" w:type="dxa"/>
            <w:bottom w:w="0" w:type="dxa"/>
            <w:right w:w="11" w:type="dxa"/>
          </w:tblCellMar>
        </w:tblPrEx>
        <w:trPr>
          <w:trHeight w:val="285" w:hRule="atLeast"/>
        </w:trPr>
        <w:tc>
          <w:tcPr>
            <w:tcW w:w="3236" w:type="pct"/>
            <w:gridSpan w:val="2"/>
            <w:tcBorders>
              <w:top w:val="single" w:color="000000" w:sz="4" w:space="0"/>
              <w:left w:val="single" w:color="000000" w:sz="4" w:space="0"/>
              <w:bottom w:val="single" w:color="000000" w:sz="4" w:space="0"/>
              <w:right w:val="single" w:color="000000" w:sz="4" w:space="0"/>
            </w:tcBorders>
            <w:noWrap/>
            <w:vAlign w:val="center"/>
          </w:tcPr>
          <w:p w14:paraId="3BCAECA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（二）整流域项目（5件）</w:t>
            </w:r>
          </w:p>
        </w:tc>
        <w:tc>
          <w:tcPr>
            <w:tcW w:w="900" w:type="pct"/>
            <w:tcBorders>
              <w:top w:val="single" w:color="000000" w:sz="4" w:space="0"/>
              <w:left w:val="single" w:color="000000" w:sz="4" w:space="0"/>
              <w:bottom w:val="single" w:color="000000" w:sz="4" w:space="0"/>
              <w:right w:val="single" w:color="000000" w:sz="4" w:space="0"/>
            </w:tcBorders>
            <w:noWrap/>
            <w:vAlign w:val="center"/>
          </w:tcPr>
          <w:p w14:paraId="7877605B">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1672.68 </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03E9D0EE">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89605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687E10DD">
            <w:pPr>
              <w:spacing w:line="240" w:lineRule="auto"/>
              <w:ind w:firstLine="0" w:firstLineChars="0"/>
              <w:jc w:val="center"/>
              <w:rPr>
                <w:rFonts w:hint="default" w:ascii="Times New Roman" w:hAnsi="Times New Roman" w:cs="Times New Roman"/>
                <w:color w:val="auto"/>
                <w:sz w:val="20"/>
                <w:szCs w:val="22"/>
                <w:highlight w:val="none"/>
              </w:rPr>
            </w:pPr>
          </w:p>
        </w:tc>
      </w:tr>
      <w:tr w14:paraId="1FC3607F">
        <w:tblPrEx>
          <w:tblCellMar>
            <w:top w:w="0" w:type="dxa"/>
            <w:left w:w="11" w:type="dxa"/>
            <w:bottom w:w="0" w:type="dxa"/>
            <w:right w:w="11" w:type="dxa"/>
          </w:tblCellMar>
        </w:tblPrEx>
        <w:trPr>
          <w:trHeight w:val="540" w:hRule="atLeast"/>
        </w:trPr>
        <w:tc>
          <w:tcPr>
            <w:tcW w:w="424" w:type="pct"/>
            <w:tcBorders>
              <w:top w:val="single" w:color="000000" w:sz="4" w:space="0"/>
              <w:left w:val="single" w:color="000000" w:sz="4" w:space="0"/>
              <w:bottom w:val="single" w:color="000000" w:sz="4" w:space="0"/>
              <w:right w:val="single" w:color="000000" w:sz="4" w:space="0"/>
            </w:tcBorders>
            <w:noWrap/>
            <w:vAlign w:val="center"/>
          </w:tcPr>
          <w:p w14:paraId="3CCD0948">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3A5C6BE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础娜河-丕德河流域</w:t>
            </w:r>
          </w:p>
          <w:p w14:paraId="1C3A1B8C">
            <w:pPr>
              <w:spacing w:line="240" w:lineRule="auto"/>
              <w:ind w:firstLine="0" w:firstLineChars="0"/>
              <w:jc w:val="center"/>
              <w:rPr>
                <w:rFonts w:hint="default" w:ascii="Times New Roman" w:hAnsi="Times New Roman" w:eastAsia="宋体" w:cs="Times New Roman"/>
                <w:color w:val="auto"/>
                <w:sz w:val="20"/>
                <w:szCs w:val="22"/>
                <w:highlight w:val="none"/>
                <w:lang w:val="en-US" w:eastAsia="zh-CN"/>
              </w:rPr>
            </w:pPr>
            <w:r>
              <w:rPr>
                <w:rFonts w:hint="default" w:ascii="Times New Roman" w:hAnsi="Times New Roman" w:cs="Times New Roman"/>
                <w:color w:val="auto"/>
                <w:sz w:val="20"/>
                <w:szCs w:val="22"/>
                <w:highlight w:val="none"/>
              </w:rPr>
              <w:t>富源县（部分）、沾益区（部分）、罗平县（部分）</w:t>
            </w:r>
          </w:p>
        </w:tc>
        <w:tc>
          <w:tcPr>
            <w:tcW w:w="900" w:type="pct"/>
            <w:tcBorders>
              <w:top w:val="single" w:color="000000" w:sz="4" w:space="0"/>
              <w:left w:val="single" w:color="000000" w:sz="4" w:space="0"/>
              <w:bottom w:val="single" w:color="000000" w:sz="4" w:space="0"/>
              <w:right w:val="single" w:color="000000" w:sz="4" w:space="0"/>
            </w:tcBorders>
            <w:noWrap/>
            <w:vAlign w:val="center"/>
          </w:tcPr>
          <w:p w14:paraId="2607C74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178</w:t>
            </w:r>
          </w:p>
        </w:tc>
        <w:tc>
          <w:tcPr>
            <w:tcW w:w="517" w:type="pct"/>
            <w:tcBorders>
              <w:top w:val="single" w:color="000000" w:sz="4" w:space="0"/>
              <w:left w:val="single" w:color="000000" w:sz="4" w:space="0"/>
              <w:bottom w:val="single" w:color="000000" w:sz="4" w:space="0"/>
              <w:right w:val="single" w:color="000000" w:sz="4" w:space="0"/>
            </w:tcBorders>
            <w:noWrap/>
            <w:vAlign w:val="center"/>
          </w:tcPr>
          <w:p w14:paraId="0BC711D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9434 </w:t>
            </w:r>
          </w:p>
        </w:tc>
        <w:tc>
          <w:tcPr>
            <w:tcW w:w="344" w:type="pct"/>
            <w:tcBorders>
              <w:top w:val="single" w:color="000000" w:sz="4" w:space="0"/>
              <w:left w:val="single" w:color="000000" w:sz="4" w:space="0"/>
              <w:bottom w:val="single" w:color="000000" w:sz="4" w:space="0"/>
              <w:right w:val="single" w:color="000000" w:sz="4" w:space="0"/>
            </w:tcBorders>
            <w:noWrap/>
            <w:vAlign w:val="center"/>
          </w:tcPr>
          <w:p w14:paraId="069ED0D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2035</w:t>
            </w:r>
          </w:p>
        </w:tc>
      </w:tr>
      <w:tr w14:paraId="55D0B324">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noWrap w:val="0"/>
            <w:vAlign w:val="center"/>
          </w:tcPr>
          <w:p w14:paraId="21C2AF9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E1E89E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麒麟区潇湘江流域</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5B11E49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341</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8C78E37">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22469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D084FC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5D62225C">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noWrap/>
            <w:vAlign w:val="center"/>
          </w:tcPr>
          <w:p w14:paraId="3A15AC6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3</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7DBA653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沾益区一体化推进水土保持工程建设项目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2A76565">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130</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540A5C34">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08C9407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0EF299EC">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noWrap w:val="0"/>
            <w:vAlign w:val="center"/>
          </w:tcPr>
          <w:p w14:paraId="53A2115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4</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0234E2B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陆良县一体化推进水土保持工程建设项目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20DA9699">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75</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066F55FF">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10002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7497121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7A33F869">
        <w:tblPrEx>
          <w:tblCellMar>
            <w:top w:w="0" w:type="dxa"/>
            <w:left w:w="11" w:type="dxa"/>
            <w:bottom w:w="0" w:type="dxa"/>
            <w:right w:w="11" w:type="dxa"/>
          </w:tblCellMar>
        </w:tblPrEx>
        <w:trPr>
          <w:trHeight w:val="270" w:hRule="atLeast"/>
        </w:trPr>
        <w:tc>
          <w:tcPr>
            <w:tcW w:w="424" w:type="pct"/>
            <w:tcBorders>
              <w:top w:val="single" w:color="000000" w:sz="4" w:space="0"/>
              <w:left w:val="single" w:color="000000" w:sz="4" w:space="0"/>
              <w:bottom w:val="single" w:color="000000" w:sz="4" w:space="0"/>
              <w:right w:val="single" w:color="000000" w:sz="4" w:space="0"/>
            </w:tcBorders>
            <w:noWrap/>
            <w:vAlign w:val="center"/>
          </w:tcPr>
          <w:p w14:paraId="27C3C803">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5</w:t>
            </w:r>
          </w:p>
        </w:tc>
        <w:tc>
          <w:tcPr>
            <w:tcW w:w="2812" w:type="pct"/>
            <w:tcBorders>
              <w:top w:val="single" w:color="000000" w:sz="4" w:space="0"/>
              <w:left w:val="single" w:color="000000" w:sz="4" w:space="0"/>
              <w:bottom w:val="single" w:color="000000" w:sz="4" w:space="0"/>
              <w:right w:val="single" w:color="000000" w:sz="4" w:space="0"/>
            </w:tcBorders>
            <w:noWrap w:val="0"/>
            <w:vAlign w:val="center"/>
          </w:tcPr>
          <w:p w14:paraId="68DED30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师宗县子午河整流域水土流失治理项目</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7E70BD62">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948.68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31EF2986">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37700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250FF781">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2050</w:t>
            </w:r>
          </w:p>
        </w:tc>
      </w:tr>
      <w:tr w14:paraId="27DE0AEA">
        <w:tblPrEx>
          <w:tblCellMar>
            <w:top w:w="0" w:type="dxa"/>
            <w:left w:w="11" w:type="dxa"/>
            <w:bottom w:w="0" w:type="dxa"/>
            <w:right w:w="11" w:type="dxa"/>
          </w:tblCellMar>
        </w:tblPrEx>
        <w:trPr>
          <w:trHeight w:val="270" w:hRule="atLeast"/>
        </w:trPr>
        <w:tc>
          <w:tcPr>
            <w:tcW w:w="3236" w:type="pct"/>
            <w:gridSpan w:val="2"/>
            <w:tcBorders>
              <w:top w:val="single" w:color="000000" w:sz="4" w:space="0"/>
              <w:left w:val="single" w:color="000000" w:sz="4" w:space="0"/>
              <w:bottom w:val="single" w:color="000000" w:sz="4" w:space="0"/>
              <w:right w:val="single" w:color="000000" w:sz="4" w:space="0"/>
            </w:tcBorders>
            <w:noWrap/>
            <w:vAlign w:val="center"/>
          </w:tcPr>
          <w:p w14:paraId="366CD690">
            <w:pPr>
              <w:spacing w:line="240" w:lineRule="auto"/>
              <w:ind w:firstLine="0" w:firstLineChars="0"/>
              <w:jc w:val="center"/>
              <w:rPr>
                <w:rFonts w:hint="default" w:ascii="Times New Roman" w:hAnsi="Times New Roman" w:eastAsia="宋体" w:cs="Times New Roman"/>
                <w:color w:val="auto"/>
                <w:sz w:val="20"/>
                <w:szCs w:val="22"/>
                <w:highlight w:val="none"/>
                <w:lang w:val="en-US" w:eastAsia="zh-CN"/>
              </w:rPr>
            </w:pPr>
            <w:r>
              <w:rPr>
                <w:rFonts w:hint="default" w:ascii="Times New Roman" w:hAnsi="Times New Roman" w:cs="Times New Roman"/>
                <w:color w:val="auto"/>
                <w:sz w:val="20"/>
                <w:szCs w:val="22"/>
                <w:highlight w:val="none"/>
                <w:lang w:val="en-US" w:eastAsia="zh-CN"/>
              </w:rPr>
              <w:t>合计</w:t>
            </w:r>
          </w:p>
        </w:tc>
        <w:tc>
          <w:tcPr>
            <w:tcW w:w="900" w:type="pct"/>
            <w:tcBorders>
              <w:top w:val="single" w:color="000000" w:sz="4" w:space="0"/>
              <w:left w:val="single" w:color="000000" w:sz="4" w:space="0"/>
              <w:bottom w:val="single" w:color="000000" w:sz="4" w:space="0"/>
              <w:right w:val="single" w:color="000000" w:sz="4" w:space="0"/>
            </w:tcBorders>
            <w:noWrap w:val="0"/>
            <w:vAlign w:val="center"/>
          </w:tcPr>
          <w:p w14:paraId="6288A7CC">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2991.77 </w:t>
            </w:r>
          </w:p>
        </w:tc>
        <w:tc>
          <w:tcPr>
            <w:tcW w:w="517" w:type="pct"/>
            <w:tcBorders>
              <w:top w:val="single" w:color="000000" w:sz="4" w:space="0"/>
              <w:left w:val="single" w:color="000000" w:sz="4" w:space="0"/>
              <w:bottom w:val="single" w:color="000000" w:sz="4" w:space="0"/>
              <w:right w:val="single" w:color="000000" w:sz="4" w:space="0"/>
            </w:tcBorders>
            <w:noWrap w:val="0"/>
            <w:vAlign w:val="center"/>
          </w:tcPr>
          <w:p w14:paraId="4AE6D06A">
            <w:pPr>
              <w:spacing w:line="240" w:lineRule="auto"/>
              <w:ind w:firstLine="0" w:firstLineChars="0"/>
              <w:jc w:val="center"/>
              <w:rPr>
                <w:rFonts w:hint="default" w:ascii="Times New Roman" w:hAnsi="Times New Roman" w:cs="Times New Roman"/>
                <w:color w:val="auto"/>
                <w:sz w:val="20"/>
                <w:szCs w:val="22"/>
                <w:highlight w:val="none"/>
              </w:rPr>
            </w:pPr>
            <w:r>
              <w:rPr>
                <w:rFonts w:hint="default" w:ascii="Times New Roman" w:hAnsi="Times New Roman" w:cs="Times New Roman"/>
                <w:color w:val="auto"/>
                <w:sz w:val="20"/>
                <w:szCs w:val="22"/>
                <w:highlight w:val="none"/>
              </w:rPr>
              <w:t xml:space="preserve">204116 </w:t>
            </w:r>
          </w:p>
        </w:tc>
        <w:tc>
          <w:tcPr>
            <w:tcW w:w="344" w:type="pct"/>
            <w:tcBorders>
              <w:top w:val="single" w:color="000000" w:sz="4" w:space="0"/>
              <w:left w:val="single" w:color="000000" w:sz="4" w:space="0"/>
              <w:bottom w:val="single" w:color="000000" w:sz="4" w:space="0"/>
              <w:right w:val="single" w:color="000000" w:sz="4" w:space="0"/>
            </w:tcBorders>
            <w:noWrap w:val="0"/>
            <w:vAlign w:val="center"/>
          </w:tcPr>
          <w:p w14:paraId="6836FAFE">
            <w:pPr>
              <w:spacing w:line="240" w:lineRule="auto"/>
              <w:ind w:firstLine="0" w:firstLineChars="0"/>
              <w:jc w:val="center"/>
              <w:rPr>
                <w:rFonts w:hint="default" w:ascii="Times New Roman" w:hAnsi="Times New Roman" w:cs="Times New Roman"/>
                <w:color w:val="auto"/>
                <w:sz w:val="20"/>
                <w:szCs w:val="22"/>
                <w:highlight w:val="none"/>
              </w:rPr>
            </w:pPr>
          </w:p>
        </w:tc>
      </w:tr>
    </w:tbl>
    <w:p w14:paraId="2CB5E174">
      <w:pPr>
        <w:pStyle w:val="3"/>
        <w:numPr>
          <w:ilvl w:val="1"/>
          <w:numId w:val="4"/>
        </w:numPr>
        <w:spacing w:before="374" w:after="249"/>
        <w:rPr>
          <w:rFonts w:hint="default" w:ascii="Times New Roman" w:hAnsi="Times New Roman" w:eastAsia="宋体" w:cs="Times New Roman"/>
          <w:color w:val="auto"/>
          <w:highlight w:val="none"/>
          <w:lang w:val="en-US" w:eastAsia="zh-CN"/>
        </w:rPr>
      </w:pPr>
      <w:bookmarkStart w:id="60" w:name="_Toc2245"/>
      <w:r>
        <w:rPr>
          <w:rFonts w:hint="default" w:ascii="Times New Roman" w:hAnsi="Times New Roman" w:eastAsia="宋体" w:cs="Times New Roman"/>
          <w:color w:val="auto"/>
          <w:highlight w:val="none"/>
          <w:lang w:val="en-US" w:eastAsia="zh-CN"/>
        </w:rPr>
        <w:t>重</w:t>
      </w:r>
      <w:r>
        <w:rPr>
          <w:rFonts w:hint="default" w:ascii="Times New Roman" w:hAnsi="Times New Roman" w:cs="Times New Roman"/>
          <w:color w:val="auto"/>
          <w:highlight w:val="none"/>
          <w:lang w:val="en-US" w:eastAsia="zh-CN"/>
        </w:rPr>
        <w:t>大</w:t>
      </w:r>
      <w:r>
        <w:rPr>
          <w:rFonts w:hint="default" w:ascii="Times New Roman" w:hAnsi="Times New Roman" w:eastAsia="宋体" w:cs="Times New Roman"/>
          <w:color w:val="auto"/>
          <w:highlight w:val="none"/>
          <w:lang w:val="en-US" w:eastAsia="zh-CN"/>
        </w:rPr>
        <w:t>水利工程规划</w:t>
      </w:r>
      <w:bookmarkEnd w:id="60"/>
    </w:p>
    <w:p w14:paraId="51703FFB">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大型灌区</w:t>
      </w:r>
    </w:p>
    <w:p w14:paraId="0193801D">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罗师灌区</w:t>
      </w:r>
    </w:p>
    <w:p w14:paraId="3FAE016F">
      <w:pPr>
        <w:pStyle w:val="4"/>
        <w:rPr>
          <w:rFonts w:hint="default" w:ascii="Times New Roman" w:hAnsi="Times New Roman" w:cs="Times New Roman"/>
          <w:color w:val="auto"/>
          <w:highlight w:val="green"/>
          <w:lang w:val="en-US" w:eastAsia="zh-CN"/>
        </w:rPr>
      </w:pPr>
      <w:r>
        <w:rPr>
          <w:rFonts w:hint="default" w:ascii="Times New Roman" w:hAnsi="Times New Roman" w:cs="Times New Roman"/>
          <w:color w:val="auto"/>
          <w:highlight w:val="green"/>
          <w:lang w:val="en-US" w:eastAsia="zh-CN"/>
        </w:rPr>
        <w:t>（1）工程建设任务巩固拓展脱贫攻坚成果同乡村振兴有效衔接</w:t>
      </w:r>
    </w:p>
    <w:p w14:paraId="725A3DA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罗师灌区主要通过对灌区内水库输水渠系配套、骨干水源工程建设，保障骨干水源工程发挥供水效益，解决城乡生活、工业及农业灌溉用水需求。项目的开发任务为：农业灌溉和城乡供水，为石漠化地区创造条件。</w:t>
      </w:r>
      <w:r>
        <w:rPr>
          <w:rFonts w:hint="default" w:ascii="Times New Roman" w:hAnsi="Times New Roman" w:eastAsia="宋体" w:cs="Times New Roman"/>
          <w:color w:val="auto"/>
          <w:highlight w:val="none"/>
        </w:rPr>
        <w:t>罗师灌区设计灌溉面积为91.75万亩，其中师宗县39.53万亩、罗平县34.18万亩、陆良县11.38万亩、麒麟区6.66万亩。</w:t>
      </w:r>
    </w:p>
    <w:p w14:paraId="7479B65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（2）工程布置及主要建筑物</w:t>
      </w:r>
    </w:p>
    <w:p w14:paraId="1E912EDC">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罗师灌区的新增建设内容为：新建水源工程2件，新建调蓄水库1座，连通工程1件，提水泵站工程12件（包含两件水源工程），新建渠（管）道工程55条，现状渠道续建配套工程28条，排水沟改扩建6条。</w:t>
      </w:r>
    </w:p>
    <w:p w14:paraId="1B2B515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水源工程。罗师灌区新建水源工程2件，分别为阿岗水库浮船泵站、子午河泵站。 其中阿岗水库浮船泵站从九龙河取水，补充师宗坝片、彩云葵山以及龙庆片的生产生活用水，取水流量3.9m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/s；子午河位于竹基镇七排村附近，从子午河取水，取水流量为0.23m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/s，主要供给子午河右岸七排村附近农灌用水。</w:t>
      </w:r>
    </w:p>
    <w:p w14:paraId="6031282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调蓄工程。罗师灌区可研新建调蓄工程1座，小务龙水库扩建工程，工程任务为：作为九龙河～小务龙水库连通工程的末端调蓄水库，调蓄九龙河的不均匀来水过程，与本区水联合调度，解决彩云葵山片、龙庆片城乡生活及农业灌溉缺水问题。水库总库容3512.2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，兴利库容3232万m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，多年平均供水量3827.4万m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w:t>
      </w:r>
    </w:p>
    <w:p w14:paraId="353BA0E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连通工程。罗师灌区新建连通工程1件，九龙河～小务龙水库连通工程，线路总长36.4km，设计流量3.9m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/s，多年平均引水量4624万m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w:t>
      </w:r>
    </w:p>
    <w:p w14:paraId="32EA8D10">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提水工程。罗师灌区新建提水泵站12座，其中水源工程新建两座泵站（阿岗水库浮船泵站、子午河泵站），设计流量0.16～3.9m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/s。</w:t>
      </w:r>
    </w:p>
    <w:p w14:paraId="618CBC9A">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渠系工程。罗师灌区共规划布置灌溉输水渠（管）道55条，设计流量4.35～0.08m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s，渠（管）道总长235.09km，控制灌溉面积45.18万亩。其中草白海子片20条，总长58.80km，控制灌溉面积9.75万亩；活水片9条，总长26.63km，控制灌溉面积6.85万亩；师宗坝片9条，总长54.72km，控制灌溉面积7.38万亩；沿河片2条，总长14.24km，控制灌溉面积0.80万亩；彩云葵山片6条，总长29.75 km，控制灌溉面积13.70万亩；龙庆片1条，总长28.08m，控制灌溉面积3.00万亩；召夸雄壁片8条，总长22.93km，控制灌溉面积3.69万亩。规划对28条不满足过流能力的渠道进行加固或重建，总长度45.2km。</w:t>
      </w:r>
    </w:p>
    <w:p w14:paraId="548081F9">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（3）建设征地和移民安置</w:t>
      </w:r>
    </w:p>
    <w:p w14:paraId="507EDD2F">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罗师灌区工程建设征地总面积为15546.52亩。其中调蓄工程3717.23亩，灌区配套工程11829.29亩。罗师灌区工程基准年生产安置人口为667人。涉及的搬迁安置均采用就近后靠安置的方案。</w:t>
      </w:r>
    </w:p>
    <w:p w14:paraId="4E65E54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（4）投资匡算</w:t>
      </w:r>
    </w:p>
    <w:p w14:paraId="5966DB33">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按2024年二季度价格水平计算，工程估算投资为573518.06万元。</w:t>
      </w:r>
    </w:p>
    <w:p w14:paraId="3FEBEB2A">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富源灌区</w:t>
      </w:r>
    </w:p>
    <w:p w14:paraId="3ED82392">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（1）工程建设任务</w:t>
      </w:r>
    </w:p>
    <w:p w14:paraId="63C7B059">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富源灌区通过灌区灌溉渠系的配套及改造、骨干水源工程建设，保障骨干水源工程发挥供水效益，解决城乡生活、工业及农业灌溉用水需求。富源灌区工程任务为：农业灌溉和城乡供水，</w:t>
      </w:r>
      <w:r>
        <w:rPr>
          <w:rFonts w:hint="default" w:ascii="Times New Roman" w:hAnsi="Times New Roman" w:cs="Times New Roman"/>
          <w:color w:val="auto"/>
          <w:highlight w:val="green"/>
          <w:lang w:val="en-US" w:eastAsia="zh-CN"/>
        </w:rPr>
        <w:t>为巩固拓展脱贫攻坚成果同乡村振兴有效衔接，</w:t>
      </w:r>
      <w:r>
        <w:rPr>
          <w:rFonts w:hint="default" w:ascii="Times New Roman" w:hAnsi="Times New Roman" w:cs="Times New Roman"/>
          <w:color w:val="auto"/>
          <w:highlight w:val="none"/>
          <w:lang w:val="en-US" w:eastAsia="zh-CN"/>
        </w:rPr>
        <w:t>加快农业农村现代化创造条件。富源灌区总设计灌溉面积为64.13万亩，其中保证灌溉面积8.57万亩，改善灌溉面积10.94万亩，新增灌溉面积44.62万亩</w:t>
      </w:r>
    </w:p>
    <w:p w14:paraId="485E0070">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（2）工程布置及主要建筑物</w:t>
      </w:r>
    </w:p>
    <w:p w14:paraId="18B896A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富源灌区的新增骨干工程建设内容为：新建水库工程2座，包括大河中型水库1座、龙潭小（1）型水库1座，其中大河水库总库容6336.8万m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，兴利库容3621.5万m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，最大坝高54.7m；龙潭水库总库容281.7万m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，兴利库容202.0万m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，最大坝高65.3m；新建取水坝1座，为大凹子河取水坝；新建骨干渠（管）道79条，总长度309.1km，其中隧洞9条，长度12.5km；新建泵站工程5座，总装机24354kW；现状骨干渠（管）道续建配套8条，长度56.0km。</w:t>
      </w:r>
    </w:p>
    <w:p w14:paraId="21C5B90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蓄水工程。大河水库是灌区规划新建的骨干水源工程之一，供水范围涉及县城片、大营片、富厂片和罗平片，水库坝址位于富源县大河镇庵子冲村附近的黄泥河干流上，距上游补木河汇入口150m，水库工程任务为农业灌溉和城乡生活供水，设计灌溉面积40.21万亩，改善灌溉面积2.16万亩。大河坝址以上径流面积1221km²，水库死水位1738.4m，死库容1537.2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，正常蓄水位1751.00m，正常库容5158.7万m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，兴利库容3621.5万m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，设计洪水位1751.34m，校核洪水位1753.91m，总库容6336.8万m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w:t>
      </w:r>
    </w:p>
    <w:p w14:paraId="3D51463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龙潭水库坝址以上径流面积6.59km²，多年平均天然来水量为612.9万m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。水库正常蓄水位1669.5m，正常库容238.6万m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，兴利库容202.0万m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，设计供水量460.8万m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，总库容281.7万m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。水库工程任务是生活供水和灌溉供水，生活供水范围为老厂乡，农业灌溉范围主要为水库下游丫落、田边、水塘3个村委会周边的耕园地，设计灌溉面积1万亩。</w:t>
      </w:r>
    </w:p>
    <w:p w14:paraId="2AF86554">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提水工程。新建提水泵站5座，分别为大河泵站、富村泵站、砂厂泵站、老厂泵站和龙潭泵站，所有泵站均涉及生活供水任务，泵站设计流量0.04～6.68m</w:t>
      </w:r>
      <w:r>
        <w:rPr>
          <w:rFonts w:hint="default" w:ascii="Times New Roman" w:hAnsi="Times New Roman" w:eastAsia="宋体" w:cs="Times New Roman"/>
          <w:color w:val="auto"/>
          <w:highlight w:val="none"/>
          <w:lang w:val="en-US" w:eastAsia="zh-CN"/>
        </w:rPr>
        <w:t>³</w:t>
      </w:r>
      <w:r>
        <w:rPr>
          <w:rFonts w:hint="default" w:ascii="Times New Roman" w:hAnsi="Times New Roman" w:cs="Times New Roman"/>
          <w:color w:val="auto"/>
          <w:highlight w:val="none"/>
          <w:lang w:val="en-US" w:eastAsia="zh-CN"/>
        </w:rPr>
        <w:t>/s，泵站设计扬程97～272m，泵站装机264~20000kW，灌区泵站总装机容量24354kW。</w:t>
      </w:r>
    </w:p>
    <w:p w14:paraId="1D129094">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渠系工程。根据灌区渠系总体布置和水资源配置方案，富源灌区新建大河主干线、大河东干线、大河西干线等骨干干支管工程79条。灌区内现状骨干渠道18条，总长约166.9km，现状渠道完好率仅为66.4%，需对其中8条不满足使用功能的渠道进行加固或重建，总长度约106.4km，修复长度为56.0km。</w:t>
      </w:r>
    </w:p>
    <w:p w14:paraId="341AFAB0">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（3）建设征地和移民安置</w:t>
      </w:r>
    </w:p>
    <w:p w14:paraId="32200A3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富源灌区建设征地总面积为19334.48亩，其中水源工程9193.94亩（含淹没、枢纽区），渠系配套工程10140.54亩。建设征地总面积中永久征地7879.58亩，临时占地11454.89亩，工程建设影响永久基本农田3840.15亩，公益林184.13亩，不影响生态保护红线。富源灌区工程基准年搬迁人口为606户2425人，规划水平年为618户2474人；基准年生产安置人口1021人，规划水平年生产安置人口1052人。</w:t>
      </w:r>
    </w:p>
    <w:p w14:paraId="0FF0E1E4">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（4）投资匡算</w:t>
      </w:r>
    </w:p>
    <w:p w14:paraId="450218AE">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按2025年第四季度价格水平计算，工程总投资625850万元（含田间配套），其中静态总投资529786万元，田间配套投资96064万元。</w:t>
      </w:r>
    </w:p>
    <w:p w14:paraId="18DE1EF5">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沾马灌区</w:t>
      </w:r>
    </w:p>
    <w:p w14:paraId="27AB9CF9">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（1）工程建设任务</w:t>
      </w:r>
    </w:p>
    <w:p w14:paraId="144B6522">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工程通过灌区灌溉渠系的配套及改造、骨干水源连通工程建设，保障骨干水源连通工程发挥供水效益，解决城乡生活、工业及农业灌溉用水需求。</w:t>
      </w:r>
    </w:p>
    <w:p w14:paraId="5E1BD864">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（2）工程布置及主要建筑物</w:t>
      </w:r>
    </w:p>
    <w:p w14:paraId="108A7783">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骨干工程由德泽引水济曲支线工程、提水工程、输水工程及续建配套组成。支线工程从引水济曲主线末端取水，通过新建泵站提水至高位水池后，分别以输水管道送至沾益、马龙片区，总长46.04km及56.41km；提水工程共布置3座泵站。输水工程新建4件水库连通工程，管线长分别为27.1km、18.0km、43.7km及河道自流段；续建配套主要对灌区现有骨干渠道进行改扩建及修复清淤。</w:t>
      </w:r>
    </w:p>
    <w:p w14:paraId="5E286972">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沾益支线设计流量2.13~4.49m³/s，马龙支线设计流量2.08~7.91m³/s；提水工程总装机容量14245kW。4件连通工程设计流量分别为3.91m³/s、2.01m³/s、2.34m³/s、0.82m³/s。续建配套规模为改扩建渠道38.6km、修复破损7.15km、渠道清淤27.6km。</w:t>
      </w:r>
    </w:p>
    <w:p w14:paraId="0BFEFB39">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（3）建设征地和移民安置</w:t>
      </w:r>
    </w:p>
    <w:p w14:paraId="5DFCEA08">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工程建设征地以线性工程占地为主，涉及拆迁人口和农业生产安置人口。</w:t>
      </w:r>
    </w:p>
    <w:p w14:paraId="41C0534E">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（4）投资匡算</w:t>
      </w:r>
    </w:p>
    <w:p w14:paraId="67103C9B">
      <w:pPr>
        <w:pStyle w:val="4"/>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沾马灌区工程估算总投资53.23亿元。（不含田间配套工程总投资为41.52亿元）。</w:t>
      </w:r>
    </w:p>
    <w:p w14:paraId="21E53673">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中型灌区</w:t>
      </w:r>
    </w:p>
    <w:p w14:paraId="0ABD9C17">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（1）麒麟区高原特色农业产业供水工程</w:t>
      </w:r>
    </w:p>
    <w:p w14:paraId="53C513C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麒麟区高原特色农业产业供水工程位于云南省曲靖市麒麟区，工程区东至曲靖市麒麟区越州镇水城村，西与曲靖市麒麟区潇湘街道潇湘水库出水口相连，北至曲靖市麒麟区珠街乡桂花村，南与曲靖市麒麟区越州镇薛旗村交界，距省会昆明市约130～140km。其利用潇湘水库、青峰水库、龙潭河水库、水城水库、黄泥堡水库和磨盘山水库对南盘江沿岸高经济价值作物进行灌溉，灌溉面积7.02万亩。</w:t>
      </w:r>
    </w:p>
    <w:p w14:paraId="07C8C0D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建设征地涉及曲靖市麒麟区8个乡镇（街道）40个村委会（社区），建设征地总面积1562.19亩。基准年生产安置人口为11人，至规划水平年生产安置人口为11人，生产安置采取一次性货币补偿自行安置的方式。</w:t>
      </w:r>
    </w:p>
    <w:p w14:paraId="12F8B86E">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工程建设条件优良，水文资料可靠，无重大制约地质条件；工程建设不存在重大移民安置问题；工程不涉及各类敏感区且有效避让生态保护红线，工程方案可行；工程静态总投资60160.32万元。</w:t>
      </w:r>
    </w:p>
    <w:p w14:paraId="759346A7">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（2）麒麟区东山镇草白海子片区高原特色农业供水工程</w:t>
      </w:r>
    </w:p>
    <w:p w14:paraId="24E90865">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位于麒麟区东山镇东南，主要涉及卡基、法色、撒马依、转长河4个村委会，工程设计灌溉面积6.75万亩。灌区主要分为原干渠灌片、管道供水灌片两个片区。其中，原干渠灌片设计灌溉面积1.53万亩，管道供水灌片设计灌溉面积5.22万亩。工程的实施可大幅提高水资源利用效率，有效缓解农业缺水状况，使耕地得到及时、精准的灌溉保障。稳定的用水条件与完善的设施基础，将显著提升区域农业投资吸引力，有利于引进农业企业，发展高原特色农业，推动农业产业升级与规模化经营。</w:t>
      </w:r>
    </w:p>
    <w:p w14:paraId="4C2BB9F2">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灌区采用自流供水，原干渠灌片采用已建幸福渠供水，管道供水灌片采用新建管道自流供水，主要建设内容：取水工程、输水管道工程。工程从独木水库的卡基隧洞出口渠道上取水，在原渠道上设置节制闸，在渠道左侧新建取水闸室，取水闸室后设置过渡水池，输水主管从过渡水池取水。输水主管→输水干管→输水支管→控制各灌片。</w:t>
      </w:r>
    </w:p>
    <w:p w14:paraId="4E33AD57">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工程建设条件优良，水文资料可靠，无重大制约地质条件；工程建设不存在重大移民安置问题；工程不涉及各类敏感区且有效避让生态保护红线，工程方案可行；工程静态总投资15821.42万元。</w:t>
      </w:r>
    </w:p>
    <w:p w14:paraId="53168610">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曲靖市牛栏江德泽水库引水济曲工程</w:t>
      </w:r>
    </w:p>
    <w:p w14:paraId="30ED8F7C">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（1）工程建设任务</w:t>
      </w:r>
    </w:p>
    <w:p w14:paraId="100A204A">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进一步提高南盘江流域曲靖中心城区水资源调配能力，保障流域内社会经济高质量发展和生态安全。工程从已建牛栏江—滇池补水工程输水线路上预留的竹园分水口取水，向东南方自流输水至曲靖市麒麟区的第六自来水厂，沿途向沾马灌区、经开区及马龙区供水，通过置换西河水库水量向沾益区供水，并利用南盘江向陆良县供水。</w:t>
      </w:r>
    </w:p>
    <w:p w14:paraId="464D050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（2）工程布置及主要建筑物</w:t>
      </w:r>
    </w:p>
    <w:p w14:paraId="7B4B17F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引水济曲工程共布置1条输水干线和4条输水支线，设计流量23.00m³/s～0.67m³/s，线路全长82.39km，共25个输水建筑物，其中隧洞8座，长49.99km；倒虹吸8座，长5.76km；管道8条，长26.57km；引水渠1座，长0.07km。在输水支线上共布置4座提水泵站，总装机10.675MW。</w:t>
      </w:r>
    </w:p>
    <w:p w14:paraId="62C4563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（3）建设征地和移民安置</w:t>
      </w:r>
    </w:p>
    <w:p w14:paraId="5A5EEF0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德泽水库引水济曲工程建设征地总面积3707.36亩，德泽水库引水济曲工程基准年农业生产安置总人口为12人；按征地区人口自然增长率推算至规划水平年，得到规划年农业生产安置总人口为12人。</w:t>
      </w:r>
    </w:p>
    <w:p w14:paraId="6468A19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（4）投资估算</w:t>
      </w:r>
    </w:p>
    <w:p w14:paraId="76CF110C">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本工程静态总投资为498469.06万元。</w:t>
      </w:r>
      <w:r>
        <w:rPr>
          <w:rFonts w:hint="default" w:ascii="Times New Roman" w:hAnsi="Times New Roman" w:cs="Times New Roman"/>
          <w:color w:val="auto"/>
          <w:highlight w:val="none"/>
        </w:rPr>
        <w:t>其中工程部分投资463242.52万元，建设征地移民补偿投资为15296.99万元，环境保护工程投资为13897.28万元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水土保持工程投资为6032.27万元。</w:t>
      </w:r>
    </w:p>
    <w:p w14:paraId="0718C5C7">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陆良县引水入陆工程</w:t>
      </w:r>
    </w:p>
    <w:p w14:paraId="0F5DB6BE">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（1）工程建设任务</w:t>
      </w:r>
    </w:p>
    <w:p w14:paraId="7CCC8683">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陆良县引水入陆工程任务为陆良县活水乡、龙海乡、板桥镇、马街镇及三岔河镇的17个村（居）委会的集镇、农村生活供水以及陆良坝区中枢街道、同乐街道、马街镇、三岔河镇、板桥镇、芳华镇、小百户镇的116个村（居）委会的城镇、农村生活及工业应急和备用供水。</w:t>
      </w:r>
    </w:p>
    <w:p w14:paraId="1116C204">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（2）工程布置及主要建筑物</w:t>
      </w:r>
    </w:p>
    <w:p w14:paraId="2C7F1827">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等别为Ⅲ等，工程规模为中型。工程从小测德村以南篆长河右岸阿岗水库库区取水，输水干管自东南向西北布置，接入响水箐水厂、大坝冲水库和莲花田水库。工程线路全长共68.39km，共布置20个建筑物。提水钢管5条，长25.10km；倒虹吸4条，长38.87km；输水管2条，长4.43km。管材采用Q355C钢管，埋管布置，管径为0.35～1.4m。泵站建筑物3座（包括进水池及泵房），总装机25240kW，总扬程506.6（518.7）m，除测德泵站为浮船泵站外，剩余2个泵站都采用地面泵站。水池6座，其中泵站出水池3座，减压池3座。</w:t>
      </w:r>
    </w:p>
    <w:p w14:paraId="3B5E641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引水过程为常规供水区与应急供水区引水过程的叠加。工程总引水流量为3m³/s，其中响水箐水厂0.191m³/s，大坝冲水库1.405m³/s，莲花田水库1.404m³/s。工程总引水量3156万m³，其中常规供水区430万m³；应急供水区2726万m³，包含大坝冲水库1361万m³，莲花田水库1365万m³。工程总供水量2985万m³，其中常规供水区430万m³，应急供水区2555万m³。</w:t>
      </w:r>
    </w:p>
    <w:p w14:paraId="4B40B5D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（3）建设征地和移民安置</w:t>
      </w:r>
    </w:p>
    <w:p w14:paraId="3CE013B9">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陆良县引水入陆工程建设征地总面积1993.96亩，工程不搬迁移民，移民安置方案仅是生产安置方案，工程为线性工程，不集中征地，征地总量较小，对当地影响不大。</w:t>
      </w:r>
    </w:p>
    <w:p w14:paraId="02221769">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（4）投资估算</w:t>
      </w:r>
    </w:p>
    <w:p w14:paraId="3CEDC92F">
      <w:pPr>
        <w:pStyle w:val="4"/>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工程估算总投资76868.71万元，其中：工程部分投资69534.18万元；建设征地移民补偿投资5125.38万元；水土保持工程投资1530.69万元；环境保护工程投资678.46万元。</w:t>
      </w:r>
    </w:p>
    <w:p w14:paraId="05148E01">
      <w:pPr>
        <w:pStyle w:val="5"/>
        <w:numPr>
          <w:ilvl w:val="2"/>
          <w:numId w:val="4"/>
        </w:numPr>
        <w:spacing w:before="374" w:after="249"/>
        <w:rPr>
          <w:rFonts w:hint="default" w:ascii="Times New Roman" w:hAnsi="Times New Roman" w:eastAsia="宋体" w:cs="Times New Roman"/>
          <w:color w:val="auto"/>
          <w:highlight w:val="none"/>
          <w:lang w:val="en-US" w:eastAsia="zh-CN"/>
        </w:rPr>
      </w:pPr>
      <w:bookmarkStart w:id="61" w:name="_Toc4774"/>
      <w:r>
        <w:rPr>
          <w:rFonts w:hint="default" w:ascii="Times New Roman" w:hAnsi="Times New Roman" w:eastAsia="宋体" w:cs="Times New Roman"/>
          <w:color w:val="auto"/>
          <w:highlight w:val="none"/>
          <w:lang w:val="en-US" w:eastAsia="zh-CN"/>
        </w:rPr>
        <w:t>云南省南盘江（珠江源头）生态保护修复工程</w:t>
      </w:r>
      <w:bookmarkEnd w:id="61"/>
    </w:p>
    <w:p w14:paraId="7CD48F1B">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（1）工程建设任务</w:t>
      </w:r>
    </w:p>
    <w:p w14:paraId="394AFFB5">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为保障珠江源伏流口及南盘江干流特殊干旱期的生态水量，改善珠江源区域和沾益、麒麟及陆良县境内南盘江干流生态环境质量，满足当地人民群众对幸福河湖美好的愿望。此外，兴建九龙河至南盘江连通工程还可兼顾陆良坝区城镇、农村生活应急供水，增强陆良坝区供水保障能力。</w:t>
      </w:r>
    </w:p>
    <w:p w14:paraId="02B012B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（2）工程布置及主要建筑物</w:t>
      </w:r>
    </w:p>
    <w:p w14:paraId="1CE1F38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河湖空间保护修复工程。以保障珠江源伏流口出流为核心，辅以生态修复和水文化改善措施，改善区域生态环境，加强珠江源水文化宣传。主要工程措施为对滴水湖水库进行综合防渗处理，实施滴水湖水库、珠江源出水口、坝后湿地地形地貌修复41.51hm²（含滴水湖水库水面面积），提高区域生态环境质量。</w:t>
      </w:r>
    </w:p>
    <w:p w14:paraId="2C011090">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滴水湖水库综合防渗：对水库进行修复，修复后总库容121.2万m³，修缮溢洪道，在大锅洞进口增加挡水建筑物及生态供水设施，恢复水库蓄丰补枯功能，为珠江源常年出水创造有利的水资源条件，改善珠江源出流情况。</w:t>
      </w:r>
    </w:p>
    <w:p w14:paraId="648E3405">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系连通工程。九龙河至南盘江连通工程从戈维村东南阿岗水库库区取水，最大设计流量1.8m³/s，输水线路自东南向西北布置，末端接入响水坝水库，沿线在大坝冲水库左岸支流谢家河中段增设分水口，充蓄大坝冲水库。工程线路全长共38.56km，共布置17个建筑物，提水钢管2条，长8.80km；倒虹吸2条，长16.11km；输水管3条，长9.70km；输水隧洞1条，长3.95km。管材采用Q355C钢管，埋管布置，管径为1.1m。泵站建筑物2座（包括进水池及泵房），总装机14250kW，总扬程448m，除玉冲泵站为浮船泵站外，剩余泵站采用地面泵站。水池5座，其中泵站出水池2座，减压池3座。</w:t>
      </w:r>
    </w:p>
    <w:p w14:paraId="331CDC99">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设计总引水量2759万m³，其中：特殊干旱时期向南盘江（陆良段）生态补水量1394万m³；向大坝冲水库充蓄水量1365万m³，兼顾陆良坝区城镇、农村生活应急供水。设计最大引水流量为1.8m³/s，大坝冲水库分水口设计流量为1.8m³/s。</w:t>
      </w:r>
    </w:p>
    <w:p w14:paraId="20FB097A">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河湖岸线保护修复工程。以改善南盘江干流曲靖段河道生态功能为目标，在保障防洪安全的前提下，对岸坡进行生态修复，提高南盘江干流曲靖段河道生态岸线率。河道生态综合治理长度24.51km，河岸生态修复长度6.39km。</w:t>
      </w:r>
    </w:p>
    <w:p w14:paraId="21507C1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（4）建设征地和移民安置</w:t>
      </w:r>
    </w:p>
    <w:p w14:paraId="57E5BEA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工程建设征地总面积为2985.05亩。规划水平年农业生产安置人口为144人。</w:t>
      </w:r>
    </w:p>
    <w:p w14:paraId="4EF59D43">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（5）投资匡算</w:t>
      </w:r>
    </w:p>
    <w:p w14:paraId="16CFE67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工程估算静态总投资108023.42万元，其中：工程部分投资95054.32万元，建设征地移民补偿投资8639.32万元，环境保护工程投资1558.51万元，水土保持工程投资2771.27万元。</w:t>
      </w:r>
    </w:p>
    <w:p w14:paraId="7E031209">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中型水库</w:t>
      </w:r>
    </w:p>
    <w:p w14:paraId="122BB56B">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（1）响水坝水库扩建</w:t>
      </w:r>
    </w:p>
    <w:p w14:paraId="725CB96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响水坝水库扩建工程完善南盘江防洪体系、修复区域水生态、保障16.5万亩农田灌溉及城乡用水的关键工程，对支撑曲靖水网建设和乡村振兴具有重要意义。</w:t>
      </w:r>
    </w:p>
    <w:p w14:paraId="6531A2D3">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响水坝水库拟扩建后，总库容达3455.0万m³，正常蓄水位为1854.91m，正常库容为3261.5万m³，兴利库容为3156.5万m³。水库以农业灌溉和工业供水为主，P=75%年份入库水量为47720万m³，调节供水量达7604.7m³（其中农灌7024.7万m³、工业580万m³）。水库设计洪水位为1855.20m，相应库容3380.0万m³，校核洪水位为1855.40m，调洪库容为3350.0万m³，最大泄流能力为437.1m³/s。</w:t>
      </w:r>
    </w:p>
    <w:p w14:paraId="3397192C">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响水坝水库扩建工程估算总投资184675万元。</w:t>
      </w:r>
    </w:p>
    <w:p w14:paraId="4F8A16F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（2）小务龙水库扩建</w:t>
      </w:r>
    </w:p>
    <w:p w14:paraId="122F2E0D">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小务龙水库扩建工程任务为作为九龙河～小务龙水库连通工程的末端调蓄水库，调蓄九龙河的不均匀来水过程，与本区水联合调度，解决罗师灌区彩云葵山片、龙庆片城镇生活、农村生活及农业灌溉缺水问题。</w:t>
      </w:r>
    </w:p>
    <w:p w14:paraId="541572D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小务龙水库校核洪水位1938.2m，设计洪水位1937.8m，正常蓄水位1937m，死水位1894.1m；总库容3512.2万m³，正常库容3326.2万m³，兴利库容3232万m³，死库容94.2万m³；溢洪道宽4m，最大下泄流量10m³/s；水库多年平均供水量3827.4万m³，其中城镇生活供水46.5万m³，农村生活供水264.9万m³，农业灌溉供水量3516.0万m³，设计灌溉面16.7万亩，其中新增灌溉面积11.84万亩，改善灌溉面积4.86万亩。</w:t>
      </w:r>
    </w:p>
    <w:p w14:paraId="483AD344">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小务龙水库扩建工程投资计入罗师灌区内。</w:t>
      </w:r>
    </w:p>
    <w:p w14:paraId="7C81375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（3）大河水库</w:t>
      </w:r>
    </w:p>
    <w:p w14:paraId="6F336A25">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河水库是灌区规划新建的骨干水源工程之一，供水范围涉及县城片、大营片、富厂片和罗平片，水库坝址位于富源县大河镇庵子冲村附近的黄泥河干流上，距上游补木河汇入口150m，距大河镇约2.7km，距富源城区17km，水库坝址海拔1714m，地理坐标为东经104°17'46.29"，北纬25°31'38.96”。新建大河水库主要解决灌区内四个片区的生活及农灌缺水问题（包含洞上、红石岩、营上、竹园、迤启、雨汪、阿汪、富村、老厂、富乐、大寨、马街等12个单元），工程任务为农业灌溉和城乡生活供水。</w:t>
      </w:r>
    </w:p>
    <w:p w14:paraId="6B4FC66B">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设计灌溉面积40.21万亩（富源县29.61万亩、罗平县10.60万亩），其中新增灌溉面积38.05万亩（县城片0.76万亩、大营片6.35万亩、富厂片20.34万亩、罗平片10.60万亩），改善灌溉面积2.16万亩（县城片1.02万亩、大营片0.53万亩、富厂片0.61万亩）。大河水库自流灌溉面积2.99万亩，提水灌溉面积37.22万亩；常规灌溉面积4.39万亩，高效灌溉面积35.82万亩。</w:t>
      </w:r>
    </w:p>
    <w:p w14:paraId="0FFCC09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河坝址以上径流面积1221km²，水库断面多年平均天然来水量为4.85亿m³，多年平均入库水量为3.81亿m³。水库死水位1738.4m，死库容1537.2万m³，正常蓄水位1751.00m，正常库容5158.7万m³，兴利库容3621.5万m³，设计洪水位1751.34m，校核洪水位1753.91m，总库容6336.8万m³。水库多年平均供水量6521.5万m³，水库库容系数0.095，最大坝高54.7m，断面以上水资源开发利用率为33.8%。</w:t>
      </w:r>
    </w:p>
    <w:p w14:paraId="599426CE">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大河水库工程投资计入富源灌区内。</w:t>
      </w:r>
    </w:p>
    <w:p w14:paraId="71173FD6">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流域综合管理</w:t>
      </w:r>
    </w:p>
    <w:p w14:paraId="21FBBFF0">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强化南盘江流域统一规划、统一治理、统一调度、统一管理，使流域管理与区域管理相结合的管理体制更加高效完善，河湖长制全面深化，跨区域跨部门协商与协调机制高效运作，执法监督和水行政管理全面加强。全面提升科技支撑能力、人才队伍保障和水利智慧化水平，具有“四预”功能的数字孪生南盘江流域基本建成。</w:t>
      </w:r>
    </w:p>
    <w:p w14:paraId="11E88CBC">
      <w:pPr>
        <w:pStyle w:val="3"/>
        <w:numPr>
          <w:ilvl w:val="1"/>
          <w:numId w:val="4"/>
        </w:numPr>
        <w:spacing w:before="374" w:after="249"/>
        <w:rPr>
          <w:rFonts w:hint="default" w:ascii="Times New Roman" w:hAnsi="Times New Roman" w:eastAsia="宋体" w:cs="Times New Roman"/>
          <w:color w:val="auto"/>
          <w:highlight w:val="none"/>
        </w:rPr>
      </w:pPr>
      <w:bookmarkStart w:id="62" w:name="_Toc12478"/>
      <w:r>
        <w:rPr>
          <w:rFonts w:hint="default" w:ascii="Times New Roman" w:hAnsi="Times New Roman" w:eastAsia="宋体" w:cs="Times New Roman"/>
          <w:color w:val="auto"/>
          <w:highlight w:val="none"/>
        </w:rPr>
        <w:t>规划协调性分析</w:t>
      </w:r>
      <w:bookmarkEnd w:id="62"/>
    </w:p>
    <w:p w14:paraId="22DAFC34">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与</w:t>
      </w:r>
      <w:r>
        <w:rPr>
          <w:rFonts w:hint="default" w:ascii="Times New Roman" w:hAnsi="Times New Roman" w:cs="Times New Roman"/>
          <w:color w:val="auto"/>
          <w:highlight w:val="none"/>
          <w:lang w:eastAsia="zh-CN"/>
        </w:rPr>
        <w:t>法律法规</w:t>
      </w:r>
      <w:r>
        <w:rPr>
          <w:rFonts w:hint="default" w:ascii="Times New Roman" w:hAnsi="Times New Roman" w:eastAsia="宋体" w:cs="Times New Roman"/>
          <w:color w:val="auto"/>
          <w:highlight w:val="none"/>
        </w:rPr>
        <w:t>的符合性分析</w:t>
      </w:r>
    </w:p>
    <w:p w14:paraId="7A47D1A5">
      <w:pPr>
        <w:pStyle w:val="6"/>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与《中华人民共和国水法》的符合性分析</w:t>
      </w:r>
    </w:p>
    <w:p w14:paraId="1626BE6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任务包括防洪减灾、节约用水、城乡供水、灌溉、跨流域引调水、水力发电、水资源保护、河湖生态保护、水土保持、重大水利工程规划等，从流域全局考虑水能水资源的开发利用，兼顾水资源的保护与节约，统筹上下游、左右岸的用水需求，以保障生态用水为前提，再布局农灌、工业供水。本规划中包含的罗师灌区、富源灌区、沾马灌区、曲靖市牛栏江德泽水库引水济曲工程、陆良县引水入陆工程、云南省南盘江（珠江源头）生态保护修复工程、响水坝水库扩建工程等均为水利基础设施，本规划以提高水资源利用效率和效益为目标，优化配置流域水资源，保护生态环境。以灌溉工程、引调水工程、水源工程为重点，保障城乡供水安全、防洪安全，完善防洪减灾体系，保障防洪安全，以河湖生态保护、水资源保护和水土保持为引导，大力推进水生态文明建设，实现流域水土资源可持续利用和流域社会经济可持续发展；本规划坚持水资源可持续利用的原则，统筹协调流域内生活、生产和生态用水，合理配置地表水与地下水，平衡流域内需水要求与供水能力，本规划提出完善水利水电工程生态流量泄放设施，新建、改建和扩建水库工程应当设置合适的生态流量泄放设施，推进已建水利水电工程生态流量泄放设施建设或更新改造，保证河道的生态用水需求，缓解区域用水对生态环境的影响。</w:t>
      </w:r>
    </w:p>
    <w:p w14:paraId="00296DF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因此，本规划与《中华人民共和国水法》是相符合的。</w:t>
      </w:r>
    </w:p>
    <w:p w14:paraId="5E6BEDB6">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表2.4.1-1 本规划与《中华人民共和国水法》的符合性分析情况一览表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334"/>
        <w:gridCol w:w="4370"/>
        <w:gridCol w:w="655"/>
      </w:tblGrid>
      <w:tr w14:paraId="00670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trPr>
        <w:tc>
          <w:tcPr>
            <w:tcW w:w="1994" w:type="pct"/>
            <w:vAlign w:val="center"/>
          </w:tcPr>
          <w:p w14:paraId="26A33F69">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《中华人民共和国水法》相关规定</w:t>
            </w:r>
          </w:p>
        </w:tc>
        <w:tc>
          <w:tcPr>
            <w:tcW w:w="2614" w:type="pct"/>
            <w:vAlign w:val="center"/>
          </w:tcPr>
          <w:p w14:paraId="5FC45504">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本规划相关内容</w:t>
            </w:r>
          </w:p>
        </w:tc>
        <w:tc>
          <w:tcPr>
            <w:tcW w:w="392" w:type="pct"/>
            <w:vAlign w:val="center"/>
          </w:tcPr>
          <w:p w14:paraId="09FE6B4C">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符合情况</w:t>
            </w:r>
          </w:p>
        </w:tc>
      </w:tr>
      <w:tr w14:paraId="0E7A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994" w:type="pct"/>
            <w:vAlign w:val="center"/>
          </w:tcPr>
          <w:p w14:paraId="0C261733">
            <w:pPr>
              <w:pStyle w:val="35"/>
              <w:jc w:val="left"/>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第四条</w:t>
            </w:r>
            <w:r>
              <w:rPr>
                <w:rFonts w:hint="default" w:ascii="Times New Roman" w:hAnsi="Times New Roman" w:cs="Times New Roman"/>
                <w:color w:val="auto"/>
                <w:highlight w:val="none"/>
              </w:rPr>
              <w:t>：“开发、利用、节约、保护水资源和防治水害，应当全面规划、统筹兼顾、标本兼治、综合利用、讲求效益，发挥水资源的多种功能，协调好生活、生产经营和生态环境用水”。</w:t>
            </w:r>
          </w:p>
        </w:tc>
        <w:tc>
          <w:tcPr>
            <w:tcW w:w="2614" w:type="pct"/>
            <w:vAlign w:val="center"/>
          </w:tcPr>
          <w:p w14:paraId="2C54A751">
            <w:pPr>
              <w:pStyle w:val="35"/>
              <w:jc w:val="left"/>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本规划严格遵循上述原则，立足南盘江（曲靖市境内）流域综合规划涉及的曲靖市3区4县，即麒麟区、沾益区、马龙区、罗平县、富源县、陆良县、师宗县的区域特性，统筹全流域水资源配置。在优先保障生态用水的前提下，统筹兼顾生活供水、农业灌溉及抽水蓄能等综合利用需求，实现流域水资源的高效利用与可持续发展。</w:t>
            </w:r>
          </w:p>
        </w:tc>
        <w:tc>
          <w:tcPr>
            <w:tcW w:w="392" w:type="pct"/>
            <w:vAlign w:val="center"/>
          </w:tcPr>
          <w:p w14:paraId="46A3A19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5F3C9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trPr>
        <w:tc>
          <w:tcPr>
            <w:tcW w:w="1994" w:type="pct"/>
            <w:vAlign w:val="center"/>
          </w:tcPr>
          <w:p w14:paraId="1A069CB5">
            <w:pPr>
              <w:pStyle w:val="35"/>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第八条</w:t>
            </w:r>
            <w:r>
              <w:rPr>
                <w:rFonts w:hint="default" w:ascii="Times New Roman" w:hAnsi="Times New Roman" w:cs="Times New Roman"/>
                <w:color w:val="auto"/>
                <w:highlight w:val="none"/>
              </w:rPr>
              <w:t>：“国家厉行节约用水，大力推行节约用水措施，推广节约用水新技术、新工艺，发展节水型工业、农业和服务业，建立节水型社会”。</w:t>
            </w:r>
          </w:p>
        </w:tc>
        <w:tc>
          <w:tcPr>
            <w:tcW w:w="2614" w:type="pct"/>
            <w:vMerge w:val="restart"/>
            <w:vAlign w:val="center"/>
          </w:tcPr>
          <w:p w14:paraId="0AB6962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南盘江（曲靖市境内）流域综合规划</w:t>
            </w:r>
            <w:r>
              <w:rPr>
                <w:rFonts w:hint="default" w:ascii="Times New Roman" w:hAnsi="Times New Roman" w:cs="Times New Roman"/>
                <w:color w:val="auto"/>
                <w:highlight w:val="none"/>
              </w:rPr>
              <w:t>即是从流域和区域统一制定规划，其中还从节约用水、保护水资源的角度规划了水资源规划、节约用水规划、水资源保护规划等专项规划。</w:t>
            </w:r>
          </w:p>
        </w:tc>
        <w:tc>
          <w:tcPr>
            <w:tcW w:w="392" w:type="pct"/>
            <w:vAlign w:val="center"/>
          </w:tcPr>
          <w:p w14:paraId="19AB648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3B7A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8" w:hRule="atLeast"/>
        </w:trPr>
        <w:tc>
          <w:tcPr>
            <w:tcW w:w="1994" w:type="pct"/>
            <w:vAlign w:val="center"/>
          </w:tcPr>
          <w:p w14:paraId="31FCADCD">
            <w:pPr>
              <w:pStyle w:val="35"/>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第十四条</w:t>
            </w:r>
            <w:r>
              <w:rPr>
                <w:rFonts w:hint="default" w:ascii="Times New Roman" w:hAnsi="Times New Roman" w:cs="Times New Roman"/>
                <w:color w:val="auto"/>
                <w:highlight w:val="none"/>
              </w:rPr>
              <w:t>：“开发、利用、节约、保护水资源和防治水害，应当按照流域、区域统一制定规划”。</w:t>
            </w:r>
          </w:p>
        </w:tc>
        <w:tc>
          <w:tcPr>
            <w:tcW w:w="2614" w:type="pct"/>
            <w:vMerge w:val="continue"/>
            <w:vAlign w:val="center"/>
          </w:tcPr>
          <w:p w14:paraId="45A459C7">
            <w:pPr>
              <w:pStyle w:val="35"/>
              <w:rPr>
                <w:rFonts w:hint="default" w:ascii="Times New Roman" w:hAnsi="Times New Roman" w:cs="Times New Roman"/>
                <w:color w:val="auto"/>
                <w:highlight w:val="none"/>
              </w:rPr>
            </w:pPr>
          </w:p>
        </w:tc>
        <w:tc>
          <w:tcPr>
            <w:tcW w:w="392" w:type="pct"/>
            <w:vAlign w:val="center"/>
          </w:tcPr>
          <w:p w14:paraId="4D150BF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0FAA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88" w:hRule="atLeast"/>
        </w:trPr>
        <w:tc>
          <w:tcPr>
            <w:tcW w:w="1994" w:type="pct"/>
            <w:vAlign w:val="center"/>
          </w:tcPr>
          <w:p w14:paraId="556884B7">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第二十条：</w:t>
            </w:r>
            <w:r>
              <w:rPr>
                <w:rFonts w:hint="default" w:ascii="Times New Roman" w:hAnsi="Times New Roman" w:cs="Times New Roman"/>
                <w:color w:val="auto"/>
                <w:highlight w:val="none"/>
              </w:rPr>
              <w:t>“开发、利用水资源，应当坚持兴利与除害相结合，兼顾上下游、左右岸和有关地区之间的利益，充分发挥水资源的综合效益，并服从防洪的总体安排。”</w:t>
            </w:r>
          </w:p>
        </w:tc>
        <w:tc>
          <w:tcPr>
            <w:tcW w:w="2614" w:type="pct"/>
            <w:vAlign w:val="center"/>
          </w:tcPr>
          <w:p w14:paraId="25B83EA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中重大水工程罗师灌区、富源灌区、沾马灌区、曲靖市牛栏江德泽水库引水济曲工程、陆良县引水入陆工程的建设，重点考虑流域节水减排与外流域引水调水并重，最终形成节水高效、多源互补、丰枯调剂、应急有备的水资源配置格局，实现区域水资源供需的大致平衡。</w:t>
            </w:r>
          </w:p>
        </w:tc>
        <w:tc>
          <w:tcPr>
            <w:tcW w:w="392" w:type="pct"/>
            <w:vAlign w:val="center"/>
          </w:tcPr>
          <w:p w14:paraId="2848E5F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582D8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8" w:hRule="atLeast"/>
        </w:trPr>
        <w:tc>
          <w:tcPr>
            <w:tcW w:w="1994" w:type="pct"/>
            <w:vAlign w:val="center"/>
          </w:tcPr>
          <w:p w14:paraId="189971C0">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第二十一条：</w:t>
            </w:r>
            <w:r>
              <w:rPr>
                <w:rFonts w:hint="default" w:ascii="Times New Roman" w:hAnsi="Times New Roman" w:cs="Times New Roman"/>
                <w:color w:val="auto"/>
                <w:highlight w:val="none"/>
              </w:rPr>
              <w:t>“开发、利用水资源，应当首先满足城乡居民生活用水，并兼顾农业、工业、生态环境用水以及航运等需要。”</w:t>
            </w:r>
          </w:p>
        </w:tc>
        <w:tc>
          <w:tcPr>
            <w:tcW w:w="2614" w:type="pct"/>
            <w:vAlign w:val="center"/>
          </w:tcPr>
          <w:p w14:paraId="51AD922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本规划坚持水资源可持续利用的原则，统筹协调流域内生活、生产和生态用水，合理配置地表水与地下水，平衡流域内需水要求与供水。</w:t>
            </w:r>
          </w:p>
        </w:tc>
        <w:tc>
          <w:tcPr>
            <w:tcW w:w="392" w:type="pct"/>
            <w:vAlign w:val="center"/>
          </w:tcPr>
          <w:p w14:paraId="0ACC3C2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bl>
    <w:p w14:paraId="30429B62">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与《中华人民共和国防洪法》的符合性分析</w:t>
      </w:r>
    </w:p>
    <w:p w14:paraId="48DCA7B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中华人民共和国防洪法》第四条规定：“开发利用和保护水资源，应当服从防洪总体安排，实行兴利与除害相结合的原则。江河、湖泊治理以及防洪工程设施建设，应当符合流域水资源和防治水害综合规划，与流域水资源的综合开发相结合。”</w:t>
      </w:r>
    </w:p>
    <w:p w14:paraId="541B714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范围内水资源时空分布不均，洪涝灾害时有发生，近年来，南盘江（曲靖市境内）现有记录洪涝灾害主要发生在喜旧溪河的罗平湾子一带、南盘江上游及支流喜旧溪、块泽河，存在河道蜿蜒曲折，河岸抗冲性能差，岸线和河势不稳、多处河岸滑坡，河道堵塞、变窄、人类活动频繁，降低了河道的行洪能力、河道本身抗洪性能差，实际防御洪水的能力较低等问题。据此，本流域规划中布局防洪减灾规划，包括南盘江干流10个河段新建及加高加固堤防工程、流域面积3000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的支流（黄泥河、甸溪河）2条河流开展综合治理、150条山洪沟治理、242件病险水库除险加固、49件病险水闸进行改造，以及非工程措施包括水文监测站网布局和预报体系建设规划、防洪预案与救灾措施规划、防汛智慧化建设、法制体制机制建设及超标洪水的防御对策等，将工程措施与非工程措施相结合，形成全过程、立体化的防洪减灾体系。</w:t>
      </w:r>
    </w:p>
    <w:p w14:paraId="1E5BFBE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因此，本规划符合《中华人民共和国防洪法》的相关规定。</w:t>
      </w:r>
    </w:p>
    <w:p w14:paraId="064FBC92">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与《中华人民共和国生态环境法典》的符合性分析</w:t>
      </w:r>
    </w:p>
    <w:p w14:paraId="18C3B9A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统筹流域水资源配置，主要包括防洪减灾、节约用水、城乡供水、灌溉、跨流域引调水、水力发电、水资源保护、河湖生态保护、水土保持规划等，规划重大水利工程类型有灌区工程、引调水工程、生态保护修复工程和改扩建水源工程，对照生态环境法典，对主要核心条款进行符合性分析。</w:t>
      </w:r>
    </w:p>
    <w:p w14:paraId="016A0865">
      <w:pPr>
        <w:pStyle w:val="29"/>
        <w:bidi w:val="0"/>
        <w:rPr>
          <w:rFonts w:hint="default"/>
          <w:color w:val="auto"/>
        </w:rPr>
      </w:pPr>
      <w:r>
        <w:rPr>
          <w:rFonts w:hint="default"/>
          <w:color w:val="auto"/>
        </w:rPr>
        <w:t>表2.4.1-2 本规划与《中华人民共和国生态环境法典》的符合性分析一览表</w:t>
      </w:r>
    </w:p>
    <w:tbl>
      <w:tblPr>
        <w:tblStyle w:val="2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3856"/>
        <w:gridCol w:w="3849"/>
        <w:gridCol w:w="654"/>
      </w:tblGrid>
      <w:tr w14:paraId="7A3B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trPr>
        <w:tc>
          <w:tcPr>
            <w:tcW w:w="2306" w:type="pct"/>
            <w:vAlign w:val="center"/>
          </w:tcPr>
          <w:p w14:paraId="15E1AF84">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《中华人民共和国生态环境法典》</w:t>
            </w:r>
          </w:p>
          <w:p w14:paraId="5BD0C403">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相关规定</w:t>
            </w:r>
          </w:p>
        </w:tc>
        <w:tc>
          <w:tcPr>
            <w:tcW w:w="2302" w:type="pct"/>
            <w:vAlign w:val="center"/>
          </w:tcPr>
          <w:p w14:paraId="72FC7F34">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本规划相关内容</w:t>
            </w:r>
          </w:p>
        </w:tc>
        <w:tc>
          <w:tcPr>
            <w:tcW w:w="391" w:type="pct"/>
            <w:vAlign w:val="center"/>
          </w:tcPr>
          <w:p w14:paraId="5BA8EA92">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符合情况</w:t>
            </w:r>
          </w:p>
        </w:tc>
      </w:tr>
      <w:tr w14:paraId="21C3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trPr>
        <w:tc>
          <w:tcPr>
            <w:tcW w:w="2306" w:type="pct"/>
            <w:vAlign w:val="center"/>
          </w:tcPr>
          <w:p w14:paraId="2F70390B">
            <w:pPr>
              <w:pStyle w:val="35"/>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第四十一条：</w:t>
            </w:r>
            <w:r>
              <w:rPr>
                <w:rFonts w:hint="default" w:ascii="Times New Roman" w:hAnsi="Times New Roman" w:cs="Times New Roman"/>
                <w:color w:val="auto"/>
                <w:highlight w:val="none"/>
              </w:rPr>
              <w:t>国家统筹水资源、水环境、水生态治理，加强水生态环境保护。国家实行水资源刚性约束制度，坚持以水定城、以水定地、以水定人、以水定产，促进人口和城市科学合理布局，构建与水资源承载能力相适应的现代产业体系，保障国家水安全。</w:t>
            </w:r>
          </w:p>
        </w:tc>
        <w:tc>
          <w:tcPr>
            <w:tcW w:w="2302" w:type="pct"/>
            <w:vAlign w:val="center"/>
          </w:tcPr>
          <w:p w14:paraId="7F491C41">
            <w:pPr>
              <w:pStyle w:val="35"/>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统筹流域水资源配置，以水定城、以水定地、以水定人、以水定产为核心，落实生态优先、生态流量刚性管控、生态空间分区管控。规划环评统筹评价水源工程、引调水工程、灌区工程对水文情势改变、灌区面源污染、水生生物连通性、水土流失等累积生态影响；规划布局、开发强度不突破流域水资源承载力、生态保护红线、自然保护地、饮用水水源管控底线，配套生态调度、生态修复、监测后评估</w:t>
            </w:r>
            <w:r>
              <w:rPr>
                <w:rFonts w:hint="default" w:ascii="Times New Roman" w:hAnsi="Times New Roman" w:cs="Times New Roman"/>
                <w:color w:val="auto"/>
                <w:highlight w:val="none"/>
                <w:lang w:eastAsia="zh-CN"/>
              </w:rPr>
              <w:t>体系</w:t>
            </w:r>
            <w:r>
              <w:rPr>
                <w:rFonts w:hint="default" w:ascii="Times New Roman" w:hAnsi="Times New Roman" w:cs="Times New Roman"/>
                <w:color w:val="auto"/>
                <w:highlight w:val="none"/>
              </w:rPr>
              <w:t>。</w:t>
            </w:r>
          </w:p>
        </w:tc>
        <w:tc>
          <w:tcPr>
            <w:tcW w:w="391" w:type="pct"/>
            <w:vAlign w:val="center"/>
          </w:tcPr>
          <w:p w14:paraId="32CDF1D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5BBC4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trPr>
        <w:tc>
          <w:tcPr>
            <w:tcW w:w="2306" w:type="pct"/>
            <w:vAlign w:val="center"/>
          </w:tcPr>
          <w:p w14:paraId="79C88332">
            <w:pPr>
              <w:pStyle w:val="35"/>
              <w:jc w:val="left"/>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第八十六条：</w:t>
            </w:r>
            <w:r>
              <w:rPr>
                <w:rFonts w:hint="default" w:ascii="Times New Roman" w:hAnsi="Times New Roman" w:cs="Times New Roman"/>
                <w:color w:val="auto"/>
                <w:highlight w:val="none"/>
              </w:rPr>
              <w:t>国务院有关部门、设区的市级以上地方人民政府及其有关部门，对其组织编制的国土空间规划，区域、流域、海域的建设、开发利用规划，应当在规划编制过程中组织进行生态环境影响评价，编写该规划有关生态环境影响的篇章或者说明。</w:t>
            </w:r>
          </w:p>
          <w:p w14:paraId="1768C2EF">
            <w:pPr>
              <w:pStyle w:val="35"/>
              <w:jc w:val="left"/>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第八十七条：</w:t>
            </w:r>
            <w:r>
              <w:rPr>
                <w:rFonts w:hint="default" w:ascii="Times New Roman" w:hAnsi="Times New Roman" w:cs="Times New Roman"/>
                <w:color w:val="auto"/>
                <w:highlight w:val="none"/>
              </w:rPr>
              <w:t>国务院有关部门、设区的市级以上地方人民政府及其有关部门，对其组织编制的工业、农业、林业、能源、水利、交通、城市和产业园区建设、旅游、自然资源开发的有关专项规划，应当在规划编制过程中组织进行生态环境影响评价，并向审批该专项规划的机关提出生态环境影响报告书。</w:t>
            </w:r>
          </w:p>
        </w:tc>
        <w:tc>
          <w:tcPr>
            <w:tcW w:w="2302" w:type="pct"/>
            <w:vAlign w:val="center"/>
          </w:tcPr>
          <w:p w14:paraId="290B03C5">
            <w:pPr>
              <w:pStyle w:val="35"/>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本流域综合规划，在规划编制过程中环评早期介入，编写了流域规划有关的生态环境影响篇章，且在规划编制过程中同步编制了规划</w:t>
            </w:r>
            <w:r>
              <w:rPr>
                <w:rFonts w:hint="eastAsia" w:cs="Times New Roman"/>
                <w:color w:val="auto"/>
                <w:highlight w:val="none"/>
                <w:lang w:val="en-US" w:eastAsia="zh-CN"/>
              </w:rPr>
              <w:t>生态</w:t>
            </w:r>
            <w:r>
              <w:rPr>
                <w:rFonts w:hint="default" w:ascii="Times New Roman" w:hAnsi="Times New Roman" w:cs="Times New Roman"/>
                <w:color w:val="auto"/>
                <w:highlight w:val="none"/>
              </w:rPr>
              <w:t>环境影响</w:t>
            </w:r>
            <w:r>
              <w:rPr>
                <w:rFonts w:hint="eastAsia" w:cs="Times New Roman"/>
                <w:color w:val="auto"/>
                <w:highlight w:val="none"/>
                <w:lang w:val="en-US" w:eastAsia="zh-CN"/>
              </w:rPr>
              <w:t>评价</w:t>
            </w:r>
            <w:r>
              <w:rPr>
                <w:rFonts w:hint="default" w:ascii="Times New Roman" w:hAnsi="Times New Roman" w:cs="Times New Roman"/>
                <w:color w:val="auto"/>
                <w:highlight w:val="none"/>
              </w:rPr>
              <w:t>报告书。</w:t>
            </w:r>
          </w:p>
        </w:tc>
        <w:tc>
          <w:tcPr>
            <w:tcW w:w="391" w:type="pct"/>
            <w:vAlign w:val="center"/>
          </w:tcPr>
          <w:p w14:paraId="269C783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34E49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74" w:hRule="atLeast"/>
        </w:trPr>
        <w:tc>
          <w:tcPr>
            <w:tcW w:w="2306" w:type="pct"/>
            <w:vAlign w:val="center"/>
          </w:tcPr>
          <w:p w14:paraId="13111442">
            <w:pPr>
              <w:pStyle w:val="35"/>
              <w:jc w:val="left"/>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第九十条：</w:t>
            </w:r>
            <w:r>
              <w:rPr>
                <w:rFonts w:hint="default" w:ascii="Times New Roman" w:hAnsi="Times New Roman" w:cs="Times New Roman"/>
                <w:color w:val="auto"/>
                <w:highlight w:val="none"/>
              </w:rPr>
              <w:t>专项规划的编制机关对可能造成不良生态环境影响并直接涉及公众生态环境权益的规划，应当在该规划草案报送审批前，举行论证会、听证会，或者采取其他形式，征求有关单位、专家和公众对生态环境影响报告书草案的意见。但是，国家规定不予公开的情形除外。</w:t>
            </w:r>
          </w:p>
        </w:tc>
        <w:tc>
          <w:tcPr>
            <w:tcW w:w="2302" w:type="pct"/>
            <w:vAlign w:val="center"/>
          </w:tcPr>
          <w:p w14:paraId="1142E173">
            <w:pPr>
              <w:pStyle w:val="35"/>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本流域规划也严格按照公众参与的要求，进行了环评的网上公示、现场公示和调查问卷工作。</w:t>
            </w:r>
          </w:p>
        </w:tc>
        <w:tc>
          <w:tcPr>
            <w:tcW w:w="391" w:type="pct"/>
            <w:vAlign w:val="center"/>
          </w:tcPr>
          <w:p w14:paraId="4DCFB87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1759C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trPr>
        <w:tc>
          <w:tcPr>
            <w:tcW w:w="2306" w:type="pct"/>
            <w:vAlign w:val="center"/>
          </w:tcPr>
          <w:p w14:paraId="0950911F">
            <w:pPr>
              <w:pStyle w:val="35"/>
              <w:jc w:val="left"/>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第二百六十八条：</w:t>
            </w:r>
            <w:r>
              <w:rPr>
                <w:rFonts w:hint="default" w:ascii="Times New Roman" w:hAnsi="Times New Roman" w:cs="Times New Roman"/>
                <w:color w:val="auto"/>
                <w:highlight w:val="none"/>
              </w:rPr>
              <w:t>水污染防治应当优先保护饮用水水源、保障饮用水安全，严格控制工业污染、城镇生活污染，防治农业面源污染，加强入河排污口设置和管理，积极推进生态治理工程建设，预防、控制和减少水环境污染和生态破坏。</w:t>
            </w:r>
          </w:p>
        </w:tc>
        <w:tc>
          <w:tcPr>
            <w:tcW w:w="2302" w:type="pct"/>
            <w:vAlign w:val="center"/>
          </w:tcPr>
          <w:p w14:paraId="72DBFF11">
            <w:pPr>
              <w:pStyle w:val="35"/>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内重点工程属非污染生态类项目，水资源配置时统筹考虑了取水断面下游生态需水，符合引调水工程“三先三后”原则。工程的实施对于削减区域污染物排放量，加快区域水污染治理和改善水生态环境等具有积极作用。</w:t>
            </w:r>
          </w:p>
        </w:tc>
        <w:tc>
          <w:tcPr>
            <w:tcW w:w="391" w:type="pct"/>
            <w:vAlign w:val="center"/>
          </w:tcPr>
          <w:p w14:paraId="7CD520D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5BF1A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72" w:hRule="atLeast"/>
        </w:trPr>
        <w:tc>
          <w:tcPr>
            <w:tcW w:w="2306" w:type="pct"/>
            <w:vAlign w:val="center"/>
          </w:tcPr>
          <w:p w14:paraId="0857A5C9">
            <w:pPr>
              <w:pStyle w:val="35"/>
              <w:jc w:val="left"/>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第七百四十八条</w:t>
            </w:r>
            <w:r>
              <w:rPr>
                <w:rFonts w:hint="default" w:ascii="Times New Roman" w:hAnsi="Times New Roman" w:cs="Times New Roman"/>
                <w:color w:val="auto"/>
                <w:highlight w:val="none"/>
              </w:rPr>
              <w:t>：国家加强江河湖泊生态用水保障，县级以上人民政府水行政主管部门、国务院水行政主管部门有关流域管理机构应当按照管理权限，确定重要江河控制断面生态流量和重要湖泊生态水位的管控指标。确定生态流量和生态水位的管控指标，应当进行科学论证，综合考虑水资源条件、气候状况、生态环境保护要求、生活生产用水状况等因素。</w:t>
            </w:r>
          </w:p>
        </w:tc>
        <w:tc>
          <w:tcPr>
            <w:tcW w:w="2302" w:type="pct"/>
            <w:vAlign w:val="center"/>
          </w:tcPr>
          <w:p w14:paraId="257FB470">
            <w:pPr>
              <w:pStyle w:val="35"/>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提出全面开展河湖控制断面和已建水利水电工程生态流量目标确定，加强生态流量泄放和调度；强化河湖水域岸线空间管控。江河湖库水源涵养与保护能力明显提升，重点河湖生态环境水量基本保障，水生态系统功能逐步恢复，河湖重要断面生态流量满足程度达到9</w:t>
            </w:r>
            <w:r>
              <w:rPr>
                <w:rFonts w:hint="eastAsia" w:ascii="Times New Roman" w:hAnsi="Times New Roman" w:cs="Times New Roman"/>
                <w:color w:val="auto"/>
                <w:highlight w:val="none"/>
                <w:lang w:val="en-US" w:eastAsia="zh-CN"/>
              </w:rPr>
              <w:t>0</w:t>
            </w:r>
            <w:r>
              <w:rPr>
                <w:rFonts w:hint="default" w:ascii="Times New Roman" w:hAnsi="Times New Roman" w:cs="Times New Roman"/>
                <w:color w:val="auto"/>
                <w:highlight w:val="none"/>
              </w:rPr>
              <w:t>%以上，实现水清、河畅、岸绿、景美。</w:t>
            </w:r>
          </w:p>
        </w:tc>
        <w:tc>
          <w:tcPr>
            <w:tcW w:w="391" w:type="pct"/>
            <w:vAlign w:val="center"/>
          </w:tcPr>
          <w:p w14:paraId="2F39EAC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45B0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86" w:hRule="atLeast"/>
        </w:trPr>
        <w:tc>
          <w:tcPr>
            <w:tcW w:w="2306" w:type="pct"/>
            <w:vAlign w:val="center"/>
          </w:tcPr>
          <w:p w14:paraId="6239C4DB">
            <w:pPr>
              <w:pStyle w:val="35"/>
              <w:jc w:val="left"/>
              <w:rPr>
                <w:rFonts w:hint="default" w:ascii="Times New Roman" w:hAnsi="Times New Roman" w:cs="Times New Roman"/>
                <w:color w:val="auto"/>
                <w:highlight w:val="none"/>
              </w:rPr>
            </w:pPr>
            <w:r>
              <w:rPr>
                <w:rFonts w:hint="default" w:ascii="Times New Roman" w:hAnsi="Times New Roman" w:cs="Times New Roman"/>
                <w:b/>
                <w:bCs/>
                <w:color w:val="auto"/>
                <w:highlight w:val="none"/>
              </w:rPr>
              <w:t>第七百七十八条：</w:t>
            </w:r>
            <w:r>
              <w:rPr>
                <w:rFonts w:hint="default" w:ascii="Times New Roman" w:hAnsi="Times New Roman" w:cs="Times New Roman"/>
                <w:color w:val="auto"/>
                <w:highlight w:val="none"/>
              </w:rPr>
              <w:t>保护、开发、利用、节约水资源和防治水害，应当全面规划、统筹兼顾、标本兼治、综合利用、讲求效益，实现水资源的可持续利用。</w:t>
            </w:r>
          </w:p>
        </w:tc>
        <w:tc>
          <w:tcPr>
            <w:tcW w:w="2302" w:type="pct"/>
            <w:vAlign w:val="center"/>
          </w:tcPr>
          <w:p w14:paraId="5D41E8B0">
            <w:pPr>
              <w:pStyle w:val="35"/>
              <w:jc w:val="left"/>
              <w:rPr>
                <w:rFonts w:hint="default" w:ascii="Times New Roman" w:hAnsi="Times New Roman" w:cs="Times New Roman"/>
                <w:color w:val="auto"/>
                <w:highlight w:val="none"/>
                <w:lang w:bidi="ar"/>
              </w:rPr>
            </w:pPr>
            <w:r>
              <w:rPr>
                <w:rFonts w:hint="default" w:ascii="Times New Roman" w:hAnsi="Times New Roman" w:cs="Times New Roman"/>
                <w:color w:val="auto"/>
                <w:highlight w:val="none"/>
                <w:lang w:bidi="ar"/>
              </w:rPr>
              <w:t>本规划在流域层面上统筹规划，统一调整水资源，提出生态流量保障措施，并在保证生态流量的前提下，合理实施水利工程、防洪工程、城乡供水工程、灌溉工程、水生态保护修复工程等，通过水利工程、城乡供水、灌溉、水生态保护和修复等规划的实施，从而实现流域开发与生态环境的和谐发展。</w:t>
            </w:r>
          </w:p>
        </w:tc>
        <w:tc>
          <w:tcPr>
            <w:tcW w:w="391" w:type="pct"/>
            <w:vAlign w:val="center"/>
          </w:tcPr>
          <w:p w14:paraId="44888DB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0F6AF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88" w:hRule="atLeast"/>
        </w:trPr>
        <w:tc>
          <w:tcPr>
            <w:tcW w:w="2306" w:type="pct"/>
            <w:vAlign w:val="center"/>
          </w:tcPr>
          <w:p w14:paraId="33E2722D">
            <w:pPr>
              <w:pStyle w:val="35"/>
              <w:jc w:val="left"/>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第七百九十条：</w:t>
            </w:r>
            <w:r>
              <w:rPr>
                <w:rFonts w:hint="default" w:ascii="Times New Roman" w:hAnsi="Times New Roman" w:cs="Times New Roman"/>
                <w:color w:val="auto"/>
                <w:highlight w:val="none"/>
              </w:rPr>
              <w:t>县级以上人民政府组织实施调水工程，应当进行全面规划和科学论证，统筹兼顾调出区和调入区的用水安全和生态安全，加强对调入区的节水管理，优化水资源配置，提高水资源承载能力，防止对生态环境造成破坏。</w:t>
            </w:r>
          </w:p>
        </w:tc>
        <w:tc>
          <w:tcPr>
            <w:tcW w:w="2302" w:type="pct"/>
            <w:vAlign w:val="center"/>
          </w:tcPr>
          <w:p w14:paraId="1142FF58">
            <w:pPr>
              <w:pStyle w:val="35"/>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以水资源承载力为刚性约束上限，在全面调查现状用水实情与系统评估用水水平的基础上，以水资源开发利用管控和节约保护目标为硬性边界，统筹协调、科学研判、综合平衡，合理确定支撑未来高质量发展所需的合理用水规模。规划实施牛栏江跨流域向南盘江补水，加快推进曲靖市牛栏江德泽水库引水济曲工程，进一步提高南盘江流域曲靖中心城区水资源调配能力，保障流域内社会经济高质量发展和生态安全。</w:t>
            </w:r>
          </w:p>
        </w:tc>
        <w:tc>
          <w:tcPr>
            <w:tcW w:w="391" w:type="pct"/>
            <w:vAlign w:val="center"/>
          </w:tcPr>
          <w:p w14:paraId="524A820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r w14:paraId="22F2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888" w:hRule="atLeast"/>
        </w:trPr>
        <w:tc>
          <w:tcPr>
            <w:tcW w:w="2306" w:type="pct"/>
            <w:vAlign w:val="center"/>
          </w:tcPr>
          <w:p w14:paraId="69F8FC68">
            <w:pPr>
              <w:pStyle w:val="35"/>
              <w:jc w:val="left"/>
              <w:rPr>
                <w:rFonts w:hint="default" w:ascii="Times New Roman" w:hAnsi="Times New Roman" w:cs="Times New Roman"/>
                <w:b/>
                <w:bCs/>
                <w:color w:val="auto"/>
                <w:highlight w:val="none"/>
              </w:rPr>
            </w:pPr>
            <w:r>
              <w:rPr>
                <w:rFonts w:hint="default" w:ascii="Times New Roman" w:hAnsi="Times New Roman" w:cs="Times New Roman"/>
                <w:b/>
                <w:bCs/>
                <w:color w:val="auto"/>
                <w:highlight w:val="none"/>
              </w:rPr>
              <w:t>第七百九十一条：</w:t>
            </w:r>
            <w:r>
              <w:rPr>
                <w:rFonts w:hint="default" w:ascii="Times New Roman" w:hAnsi="Times New Roman" w:cs="Times New Roman"/>
                <w:color w:val="auto"/>
                <w:highlight w:val="none"/>
              </w:rPr>
              <w:t>开发利用水资源，应当维护水体的生态功能，防止对水生态造成破坏。开发、利用水资源，应当优先满足城乡居民生活用水，保障生态用水，统筹农业、工业用水等需求。</w:t>
            </w:r>
          </w:p>
        </w:tc>
        <w:tc>
          <w:tcPr>
            <w:tcW w:w="2302" w:type="pct"/>
            <w:vAlign w:val="center"/>
          </w:tcPr>
          <w:p w14:paraId="0FF8139A">
            <w:pPr>
              <w:pStyle w:val="35"/>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南盘江（曲靖市境内）流域综合规划水资源配置思路是优先满足城乡居民生活用水，保障基本生态用水，并统筹农业以及工业用水等需要。</w:t>
            </w:r>
          </w:p>
        </w:tc>
        <w:tc>
          <w:tcPr>
            <w:tcW w:w="391" w:type="pct"/>
            <w:vAlign w:val="center"/>
          </w:tcPr>
          <w:p w14:paraId="3B14AB0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符合</w:t>
            </w:r>
          </w:p>
        </w:tc>
      </w:tr>
    </w:tbl>
    <w:p w14:paraId="2038F69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及规划环评，规划内容包括防洪减灾、灌区工程、水库工程、引调水工程、水生态保护和修复工程，属于法典规定应当开展规划生态环境影响评价的流域开发类规划；规划编制及环评工作落实“生态优先、系统治理、源头预防”原则，工程布局、水资源开发强度基本符合生态环境分区管控、生态保护红线、资源利用上线等管控要求；开发、利用水资源，应当优先满足城乡居民生活用水，保障生态用水，统筹农业、工业用水等需求。</w:t>
      </w:r>
    </w:p>
    <w:p w14:paraId="581034E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综合分析，本规划与《中华人民共和国生态环境法典》是符合的。</w:t>
      </w:r>
    </w:p>
    <w:p w14:paraId="3C01E8D5">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与《中华人民共和国水土保持法》的符合性分析</w:t>
      </w:r>
    </w:p>
    <w:p w14:paraId="7B2C7C3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中华人民共和国水土保持法》第十五条规定：“有关基础设施建设、矿产资源开发、城镇建设、公共服务设施建设等方面的规划，在实施过程中可能造成水土流失的，规划的组织编制机关应当在规划中提出水土流失预防和治理的对策和措施，并在规划报请审批前征求本级人民政府水行政主管部门的意见。”</w:t>
      </w:r>
    </w:p>
    <w:p w14:paraId="3269FB6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为流域综合规划，包括了水土保持规划，围绕南盘江（曲靖市境内）流域水土流失特点和分布情况，以水土流失减量降级为主要任务，加快推进农林开发水土流失防治，全面推动小流域综合治理提质增效，实现重点防治区水土流失得到全面治理，人为水土流失得到全面控制。水土保持监管能力显著提升，生产建设项目水土流失得到有效管控。农林开发等生产建设活动水土流失管控制度基本建立，生态系统水土保持功能稳步提升，参照《中华人民共和国水土保持法》第十五条规定：“在流域开发的同时进行水土流失的预防和治理”是相一致的。</w:t>
      </w:r>
    </w:p>
    <w:p w14:paraId="45F5D83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因此，本规划与《中华人民共和国水土保持法》是相符的。</w:t>
      </w:r>
    </w:p>
    <w:p w14:paraId="3D133261">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与《中华人民共和国文物保护法》的符合性分析</w:t>
      </w:r>
    </w:p>
    <w:p w14:paraId="15A597F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中华人民共和国文物保护法》第二十条规定：“建设工程选址，应当尽可能避开不可移动文物。因特殊情况不能避开的，对文物保护单位应当尽可能实施原址保护。实施原址保护的，建设单位应当事先确定保护措施，根据文物保护单位的级别报相应的文物行政部门批准，并将保护措施列入可行性研究报告或者设计任务书。无法实施原址保护，必须迁移异地保护或者拆除的，应当报省、自治区、直辖市人民政府批准。迁移或者拆除省级文物保护单位的，批准前须征得国务院文物行政部门同意。全国重点文物保护单位不得拆除。需要迁移的，须由省、自治区、直辖市人民政府报国务院批准。本条规定的原址保护、迁移、拆除所需费用，由建设单位列入建设工程预算。”第三十二条规定：“在进行建设工程或者在农业生产中，任何单位或者个人发现文物，应当保护现场，立即报告当地文物行政部门，文物行政部门接到报告后，如无特殊情况，应当在二十四小时内赶赴现场，并在七日内提出处理意见。依照前款规定发现的文物属于国家所有，任何单位或者个人不得哄抢、私分、藏匿。”</w:t>
      </w:r>
    </w:p>
    <w:p w14:paraId="748488F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曲靖市是云南省文物资源最为丰富的县市，目前，全市有不可移动文物1218处，规划范围内分布有多处文物保护单位，现阶段初步判断规划工程未有对文物带来较大影响的项目。规划项目在下阶段开展选址选线时，应首先对文物古迹进行调查识别，如发现文物古迹，在工程开工前，应报文物保护行政主管部门批准。在工程建设中，做好文物保护工作。因此，在征求行政主管部门意见和落实相关保护措施前提下，本规划符合《中华人民共和国文物保护法》相关要求。</w:t>
      </w:r>
    </w:p>
    <w:p w14:paraId="5858E7AE">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与《中华人民共和国湿地保护法》的符合性分析</w:t>
      </w:r>
    </w:p>
    <w:p w14:paraId="586A3B8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中华人民共和国湿地保护法》，“第二十八条禁止下列破坏湿地及其生态功能的行为：（一）开（围）垦、排干自然湿地，永久性截断自然湿地水源；（二）擅自填埋自然湿地，擅自采砂、采矿、取土；（三）排放不符合水污染物排放标准的工业废水、生活污水及其他污染湿地的废水、污水，倾倒、堆放、丢弃、遗撒固体废物；（四）过度放牧或者滥采野生植物，过度捕捞或者灭绝式捕捞，过度施肥、投药、投放饵料等污染湿地的种植养殖行为；（五）其他破坏湿地及其生态功能的行为。”</w:t>
      </w:r>
    </w:p>
    <w:p w14:paraId="4B9B09F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根据叠图分析，规划项目不涉及湿地公园；自然保护地优化整合后，罗师灌区工程涉及云南师宗丹凤湿地公园一般控制区，规划工程不属于</w:t>
      </w:r>
      <w:r>
        <w:rPr>
          <w:rFonts w:hint="default" w:ascii="Times New Roman" w:hAnsi="Times New Roman" w:cs="Times New Roman" w:eastAsiaTheme="minorEastAsia"/>
          <w:color w:val="auto"/>
          <w:highlight w:val="none"/>
        </w:rPr>
        <w:t>《中华人民共和国湿地保护法》</w:t>
      </w:r>
      <w:r>
        <w:rPr>
          <w:rFonts w:hint="default" w:ascii="Times New Roman" w:hAnsi="Times New Roman" w:cs="Times New Roman"/>
          <w:color w:val="auto"/>
          <w:highlight w:val="none"/>
        </w:rPr>
        <w:t>内禁止项目。项目实施前根据</w:t>
      </w:r>
      <w:r>
        <w:rPr>
          <w:rFonts w:hint="default" w:ascii="Times New Roman" w:hAnsi="Times New Roman" w:cs="Times New Roman" w:eastAsiaTheme="minorEastAsia"/>
          <w:color w:val="auto"/>
          <w:highlight w:val="none"/>
        </w:rPr>
        <w:t>《中华人民共和国湿地保护法》等文件要求办理相关手续。在此基础上，</w:t>
      </w:r>
      <w:r>
        <w:rPr>
          <w:rFonts w:hint="default" w:ascii="Times New Roman" w:hAnsi="Times New Roman" w:cs="Times New Roman"/>
          <w:color w:val="auto"/>
          <w:highlight w:val="none"/>
        </w:rPr>
        <w:t>规划工程的实施与《中华人民共和国湿地保护法》相关要求不冲突。</w:t>
      </w:r>
    </w:p>
    <w:p w14:paraId="50979584">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与《中华人民共和国野生动物保护法》的符合性分析</w:t>
      </w:r>
    </w:p>
    <w:p w14:paraId="131F0CD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中华人民共和国野生动物保护法》第十三条：县级以上人民政府及其有关部门在编制有关开发利用规划时，应当充分考虑野生动物及其栖息地保护的需要，分析、预测和评估规划实施可能对野生动物及其栖息地保护产生的整体影响，避免或者减少规划实施可能造成的不利后果。</w:t>
      </w:r>
    </w:p>
    <w:p w14:paraId="293D378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在自然保护地建设法律法规规定不得建设的项目。机场、铁路、公路、航道、水利水电、风电、光伏发电、围堰、围填海等建设项目的选址选线，应当避让自然保护地以及其他野生动物重要栖息地、迁徙洄游通道；确实无法避让的，应当采取修建野生动物通道、过鱼设施等措施，消除或者减少对野生动物的不利影响。</w:t>
      </w:r>
    </w:p>
    <w:p w14:paraId="2C8712B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工程项目可能对自然保护地以及其他野生动物重要栖息地、迁徙洄游通道产生影响的，环境影响评价文件的审批部门在审批环境影响评价文件时，涉及国家重点保护野生动物的，应当征求国务院野生动物保护主管部门意见；涉及地方重点保护野生动物的，应当征求省、自治区、直辖市人民政府野生动物保护主管部门意见。</w:t>
      </w:r>
    </w:p>
    <w:p w14:paraId="6C89684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根据本阶段复核，规划的重点工程不涉及野生动物重要栖息地、迁徙洄游通道，云南省南盘江（珠江源头）生态保护修复工程约36.63hm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自然保护区实验区，但不涉及自然保护区的核心区和缓冲区，自然保护地优化整合后不再涉及该自然保护区。规划重点工程均为水利工程和水生态保护和修复工程，工程不属于《中华人民共和国自然保护区条例》规定的一般控制区内禁止建设的项目类型。下阶段应重点对保护区内工程进行详细现场踏勘、复核，优化布置方案，进一步减少占用保护区面积，避让自然保护区；确实无法避让的，可按照《条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省林业和草原局关于规范在森林和野生动物类型自然保护区修筑设施生物多样性影响评价有关事项的通知》等要求编写生物多样性影响评价报告，提出项目对于野生动物的影响以及应当采取的野生动物保护措施，并按照相关法律法规要求办理手续并取得主管部门许可，以此消除或者减少对野生动物的不利影响。</w:t>
      </w:r>
    </w:p>
    <w:p w14:paraId="52201B0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综上，在采取野生动物保护措施后，本规划与《中华人民共和国野生动物保护法》不冲突。</w:t>
      </w:r>
    </w:p>
    <w:p w14:paraId="0FEEB4F4">
      <w:pPr>
        <w:pStyle w:val="6"/>
        <w:keepNext w:val="0"/>
        <w:keepLines w:val="0"/>
        <w:numPr>
          <w:ilvl w:val="3"/>
          <w:numId w:val="4"/>
        </w:numPr>
        <w:spacing w:before="374" w:after="249"/>
        <w:ind w:left="0" w:firstLine="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与《云南省长江经济带发展负面清单指南实施细则（试行）2022年版》的符合性分析</w:t>
      </w:r>
    </w:p>
    <w:p w14:paraId="192B79BF">
      <w:pPr>
        <w:ind w:firstLine="480" w:firstLineChars="20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本规划与《云南省长江经济带发展负面清单指南实施细则（试行，2022年版）》相符性分析如下。</w:t>
      </w:r>
    </w:p>
    <w:p w14:paraId="33EA4D2F">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表2.4.1-3 规划与《云南省长江经济带发展负面清单指南》的符合性分析</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454"/>
        <w:gridCol w:w="4234"/>
        <w:gridCol w:w="2995"/>
        <w:gridCol w:w="645"/>
      </w:tblGrid>
      <w:tr w14:paraId="0399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526" w:hRule="atLeast"/>
          <w:jc w:val="center"/>
        </w:trPr>
        <w:tc>
          <w:tcPr>
            <w:tcW w:w="2815" w:type="pct"/>
            <w:gridSpan w:val="2"/>
            <w:tcBorders>
              <w:top w:val="single" w:color="auto" w:sz="4" w:space="0"/>
              <w:left w:val="single" w:color="auto" w:sz="4" w:space="0"/>
              <w:bottom w:val="single" w:color="auto" w:sz="4" w:space="0"/>
              <w:right w:val="single" w:color="auto" w:sz="4" w:space="0"/>
            </w:tcBorders>
            <w:vAlign w:val="center"/>
          </w:tcPr>
          <w:p w14:paraId="3E9FD1C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云南省长江经济带发展负面清单指南实施细则</w:t>
            </w:r>
          </w:p>
        </w:tc>
        <w:tc>
          <w:tcPr>
            <w:tcW w:w="1798" w:type="pct"/>
            <w:tcBorders>
              <w:top w:val="single" w:color="auto" w:sz="4" w:space="0"/>
              <w:left w:val="nil"/>
              <w:bottom w:val="single" w:color="auto" w:sz="4" w:space="0"/>
              <w:right w:val="single" w:color="auto" w:sz="4" w:space="0"/>
            </w:tcBorders>
            <w:vAlign w:val="center"/>
          </w:tcPr>
          <w:p w14:paraId="143F80A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项目情况</w:t>
            </w:r>
          </w:p>
        </w:tc>
        <w:tc>
          <w:tcPr>
            <w:tcW w:w="387" w:type="pct"/>
            <w:tcBorders>
              <w:top w:val="single" w:color="auto" w:sz="4" w:space="0"/>
              <w:left w:val="nil"/>
              <w:bottom w:val="single" w:color="auto" w:sz="4" w:space="0"/>
              <w:right w:val="single" w:color="auto" w:sz="4" w:space="0"/>
            </w:tcBorders>
            <w:vAlign w:val="center"/>
          </w:tcPr>
          <w:p w14:paraId="6336895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是否</w:t>
            </w:r>
          </w:p>
          <w:p w14:paraId="3E3EA05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F673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2CA9E7CC">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2542" w:type="pct"/>
            <w:tcBorders>
              <w:top w:val="single" w:color="auto" w:sz="4" w:space="0"/>
              <w:left w:val="nil"/>
              <w:bottom w:val="single" w:color="auto" w:sz="4" w:space="0"/>
              <w:right w:val="single" w:color="auto" w:sz="4" w:space="0"/>
            </w:tcBorders>
            <w:vAlign w:val="center"/>
          </w:tcPr>
          <w:p w14:paraId="0D2E3B14">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1798" w:type="pct"/>
            <w:tcBorders>
              <w:top w:val="single" w:color="auto" w:sz="4" w:space="0"/>
              <w:left w:val="nil"/>
              <w:bottom w:val="single" w:color="auto" w:sz="4" w:space="0"/>
              <w:right w:val="single" w:color="auto" w:sz="4" w:space="0"/>
            </w:tcBorders>
            <w:vAlign w:val="center"/>
          </w:tcPr>
          <w:p w14:paraId="419D2A0F">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规划项目云南省南盘江（珠江源头）生态保护修复工程约36.63hm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涉及珠江源省级自然保护区实验区，不涉及自然保护区的核心区和缓冲区；自然保护地优化整合后不再涉及该自然保护区。</w:t>
            </w:r>
          </w:p>
        </w:tc>
        <w:tc>
          <w:tcPr>
            <w:tcW w:w="387" w:type="pct"/>
            <w:tcBorders>
              <w:top w:val="single" w:color="auto" w:sz="4" w:space="0"/>
              <w:left w:val="nil"/>
              <w:bottom w:val="single" w:color="auto" w:sz="4" w:space="0"/>
              <w:right w:val="single" w:color="auto" w:sz="4" w:space="0"/>
            </w:tcBorders>
            <w:vAlign w:val="center"/>
          </w:tcPr>
          <w:p w14:paraId="4563595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2098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064C1AD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w:t>
            </w:r>
          </w:p>
        </w:tc>
        <w:tc>
          <w:tcPr>
            <w:tcW w:w="2542" w:type="pct"/>
            <w:tcBorders>
              <w:top w:val="single" w:color="auto" w:sz="4" w:space="0"/>
              <w:left w:val="nil"/>
              <w:bottom w:val="single" w:color="auto" w:sz="4" w:space="0"/>
              <w:right w:val="single" w:color="auto" w:sz="4" w:space="0"/>
            </w:tcBorders>
            <w:vAlign w:val="center"/>
          </w:tcPr>
          <w:p w14:paraId="30ADAEC6">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风景名胜区核心景区的岸线和河段范围内投资建设与风景名胜资源保护无关的项目。禁止在风景名胜区内进行开山、采石、开矿、开荒、修坟立碑等破坏景观、植被和地形地貌的活动以及修建储存爆炸性、易燃性、放射性、毒害性、腐蚀性物品的设施；禁止在风景名胜区内设立开发区和在核心景区内建设宾馆、会所、培训中心、疗养院以及与风景名胜资源保护无关的投资建设项目。</w:t>
            </w:r>
          </w:p>
        </w:tc>
        <w:tc>
          <w:tcPr>
            <w:tcW w:w="1798" w:type="pct"/>
            <w:tcBorders>
              <w:top w:val="single" w:color="auto" w:sz="4" w:space="0"/>
              <w:left w:val="nil"/>
              <w:bottom w:val="single" w:color="auto" w:sz="4" w:space="0"/>
              <w:right w:val="single" w:color="auto" w:sz="4" w:space="0"/>
            </w:tcBorders>
            <w:vAlign w:val="center"/>
          </w:tcPr>
          <w:p w14:paraId="12CD7761">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规划重大水利工程有涉及风景名胜区一般控制区，但不涉及核心景区，且不属于风景名胜区内禁止类项目，与风景名胜区相关管理条例不存在冲突。</w:t>
            </w:r>
          </w:p>
          <w:p w14:paraId="1216BC85">
            <w:pPr>
              <w:spacing w:line="240" w:lineRule="auto"/>
              <w:jc w:val="left"/>
              <w:rPr>
                <w:rFonts w:hint="default" w:ascii="Times New Roman" w:hAnsi="Times New Roman" w:cs="Times New Roman"/>
                <w:color w:val="auto"/>
                <w:sz w:val="21"/>
                <w:szCs w:val="21"/>
                <w:highlight w:val="none"/>
              </w:rPr>
            </w:pPr>
          </w:p>
        </w:tc>
        <w:tc>
          <w:tcPr>
            <w:tcW w:w="387" w:type="pct"/>
            <w:tcBorders>
              <w:top w:val="single" w:color="auto" w:sz="4" w:space="0"/>
              <w:left w:val="nil"/>
              <w:bottom w:val="single" w:color="auto" w:sz="4" w:space="0"/>
              <w:right w:val="single" w:color="auto" w:sz="4" w:space="0"/>
            </w:tcBorders>
            <w:vAlign w:val="center"/>
          </w:tcPr>
          <w:p w14:paraId="0D4B04F3">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7DC2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429" w:hRule="atLeast"/>
          <w:jc w:val="center"/>
        </w:trPr>
        <w:tc>
          <w:tcPr>
            <w:tcW w:w="273" w:type="pct"/>
            <w:tcBorders>
              <w:top w:val="single" w:color="auto" w:sz="4" w:space="0"/>
              <w:left w:val="single" w:color="auto" w:sz="4" w:space="0"/>
              <w:bottom w:val="single" w:color="auto" w:sz="4" w:space="0"/>
              <w:right w:val="single" w:color="auto" w:sz="4" w:space="0"/>
            </w:tcBorders>
            <w:vAlign w:val="center"/>
          </w:tcPr>
          <w:p w14:paraId="13AAF07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w:t>
            </w:r>
          </w:p>
        </w:tc>
        <w:tc>
          <w:tcPr>
            <w:tcW w:w="2542" w:type="pct"/>
            <w:tcBorders>
              <w:top w:val="single" w:color="auto" w:sz="4" w:space="0"/>
              <w:left w:val="nil"/>
              <w:bottom w:val="single" w:color="auto" w:sz="4" w:space="0"/>
              <w:right w:val="single" w:color="auto" w:sz="4" w:space="0"/>
            </w:tcBorders>
            <w:vAlign w:val="center"/>
          </w:tcPr>
          <w:p w14:paraId="1FD84739">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1798" w:type="pct"/>
            <w:tcBorders>
              <w:top w:val="single" w:color="auto" w:sz="4" w:space="0"/>
              <w:left w:val="nil"/>
              <w:bottom w:val="single" w:color="auto" w:sz="4" w:space="0"/>
              <w:right w:val="single" w:color="auto" w:sz="4" w:space="0"/>
            </w:tcBorders>
            <w:vAlign w:val="center"/>
          </w:tcPr>
          <w:p w14:paraId="47311373">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规划重大水利工程属于与供水设施相关项目，满足水源保护区管理规定要求。严格落实施工期“三废”的处理及处置，工程建设后不产生污染。</w:t>
            </w:r>
          </w:p>
        </w:tc>
        <w:tc>
          <w:tcPr>
            <w:tcW w:w="387" w:type="pct"/>
            <w:tcBorders>
              <w:top w:val="single" w:color="auto" w:sz="4" w:space="0"/>
              <w:left w:val="nil"/>
              <w:bottom w:val="single" w:color="auto" w:sz="4" w:space="0"/>
              <w:right w:val="single" w:color="auto" w:sz="4" w:space="0"/>
            </w:tcBorders>
            <w:vAlign w:val="center"/>
          </w:tcPr>
          <w:p w14:paraId="40C3F00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CAEF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12E30D4D">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4</w:t>
            </w:r>
          </w:p>
        </w:tc>
        <w:tc>
          <w:tcPr>
            <w:tcW w:w="2542" w:type="pct"/>
            <w:tcBorders>
              <w:top w:val="single" w:color="auto" w:sz="4" w:space="0"/>
              <w:left w:val="nil"/>
              <w:bottom w:val="single" w:color="auto" w:sz="4" w:space="0"/>
              <w:right w:val="single" w:color="auto" w:sz="4" w:space="0"/>
            </w:tcBorders>
            <w:vAlign w:val="center"/>
          </w:tcPr>
          <w:p w14:paraId="2B81F89F">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水产种质资源保护区的岸线和河段范围内新建围湖造田、围湖造地或围填海等投资建设项目。禁止擅自征收、占用国家湿地公园的土地；禁止在国家湿地公园内挖沙、采矿，以及建设度假村、高尔夫球场等任何不符合主体功能定位的投资建设项目。</w:t>
            </w:r>
          </w:p>
        </w:tc>
        <w:tc>
          <w:tcPr>
            <w:tcW w:w="1798" w:type="pct"/>
            <w:tcBorders>
              <w:top w:val="single" w:color="auto" w:sz="4" w:space="0"/>
              <w:left w:val="nil"/>
              <w:bottom w:val="single" w:color="auto" w:sz="4" w:space="0"/>
              <w:right w:val="single" w:color="auto" w:sz="4" w:space="0"/>
            </w:tcBorders>
            <w:vAlign w:val="center"/>
          </w:tcPr>
          <w:p w14:paraId="342BC7B3">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根据本阶段规划成果，规划重大水利工程不涉及水产种质资源保护区岸线和河段范围；也不涉及国家湿地公园。</w:t>
            </w:r>
          </w:p>
        </w:tc>
        <w:tc>
          <w:tcPr>
            <w:tcW w:w="387" w:type="pct"/>
            <w:tcBorders>
              <w:top w:val="single" w:color="auto" w:sz="4" w:space="0"/>
              <w:left w:val="nil"/>
              <w:bottom w:val="single" w:color="auto" w:sz="4" w:space="0"/>
              <w:right w:val="single" w:color="auto" w:sz="4" w:space="0"/>
            </w:tcBorders>
            <w:vAlign w:val="center"/>
          </w:tcPr>
          <w:p w14:paraId="0E98F300">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3E82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7FAF2D4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w:t>
            </w:r>
          </w:p>
        </w:tc>
        <w:tc>
          <w:tcPr>
            <w:tcW w:w="2542" w:type="pct"/>
            <w:tcBorders>
              <w:top w:val="single" w:color="auto" w:sz="4" w:space="0"/>
              <w:left w:val="nil"/>
              <w:bottom w:val="single" w:color="auto" w:sz="4" w:space="0"/>
              <w:right w:val="single" w:color="auto" w:sz="4" w:space="0"/>
            </w:tcBorders>
            <w:vAlign w:val="center"/>
          </w:tcPr>
          <w:p w14:paraId="7E6925C1">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违法利用、占用长江流域河湖岸线。禁止在金沙江岸线保护区和保留区内投资建设除事关公共安全及公众利益的防洪护岸、河道治理、供水、生态环境保护、航道整治、国家重要基础设施以外的项目。禁止在金沙江干流、九大高原湖泊保护区、保留区内投资建设不利于水资源及自然生态保护的项目。</w:t>
            </w:r>
          </w:p>
        </w:tc>
        <w:tc>
          <w:tcPr>
            <w:tcW w:w="1798" w:type="pct"/>
            <w:tcBorders>
              <w:top w:val="single" w:color="auto" w:sz="4" w:space="0"/>
              <w:left w:val="nil"/>
              <w:bottom w:val="single" w:color="auto" w:sz="4" w:space="0"/>
              <w:right w:val="single" w:color="auto" w:sz="4" w:space="0"/>
            </w:tcBorders>
            <w:vAlign w:val="center"/>
          </w:tcPr>
          <w:p w14:paraId="22DA4E08">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规划重大水利工程所在区域不涉及长江流域河湖岸线、金沙江岸线保护区和保留区、金沙江干流、九大高原湖泊保护区、保留区。</w:t>
            </w:r>
          </w:p>
        </w:tc>
        <w:tc>
          <w:tcPr>
            <w:tcW w:w="387" w:type="pct"/>
            <w:tcBorders>
              <w:top w:val="single" w:color="auto" w:sz="4" w:space="0"/>
              <w:left w:val="nil"/>
              <w:bottom w:val="single" w:color="auto" w:sz="4" w:space="0"/>
              <w:right w:val="single" w:color="auto" w:sz="4" w:space="0"/>
            </w:tcBorders>
            <w:vAlign w:val="center"/>
          </w:tcPr>
          <w:p w14:paraId="2BF0588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64BC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2091D6B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6</w:t>
            </w:r>
          </w:p>
        </w:tc>
        <w:tc>
          <w:tcPr>
            <w:tcW w:w="2542" w:type="pct"/>
            <w:tcBorders>
              <w:top w:val="single" w:color="auto" w:sz="4" w:space="0"/>
              <w:left w:val="nil"/>
              <w:bottom w:val="single" w:color="auto" w:sz="4" w:space="0"/>
              <w:right w:val="single" w:color="auto" w:sz="4" w:space="0"/>
            </w:tcBorders>
            <w:vAlign w:val="center"/>
          </w:tcPr>
          <w:p w14:paraId="15E6C5C2">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禁止在金沙江干流、长江一级支流建设除党中央、国务院、国家投资主管部门、省级有关部门批复同意以外的过江基础设</w:t>
            </w:r>
            <w:r>
              <w:rPr>
                <w:rFonts w:hint="default" w:ascii="Times New Roman" w:hAnsi="Times New Roman" w:cs="Times New Roman"/>
                <w:color w:val="auto"/>
                <w:sz w:val="21"/>
                <w:szCs w:val="21"/>
                <w:highlight w:val="none"/>
                <w:lang w:eastAsia="zh-CN"/>
              </w:rPr>
              <w:t>施项</w:t>
            </w:r>
            <w:r>
              <w:rPr>
                <w:rFonts w:hint="default" w:ascii="Times New Roman" w:hAnsi="Times New Roman" w:cs="Times New Roman"/>
                <w:color w:val="auto"/>
                <w:sz w:val="21"/>
                <w:szCs w:val="21"/>
                <w:highlight w:val="none"/>
              </w:rPr>
              <w:t>目；禁止未经许可在金沙江干流、长江一级支流、九大高原湖泊流域新设、改设或扩大排污口。</w:t>
            </w:r>
          </w:p>
        </w:tc>
        <w:tc>
          <w:tcPr>
            <w:tcW w:w="1798" w:type="pct"/>
            <w:tcBorders>
              <w:top w:val="single" w:color="auto" w:sz="4" w:space="0"/>
              <w:left w:val="nil"/>
              <w:bottom w:val="single" w:color="auto" w:sz="4" w:space="0"/>
              <w:right w:val="single" w:color="auto" w:sz="4" w:space="0"/>
            </w:tcBorders>
            <w:vAlign w:val="center"/>
          </w:tcPr>
          <w:p w14:paraId="513D5B73">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规划重大水利工程所在区域不涉及金沙江干流、长江一级支流、不在金沙江干流、长江一级支流、九大高原湖泊流域新设、改设或扩大排污口。</w:t>
            </w:r>
          </w:p>
        </w:tc>
        <w:tc>
          <w:tcPr>
            <w:tcW w:w="387" w:type="pct"/>
            <w:tcBorders>
              <w:top w:val="single" w:color="auto" w:sz="4" w:space="0"/>
              <w:left w:val="nil"/>
              <w:bottom w:val="single" w:color="auto" w:sz="4" w:space="0"/>
              <w:right w:val="single" w:color="auto" w:sz="4" w:space="0"/>
            </w:tcBorders>
            <w:vAlign w:val="center"/>
          </w:tcPr>
          <w:p w14:paraId="39EA188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77A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394D5A88">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7</w:t>
            </w:r>
          </w:p>
        </w:tc>
        <w:tc>
          <w:tcPr>
            <w:tcW w:w="2542" w:type="pct"/>
            <w:tcBorders>
              <w:top w:val="single" w:color="auto" w:sz="4" w:space="0"/>
              <w:left w:val="nil"/>
              <w:bottom w:val="single" w:color="auto" w:sz="4" w:space="0"/>
              <w:right w:val="single" w:color="auto" w:sz="4" w:space="0"/>
            </w:tcBorders>
            <w:vAlign w:val="center"/>
          </w:tcPr>
          <w:p w14:paraId="6796F20A">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禁止在金沙江干流、长江一级支流、水生生物保护区和长江流域禁捕水域开展天然渔业资源生产性捕捞。</w:t>
            </w:r>
          </w:p>
        </w:tc>
        <w:tc>
          <w:tcPr>
            <w:tcW w:w="1798" w:type="pct"/>
            <w:tcBorders>
              <w:top w:val="single" w:color="auto" w:sz="4" w:space="0"/>
              <w:left w:val="nil"/>
              <w:bottom w:val="single" w:color="auto" w:sz="4" w:space="0"/>
              <w:right w:val="single" w:color="auto" w:sz="4" w:space="0"/>
            </w:tcBorders>
            <w:vAlign w:val="center"/>
          </w:tcPr>
          <w:p w14:paraId="24D05349">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规划重大水利工程不涉及金沙江干流、长江一级支流、水生生物保护区和长江流域禁捕水域，本项目不属于渔业资源生产性捕捞项目。</w:t>
            </w:r>
          </w:p>
        </w:tc>
        <w:tc>
          <w:tcPr>
            <w:tcW w:w="387" w:type="pct"/>
            <w:tcBorders>
              <w:top w:val="single" w:color="auto" w:sz="4" w:space="0"/>
              <w:left w:val="nil"/>
              <w:bottom w:val="single" w:color="auto" w:sz="4" w:space="0"/>
              <w:right w:val="single" w:color="auto" w:sz="4" w:space="0"/>
            </w:tcBorders>
            <w:vAlign w:val="center"/>
          </w:tcPr>
          <w:p w14:paraId="6717CF57">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1F46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43962FB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8</w:t>
            </w:r>
          </w:p>
        </w:tc>
        <w:tc>
          <w:tcPr>
            <w:tcW w:w="2542" w:type="pct"/>
            <w:tcBorders>
              <w:top w:val="single" w:color="auto" w:sz="4" w:space="0"/>
              <w:left w:val="nil"/>
              <w:bottom w:val="single" w:color="auto" w:sz="4" w:space="0"/>
              <w:right w:val="single" w:color="auto" w:sz="4" w:space="0"/>
            </w:tcBorders>
            <w:vAlign w:val="center"/>
          </w:tcPr>
          <w:p w14:paraId="73B29657">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金沙江干流，长江一级支流和九大高原湖泊岸线一公里范围内新建、扩建化工园区和化工项目。禁止在金沙江干流岸线三公里范围内和长江一级支流岸线一公里范围内新建、改建、扩建尾矿库、冶炼渣库和磷石膏库，以提升安全、生态环境保护水平为目的的改建除外。</w:t>
            </w:r>
          </w:p>
        </w:tc>
        <w:tc>
          <w:tcPr>
            <w:tcW w:w="1798" w:type="pct"/>
            <w:tcBorders>
              <w:top w:val="single" w:color="auto" w:sz="4" w:space="0"/>
              <w:left w:val="nil"/>
              <w:bottom w:val="single" w:color="auto" w:sz="4" w:space="0"/>
              <w:right w:val="single" w:color="auto" w:sz="4" w:space="0"/>
            </w:tcBorders>
            <w:vAlign w:val="center"/>
          </w:tcPr>
          <w:p w14:paraId="253E6D49">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规划重大水利工程拟建区域不涉及金沙江、赤水河、乌江河等水生动植物自然保护区、水产种质资源保护区长江流域禁捕水域；本项目拟建区域不涉及湿地。</w:t>
            </w:r>
          </w:p>
        </w:tc>
        <w:tc>
          <w:tcPr>
            <w:tcW w:w="387" w:type="pct"/>
            <w:tcBorders>
              <w:top w:val="single" w:color="auto" w:sz="4" w:space="0"/>
              <w:left w:val="nil"/>
              <w:bottom w:val="single" w:color="auto" w:sz="4" w:space="0"/>
              <w:right w:val="single" w:color="auto" w:sz="4" w:space="0"/>
            </w:tcBorders>
            <w:vAlign w:val="center"/>
          </w:tcPr>
          <w:p w14:paraId="66F34FB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4E6EA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6CDC1CC1">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9</w:t>
            </w:r>
          </w:p>
        </w:tc>
        <w:tc>
          <w:tcPr>
            <w:tcW w:w="2542" w:type="pct"/>
            <w:tcBorders>
              <w:top w:val="single" w:color="auto" w:sz="4" w:space="0"/>
              <w:left w:val="nil"/>
              <w:bottom w:val="single" w:color="auto" w:sz="4" w:space="0"/>
              <w:right w:val="single" w:color="auto" w:sz="4" w:space="0"/>
            </w:tcBorders>
            <w:vAlign w:val="center"/>
          </w:tcPr>
          <w:p w14:paraId="5347F745">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禁止在合规园区外新建、扩建钢铁、石化、化工、焦化、建材、有色、制浆造纸行业中的高污染项目。</w:t>
            </w:r>
          </w:p>
        </w:tc>
        <w:tc>
          <w:tcPr>
            <w:tcW w:w="1798" w:type="pct"/>
            <w:tcBorders>
              <w:top w:val="single" w:color="auto" w:sz="4" w:space="0"/>
              <w:left w:val="nil"/>
              <w:bottom w:val="single" w:color="auto" w:sz="4" w:space="0"/>
              <w:right w:val="single" w:color="auto" w:sz="4" w:space="0"/>
            </w:tcBorders>
            <w:vAlign w:val="center"/>
          </w:tcPr>
          <w:p w14:paraId="0AE60649">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规划重大水利工程均为生态类工程，不属于在合规园区外新建、扩建钢铁、石化、化工、焦化、建材、有色、制浆造纸行业中的高污染项目。</w:t>
            </w:r>
          </w:p>
        </w:tc>
        <w:tc>
          <w:tcPr>
            <w:tcW w:w="387" w:type="pct"/>
            <w:tcBorders>
              <w:top w:val="single" w:color="auto" w:sz="4" w:space="0"/>
              <w:left w:val="nil"/>
              <w:bottom w:val="single" w:color="auto" w:sz="4" w:space="0"/>
              <w:right w:val="single" w:color="auto" w:sz="4" w:space="0"/>
            </w:tcBorders>
            <w:vAlign w:val="center"/>
          </w:tcPr>
          <w:p w14:paraId="358BC76E">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0426E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061E5E82">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w:t>
            </w:r>
          </w:p>
        </w:tc>
        <w:tc>
          <w:tcPr>
            <w:tcW w:w="2542" w:type="pct"/>
            <w:tcBorders>
              <w:top w:val="single" w:color="auto" w:sz="4" w:space="0"/>
              <w:left w:val="nil"/>
              <w:bottom w:val="single" w:color="auto" w:sz="4" w:space="0"/>
              <w:right w:val="single" w:color="auto" w:sz="4" w:space="0"/>
            </w:tcBorders>
            <w:vAlign w:val="center"/>
          </w:tcPr>
          <w:p w14:paraId="561C60FD">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禁止新建、扩建不符合国家石化、现代煤化工等产业布局规划的项目。禁止列入《云南省城镇人口密集区危险化学品生产企业搬迁改造名单》的搬迁改造企业在原址新建、扩建危险化学品生产项目。</w:t>
            </w:r>
          </w:p>
        </w:tc>
        <w:tc>
          <w:tcPr>
            <w:tcW w:w="1798" w:type="pct"/>
            <w:tcBorders>
              <w:top w:val="single" w:color="auto" w:sz="4" w:space="0"/>
              <w:left w:val="nil"/>
              <w:bottom w:val="single" w:color="auto" w:sz="4" w:space="0"/>
              <w:right w:val="single" w:color="auto" w:sz="4" w:space="0"/>
            </w:tcBorders>
            <w:vAlign w:val="center"/>
          </w:tcPr>
          <w:p w14:paraId="19C1B9DB">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规划重大水利工程为生态类项目，不属于石化、现代煤化工项目。不属于列入《云南省城镇人口密集区危险化学品生产企业搬迁改造名单》的搬迁改造企业。</w:t>
            </w:r>
          </w:p>
        </w:tc>
        <w:tc>
          <w:tcPr>
            <w:tcW w:w="387" w:type="pct"/>
            <w:tcBorders>
              <w:top w:val="single" w:color="auto" w:sz="4" w:space="0"/>
              <w:left w:val="nil"/>
              <w:bottom w:val="single" w:color="auto" w:sz="4" w:space="0"/>
              <w:right w:val="single" w:color="auto" w:sz="4" w:space="0"/>
            </w:tcBorders>
            <w:vAlign w:val="center"/>
          </w:tcPr>
          <w:p w14:paraId="3803C846">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r w14:paraId="576B2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jc w:val="center"/>
        </w:trPr>
        <w:tc>
          <w:tcPr>
            <w:tcW w:w="273" w:type="pct"/>
            <w:tcBorders>
              <w:top w:val="single" w:color="auto" w:sz="4" w:space="0"/>
              <w:left w:val="single" w:color="auto" w:sz="4" w:space="0"/>
              <w:bottom w:val="single" w:color="auto" w:sz="4" w:space="0"/>
              <w:right w:val="single" w:color="auto" w:sz="4" w:space="0"/>
            </w:tcBorders>
            <w:vAlign w:val="center"/>
          </w:tcPr>
          <w:p w14:paraId="6313DA2A">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11</w:t>
            </w:r>
          </w:p>
        </w:tc>
        <w:tc>
          <w:tcPr>
            <w:tcW w:w="2542" w:type="pct"/>
            <w:tcBorders>
              <w:top w:val="single" w:color="auto" w:sz="4" w:space="0"/>
              <w:left w:val="nil"/>
              <w:bottom w:val="single" w:color="auto" w:sz="4" w:space="0"/>
              <w:right w:val="single" w:color="auto" w:sz="4" w:space="0"/>
            </w:tcBorders>
            <w:vAlign w:val="center"/>
          </w:tcPr>
          <w:p w14:paraId="0BA56C4E">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禁止新建、扩建法律法规和相关政策明令禁止的落后产能项目，依法依规关停退出能耗、环保、质量、安全不达标产能和技术落后产能。禁止新建、扩建不符合国家产能置换要求的过剩产能行业的项目。禁止新建、扩建不符合要求的高耗能、高排放项目，推动退出重点高耗能行业“限制类”产能。禁止建设高毒高残留以及对环境影响大的农药原药生产装置，严控尿素、磷铵、电石、焦炭、黄磷、烧碱、纯碱、聚氯乙烯等行业新增产能。</w:t>
            </w:r>
          </w:p>
        </w:tc>
        <w:tc>
          <w:tcPr>
            <w:tcW w:w="1798" w:type="pct"/>
            <w:tcBorders>
              <w:top w:val="single" w:color="auto" w:sz="4" w:space="0"/>
              <w:left w:val="nil"/>
              <w:bottom w:val="single" w:color="auto" w:sz="4" w:space="0"/>
              <w:right w:val="single" w:color="auto" w:sz="4" w:space="0"/>
            </w:tcBorders>
            <w:vAlign w:val="center"/>
          </w:tcPr>
          <w:p w14:paraId="6438A727">
            <w:pPr>
              <w:spacing w:line="240" w:lineRule="auto"/>
              <w:jc w:val="left"/>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规划重大水利工程不属于法律法规和相关政策明令禁止的落后产能项目，不属于依法依规关停退出能耗、环保、质量、安全不达标产能和技术落后产能。不属于不符合国家产能置换要求的过剩产能行业的项目，不属于新建、扩建不符合要求的高耗能、高排放项目，不属于高毒高残留以及对环境影响大的农药原药生产装置，严控尿素、磷铵、电石、焦炭、黄磷、烧碱、纯碱、聚氯乙烯等行业。</w:t>
            </w:r>
          </w:p>
        </w:tc>
        <w:tc>
          <w:tcPr>
            <w:tcW w:w="387" w:type="pct"/>
            <w:tcBorders>
              <w:top w:val="single" w:color="auto" w:sz="4" w:space="0"/>
              <w:left w:val="nil"/>
              <w:bottom w:val="single" w:color="auto" w:sz="4" w:space="0"/>
              <w:right w:val="single" w:color="auto" w:sz="4" w:space="0"/>
            </w:tcBorders>
            <w:vAlign w:val="center"/>
          </w:tcPr>
          <w:p w14:paraId="6C71738F">
            <w:pPr>
              <w:spacing w:line="240" w:lineRule="auto"/>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符合</w:t>
            </w:r>
          </w:p>
        </w:tc>
      </w:tr>
    </w:tbl>
    <w:p w14:paraId="51762DFE">
      <w:pPr>
        <w:ind w:firstLine="480" w:firstLineChars="200"/>
        <w:rPr>
          <w:rFonts w:hint="default" w:ascii="Times New Roman" w:hAnsi="Times New Roman" w:cs="Times New Roman"/>
          <w:color w:val="auto"/>
          <w:highlight w:val="none"/>
        </w:rPr>
      </w:pPr>
    </w:p>
    <w:p w14:paraId="44CDB109">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与《基本农田保护条例》的符合性分析</w:t>
      </w:r>
    </w:p>
    <w:p w14:paraId="220D842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《基本农田保护条例》的相关规定如下：</w:t>
      </w:r>
    </w:p>
    <w:p w14:paraId="7B93BCD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五条规定：“基本农田保护区经依法划定后，任何单位和个人不得改变或者占用。国家能源、交通、水利、军事设施等重点建设项目选址确实无法避开基本农田保护区，需要占用基本农田，涉及农用地转用或者征用土地的，必须经国务院批准”。</w:t>
      </w:r>
    </w:p>
    <w:p w14:paraId="6DC124F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六条规定：“经国务院批准占用基本农田的，当地人民政府应当按照国务院的批准文件修改土地利用总体规划，并补充划入数量和质量相当的基本农田。占用单位应当按照占多少、垦多少的原则，负责开垦与所占基本农田的数量与质量相当的耕地。没有条件开垦或者开垦的耕地不符合要求的，应当按照省、自治区、直辖市的规定缴纳耕地开垦费，专款用于开垦新的耕地。占用基本农田的单位应当按照县级以上地方人民政府的要求，将所占用基本农田耕作层的土壤用于新开垦耕地、劣质地或者其他耕地的土壤改良”。</w:t>
      </w:r>
    </w:p>
    <w:p w14:paraId="25B3872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七条规定：“禁止任何单位和个人在基本农田保护区内建窑、建房、建坟、挖砂、采石、采矿、取土、堆放固体废弃物或者进行其他破坏基本农田的活动。禁止任何单位和个人占用基本农田发展林果业和挖塘养鱼。”</w:t>
      </w:r>
    </w:p>
    <w:p w14:paraId="7355776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受当前规划深度制约，规划重点工程管线布置、工程占地等情况还未确定，涉及基本农田保护区和基本农田的面积无法明确，在下阶段应加强选址论证，合理避让基本农田保护区和基本农田，无法避让的，应按国家规定办理相关手续并获得批准。临时占地进行复垦，做到占补平衡，一定程度上可弥补耕地损失。在采取相关措施后，本规划与《基本农田保护条例》不冲突。</w:t>
      </w:r>
    </w:p>
    <w:p w14:paraId="149D4E1B">
      <w:pPr>
        <w:pStyle w:val="5"/>
        <w:keepNext w:val="0"/>
        <w:keepLines w:val="0"/>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与上位规划的协调性</w:t>
      </w:r>
      <w:r>
        <w:rPr>
          <w:rFonts w:hint="default" w:ascii="Times New Roman" w:hAnsi="Times New Roman" w:cs="Times New Roman" w:eastAsiaTheme="minorEastAsia"/>
          <w:color w:val="auto"/>
          <w:highlight w:val="none"/>
          <w:lang w:val="en-US" w:eastAsia="zh-CN"/>
        </w:rPr>
        <w:t>分析</w:t>
      </w:r>
    </w:p>
    <w:p w14:paraId="71CA1C06">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w:t>
      </w:r>
      <w:r>
        <w:rPr>
          <w:rFonts w:hint="default" w:ascii="Times New Roman" w:hAnsi="Times New Roman" w:cs="Times New Roman" w:eastAsiaTheme="minorEastAsia"/>
          <w:color w:val="auto"/>
          <w:highlight w:val="none"/>
          <w:lang w:eastAsia="zh-CN"/>
        </w:rPr>
        <w:t>《中共中央 国务院</w:t>
      </w:r>
      <w:r>
        <w:rPr>
          <w:rFonts w:hint="default" w:ascii="Times New Roman" w:hAnsi="Times New Roman" w:cs="Times New Roman" w:eastAsiaTheme="minorEastAsia"/>
          <w:color w:val="auto"/>
          <w:highlight w:val="none"/>
        </w:rPr>
        <w:t>关于加快水利改革发展的决定》的协调性分析</w:t>
      </w:r>
    </w:p>
    <w:p w14:paraId="4E55DF1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w:t>
      </w:r>
      <w:r>
        <w:rPr>
          <w:rFonts w:hint="default" w:ascii="Times New Roman" w:hAnsi="Times New Roman" w:cs="Times New Roman"/>
          <w:color w:val="auto"/>
          <w:highlight w:val="none"/>
          <w:lang w:eastAsia="zh-CN"/>
        </w:rPr>
        <w:t>《中共中央 国务院</w:t>
      </w:r>
      <w:r>
        <w:rPr>
          <w:rFonts w:hint="default" w:ascii="Times New Roman" w:hAnsi="Times New Roman" w:cs="Times New Roman"/>
          <w:color w:val="auto"/>
          <w:highlight w:val="none"/>
        </w:rPr>
        <w:t>关于加快水利改革发展的决定》提出，“加快推进西南等工程性缺水地区重点水源工程建设，坚持蓄引提与合理开采地下水相结合，以县域为单元，尽快建设一批中小型水库、引提水和连通工程，支持农民兴建小微型水利设施，显著提高雨洪资源利用和供水保障能力，基本解决缺水城镇、人口较集中乡村的供水问题。”完善优化水资源战略配置格局，在保护生态前提下，尽快建设一批骨干水源工程和河湖水系连通工程，提高水资源调控水平和供水保障能力。</w:t>
      </w:r>
    </w:p>
    <w:p w14:paraId="40F3058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重点新建7件重大水利工程，其中大型灌区3件（罗师灌区、富源灌区、沾马灌区）、引调水工程2件（曲靖市牛栏江德泽水库引水济曲工程、陆良县引水入陆工程）、生态保护修复工程1件（云南省南盘江（珠江源头）生态保护修复工程）、水源工程1件（响水坝水库扩建工程），通过这些重大水利工程的建设，可大幅度提高曲靖市3区4县生活、农灌及工业供水的保障能力，有效减少缺水人口和缺水地区，使水资源的配置</w:t>
      </w:r>
      <w:r>
        <w:rPr>
          <w:rFonts w:hint="default" w:ascii="Times New Roman" w:hAnsi="Times New Roman" w:cs="Times New Roman"/>
          <w:color w:val="auto"/>
          <w:highlight w:val="none"/>
          <w:lang w:eastAsia="zh-CN"/>
        </w:rPr>
        <w:t>更加</w:t>
      </w:r>
      <w:r>
        <w:rPr>
          <w:rFonts w:hint="default" w:ascii="Times New Roman" w:hAnsi="Times New Roman" w:cs="Times New Roman"/>
          <w:color w:val="auto"/>
          <w:highlight w:val="none"/>
        </w:rPr>
        <w:t>合理完善，且改善南盘江（曲靖市境内）干流生态环境质量，因此，本规划与</w:t>
      </w:r>
      <w:r>
        <w:rPr>
          <w:rFonts w:hint="default" w:ascii="Times New Roman" w:hAnsi="Times New Roman" w:cs="Times New Roman"/>
          <w:color w:val="auto"/>
          <w:highlight w:val="none"/>
          <w:lang w:eastAsia="zh-CN"/>
        </w:rPr>
        <w:t>《中共中央 国务院</w:t>
      </w:r>
      <w:r>
        <w:rPr>
          <w:rFonts w:hint="default" w:ascii="Times New Roman" w:hAnsi="Times New Roman" w:cs="Times New Roman"/>
          <w:color w:val="auto"/>
          <w:highlight w:val="none"/>
        </w:rPr>
        <w:t>关于加快水利改革发展的决定》是相协调的。</w:t>
      </w:r>
    </w:p>
    <w:p w14:paraId="64F8C497">
      <w:pPr>
        <w:pStyle w:val="6"/>
        <w:numPr>
          <w:ilvl w:val="3"/>
          <w:numId w:val="4"/>
        </w:numPr>
        <w:spacing w:before="156" w:after="156"/>
        <w:rPr>
          <w:rFonts w:hint="default" w:ascii="Times New Roman" w:hAnsi="Times New Roman" w:eastAsiaTheme="minorEastAsia"/>
          <w:color w:val="auto"/>
        </w:rPr>
      </w:pPr>
      <w:r>
        <w:rPr>
          <w:rFonts w:hint="default" w:ascii="Times New Roman" w:hAnsi="Times New Roman" w:eastAsiaTheme="minorEastAsia"/>
          <w:color w:val="auto"/>
        </w:rPr>
        <w:t>与《国家水</w:t>
      </w:r>
      <w:r>
        <w:rPr>
          <w:rFonts w:ascii="Times New Roman" w:hAnsi="Times New Roman" w:eastAsiaTheme="minorEastAsia"/>
          <w:color w:val="auto"/>
        </w:rPr>
        <w:t>网建设规划纲要</w:t>
      </w:r>
      <w:r>
        <w:rPr>
          <w:rFonts w:hint="default" w:ascii="Times New Roman" w:hAnsi="Times New Roman" w:eastAsiaTheme="minorEastAsia"/>
          <w:color w:val="auto"/>
        </w:rPr>
        <w:t>》的协调性分析</w:t>
      </w:r>
    </w:p>
    <w:p w14:paraId="584DC326">
      <w:pPr>
        <w:ind w:firstLine="480" w:firstLineChars="200"/>
        <w:rPr>
          <w:rFonts w:cs="Times New Roman"/>
          <w:color w:val="auto"/>
        </w:rPr>
      </w:pPr>
      <w:r>
        <w:rPr>
          <w:rFonts w:cs="Times New Roman"/>
          <w:color w:val="auto"/>
        </w:rPr>
        <w:t>《国家水</w:t>
      </w:r>
      <w:r>
        <w:rPr>
          <w:rFonts w:hint="eastAsia" w:cs="Times New Roman"/>
          <w:color w:val="auto"/>
        </w:rPr>
        <w:t>网建设规划纲要》为国家水网建设的重要指导性文件，规划期为2021年至2035年。到2025年，建设一批国家水网骨干工程，国家骨干网建设加快推进，省市县水网有序实施，着力补齐水资源配置、城乡供水、防洪排涝、水生态保护、水网智能化等短板和薄弱环节，水旱灾害防御能力、水资源节约集约利用能力、水资源优化配置能力、大江大河大湖生态保护治理能力进一步提高，水网工程智能化水平得到提升，国家水安全保障能力明显增强。</w:t>
      </w:r>
    </w:p>
    <w:p w14:paraId="397D1F47">
      <w:pPr>
        <w:ind w:firstLine="480" w:firstLineChars="200"/>
        <w:rPr>
          <w:rFonts w:cs="Times New Roman"/>
          <w:color w:val="auto"/>
        </w:rPr>
      </w:pPr>
      <w:r>
        <w:rPr>
          <w:rFonts w:hint="eastAsia" w:cs="Times New Roman"/>
          <w:color w:val="auto"/>
        </w:rPr>
        <w:t>到2035 年，基本形成国家水网总体格局，国家水网主骨架和大动脉逐步建成，省市县水网基本完善，构建与基本实现社会主义现代化相适应的国家水安全保障体系。水资源节约集约高效利用水平全面提高，城乡供水安全保障水平和抗旱应急能力明显提升；江河湖泊流域防洪减灾体系基本完善，防洪安全保障水平显著提高，洪涝风险防控和应对能力明显增强；水生态空间有效保护，水土流失有效治理，河湖生态水量有效保障，美丽健康水生态系统基本形成；国家水网工程良性运行管护机制健全，数字化、网络化、智能化调度运用基本实现。</w:t>
      </w:r>
    </w:p>
    <w:p w14:paraId="17658950">
      <w:pPr>
        <w:ind w:firstLine="480" w:firstLineChars="200"/>
        <w:rPr>
          <w:rFonts w:cs="Times New Roman"/>
          <w:color w:val="auto"/>
        </w:rPr>
      </w:pPr>
      <w:r>
        <w:rPr>
          <w:rFonts w:hint="eastAsia" w:cs="Times New Roman"/>
          <w:color w:val="auto"/>
        </w:rPr>
        <w:t>规划纲要提出加快实施重要江河堤防达标提质升级和河道综合治理，完善流域防洪工程体系，提升江河行洪排洪能力。结合国家骨干网水源工程和输配水工程，新建一批节水型、生态型灌区，实施大中型灌区续建配套和现代化改造，完善灌排骨干工程体系，创新并推广高效节水新技术新机制，提高水土资源利用效率，夯实国家粮食安全基础。充分挖掘现有水源调蓄工程供水潜力，加快推进已列入规划的骨干水源工程建设，提升水资源调蓄能力。完善流域防洪减灾体系，做好洪涝水出路安排，综合采取“扩排、增蓄、控险”相结合的举措，统筹防洪工程和非工程措施，进一步增强洪涝灾害防御能力。完善河湖生态系统保护治理体系，大力推进河湖生态保护修复，加强地下水超采综合治理，加强水源涵养与水土保持生态建设，加快复苏河湖生态环境，让河流恢复生命、流域重现生机，实现河湖功能永续利用。</w:t>
      </w:r>
    </w:p>
    <w:p w14:paraId="6782F074">
      <w:pPr>
        <w:ind w:firstLine="480" w:firstLineChars="200"/>
        <w:rPr>
          <w:rFonts w:cs="Times New Roman"/>
          <w:color w:val="auto"/>
        </w:rPr>
      </w:pPr>
      <w:r>
        <w:rPr>
          <w:rFonts w:cs="Times New Roman"/>
          <w:color w:val="auto"/>
        </w:rPr>
        <w:t>本规划以曲靖市境内南盘江流域内社会经济发展目标为依据，开展流域水资源供求预测，坚持节水优先，把水资源作为刚性约束，制定流域的水资源配置方案。科学规划、有序建设7件重大水利工程，完善流域水资源配置工程体系，结合非工程措施，保障供水安全，提高流域水资源保障能力，建立流域水资源节约保护与高效利用体系。通过水资源保护、水生态保护与修复等规划的实施，增强流域水源涵养能力、退还和保障基本的河湖生态流量，采用控荷减负、截污治污，自然修复、河道治理、清淤疏浚等强化河湖水生态保护修复与治理，实现流域内水源地水质和水生态环境的保护与改善，重点保障河流生态系统完整、健康、稳定发展。</w:t>
      </w:r>
    </w:p>
    <w:p w14:paraId="352817F2">
      <w:pPr>
        <w:ind w:firstLine="480" w:firstLineChars="200"/>
        <w:rPr>
          <w:rFonts w:hint="default" w:ascii="Times New Roman" w:hAnsi="Times New Roman" w:cs="Times New Roman"/>
          <w:color w:val="auto"/>
          <w:highlight w:val="none"/>
        </w:rPr>
      </w:pPr>
      <w:r>
        <w:rPr>
          <w:rFonts w:cs="Times New Roman"/>
          <w:color w:val="auto"/>
        </w:rPr>
        <w:t>因此，本规划的内容和目标与《国家水</w:t>
      </w:r>
      <w:r>
        <w:rPr>
          <w:rFonts w:hint="eastAsia" w:cs="Times New Roman"/>
          <w:color w:val="auto"/>
        </w:rPr>
        <w:t>网建设规划纲要</w:t>
      </w:r>
      <w:r>
        <w:rPr>
          <w:rFonts w:cs="Times New Roman"/>
          <w:color w:val="auto"/>
        </w:rPr>
        <w:t>》是协调的。</w:t>
      </w:r>
    </w:p>
    <w:p w14:paraId="52E10B0F">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与《珠江流域综合规划（2012</w:t>
      </w:r>
      <w:r>
        <w:rPr>
          <w:rFonts w:hint="default" w:ascii="Times New Roman" w:hAnsi="Times New Roman" w:cs="Times New Roman" w:eastAsiaTheme="minorEastAsia"/>
          <w:color w:val="auto"/>
          <w:highlight w:val="none"/>
          <w:lang w:eastAsia="zh-CN"/>
        </w:rPr>
        <w:t>—</w:t>
      </w:r>
      <w:r>
        <w:rPr>
          <w:rFonts w:hint="default" w:ascii="Times New Roman" w:hAnsi="Times New Roman" w:cs="Times New Roman" w:eastAsiaTheme="minorEastAsia"/>
          <w:color w:val="auto"/>
          <w:highlight w:val="none"/>
        </w:rPr>
        <w:t>2030年）》的协调性分析</w:t>
      </w:r>
    </w:p>
    <w:p w14:paraId="2E65507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《珠江流域综合规划（2012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2030年）》规划分为2020年近期、2030年远期两个实施阶段，其中近期目标实现流域重点防洪保护区基本达标、山洪灾害防御能力显著提升，城乡及港澳供水保障能力全面增强，饮用水水源水质全部达标、局部水生态恶化趋势得到遏制，水土流失治理成效显著，最严格水资源管理制度基本建立；远期目标全面完善流域水安全保障体系，建成节水型社会，实现河湖生态良性循环、水土流失治理水平大幅提升、流域综合管理现代化。</w:t>
      </w:r>
    </w:p>
    <w:p w14:paraId="7636AE3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系统构建了流域治理保护四大核心体系，一是防洪减灾体系，遵循“堤库结合、以泄为主、泄蓄兼施”治理方针，依托流域骨干水库枢纽、重点堤防、蓄滞洪区、中小河流治理及山洪灾害防治工程，配套完善洪水预警调度非工程措施，全面提升流域防洪防潮能力；二是水资源综合利用体系，统筹流域水资源优化配置，依托骨干水利枢纽及跨区域调水工程完善供水格局，保障城乡生活、农业灌溉、工业供水安全需求，有序推进水能资源合理开发与内河航运网络建设；三是水资源与水生态环境保护体系，严格落实水资源用水总量、用水效率、纳污红线管控要求，明确流域污染物总量控制指标，强化水功能区监管、河湖生态流量保障、流域污染综合治理及上游水土流失、石漠化生态治理，统筹河口湿地保护与水生态修复；四是流域综合管理体系，健全流域统一管理与属地协同治理机制，完善跨省水资源调度、水量分配、动态监测与信息共享体系，强化涉水项目规划管控与行政执法监管，全面提升流域现代化治理能力，整体实现维护河流健康、建设绿色珠江的流域发展总体目标。</w:t>
      </w:r>
    </w:p>
    <w:p w14:paraId="7A1D506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中提出：规划到2035年，流域防洪减灾体系基本完善，防洪安全保障能力进一步提高，防洪保护对象规划标准内洪水可防御，遇超标准洪水有对策措施；水资源节约集约利用进一步加强，水资源配置体系更加优化；水资源保护进一步强化，受损水生态系统逐步恢复并呈良性发展；流域管理现代化基本实现。重大水利工程的建设完善供水格局，保障城乡生活、农业灌溉、工业供水需求，改善南盘江干流生态环境质量、保障南盘江干流特殊干旱期生态水量。</w:t>
      </w:r>
    </w:p>
    <w:p w14:paraId="1C37EE2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《南盘江（曲靖市境内）流域综合规划》中提出的防洪规划、水资源节约集约利用规划、水资源保护规划、水生态保护和修复及流域综合管理体系与《珠江流域综合规划（2012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2030年）》是协调的。</w:t>
      </w:r>
    </w:p>
    <w:p w14:paraId="4C130C6A">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与《南盘江流域综合规划》及规划环评的协调性分析</w:t>
      </w:r>
    </w:p>
    <w:p w14:paraId="0D16F1D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（1）《南盘江流域综合规划》</w:t>
      </w:r>
    </w:p>
    <w:p w14:paraId="2989045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2017年，水利部以水规计</w:t>
      </w:r>
      <w:r>
        <w:rPr>
          <w:rFonts w:hint="default" w:ascii="Times New Roman" w:hAnsi="Times New Roman" w:cs="Times New Roman"/>
          <w:color w:val="auto"/>
          <w:highlight w:val="none"/>
          <w:lang w:eastAsia="zh-CN"/>
        </w:rPr>
        <w:t>〔2017〕41号</w:t>
      </w:r>
      <w:r>
        <w:rPr>
          <w:rFonts w:hint="default" w:ascii="Times New Roman" w:hAnsi="Times New Roman" w:cs="Times New Roman"/>
          <w:color w:val="auto"/>
          <w:highlight w:val="none"/>
        </w:rPr>
        <w:t>文批复《南盘江流域综合规划》，规划以科学发展观为统领，按照维护河流健康、促进人水和谐的总体目标，注重科学治水、依法治水，一定程度上突出了生态文明建设，从防洪治涝、山洪灾害防治、水资源保障、水土流失治理、发电与航运开发、生态环境保护等多方面出发，制定了南盘江流域治理、开发与保护的总体部署，建立与完善流域防洪减灾、水资源供给与保障、水资源保护与生态修复和流域综合管理四大体系。总体而言较好地体现了可持续发展的思路。</w:t>
      </w:r>
    </w:p>
    <w:p w14:paraId="7D50EE8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2017-2025年间，流域内极端降水事件频发、人口持续增长、城镇化快速推进，现有工程调蓄能力难以满足新形势下的防洪和供水要求。现行《南盘江流域综合规划》的部分目标和措施已难以完全适应南盘江（曲靖市境内）流域的水安全保障新形势、新要求，</w:t>
      </w:r>
      <w:r>
        <w:rPr>
          <w:rFonts w:hint="default" w:ascii="Times New Roman" w:hAnsi="Times New Roman" w:cs="Times New Roman"/>
          <w:color w:val="auto"/>
          <w:highlight w:val="none"/>
          <w:lang w:eastAsia="zh-CN"/>
        </w:rPr>
        <w:t>亟须</w:t>
      </w:r>
      <w:r>
        <w:rPr>
          <w:rFonts w:hint="default" w:ascii="Times New Roman" w:hAnsi="Times New Roman" w:cs="Times New Roman"/>
          <w:color w:val="auto"/>
          <w:highlight w:val="none"/>
        </w:rPr>
        <w:t>编制更具针对性的规划，以有效指导流域保护治理实践，故编制《南盘江（曲靖市境内）流域综合规划》。《南盘江（曲靖市境内）流域综合规划》作为《南盘江流域综合规划》的下位规划，其编制和实施遵照上位规划的总体部署，根据南盘江（曲靖市境内）流域具体实际情况，充分考虑社会经济发展及水安全保障新形势、新要求而提出的，是对《南盘江流域综合规划》中有关内容的进一步深化。《南盘江（曲靖市境内）流域综合规划》提出防洪、供水、灌溉、水资源保护与水生态修复、水土保持、水力发电等主要任务，并安排近期实施重点，同时对2050年进行远景展望，提出储备的重点水利工程。通过规划实施，加快构建流域防洪减灾体系、优化水资源综合利用、加强水资源与水生态环境保护、强化流域管理，确保流域防洪安全、供水安全、生态安全，为南盘江流域经济社会高质量发展和生态环境高水平保护提供强有力的水利支撑和保障，保障珠江源头生态安全和区域供水安全，</w:t>
      </w:r>
      <w:r>
        <w:rPr>
          <w:rFonts w:hint="default" w:ascii="Times New Roman" w:hAnsi="Times New Roman" w:cs="Times New Roman"/>
          <w:color w:val="auto"/>
          <w:highlight w:val="none"/>
          <w:lang w:eastAsia="zh-CN"/>
        </w:rPr>
        <w:t>更好地服务</w:t>
      </w:r>
      <w:r>
        <w:rPr>
          <w:rFonts w:hint="default" w:ascii="Times New Roman" w:hAnsi="Times New Roman" w:cs="Times New Roman"/>
          <w:color w:val="auto"/>
          <w:highlight w:val="none"/>
        </w:rPr>
        <w:t>西部大开发、“一带一路”建设等国家重大战略，助力曲靖市建设成为云南副中心城市。</w:t>
      </w:r>
    </w:p>
    <w:p w14:paraId="72F7B25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《南盘江（曲靖市境内）流域综合规划》是《南盘江流域综合规划》的下位规划，与《南盘江流域综合规划》是协调的。</w:t>
      </w:r>
    </w:p>
    <w:p w14:paraId="7798691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（2）《南盘江流域综合规划环境影响报告书》</w:t>
      </w:r>
    </w:p>
    <w:p w14:paraId="4063BC7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《南盘江流域综合规划环境影响报告书》提出规划的实施可以带来生态</w:t>
      </w:r>
      <w:r>
        <w:rPr>
          <w:rFonts w:hint="eastAsia" w:cs="Times New Roman"/>
          <w:color w:val="auto"/>
          <w:highlight w:val="none"/>
          <w:lang w:val="en-US" w:eastAsia="zh-CN"/>
        </w:rPr>
        <w:t>效益</w:t>
      </w:r>
      <w:r>
        <w:rPr>
          <w:rFonts w:hint="default" w:ascii="Times New Roman" w:hAnsi="Times New Roman" w:cs="Times New Roman"/>
          <w:color w:val="auto"/>
          <w:highlight w:val="none"/>
        </w:rPr>
        <w:t>和环境效益，规划内部提出的各项生态保护目标及其相应对策基本协调。在严格按照规划提出的总体原则及措施落实下，规划的实施对环境的不利影响可控制在区域环境承载范围内，可以改善区域生态环境及人居环境质量。规划过程较全面地考虑了国家、地方的相关规划，但对国家关于生态功能区相关规划、水电工程建设环境保护的相关要求考虑不足。各规划方案中，防洪减灾规划布局基本合理，规划实施后不会对流域的水资源承载力造成大的压力，水电规划经优化调整后的方案布局基本不存在环境制约因素，因此从环境的角度看，按照本报告书提出的建议进行优化调整</w:t>
      </w:r>
      <w:r>
        <w:rPr>
          <w:rFonts w:hint="default" w:ascii="Times New Roman" w:hAnsi="Times New Roman" w:cs="Times New Roman"/>
          <w:color w:val="auto"/>
          <w:highlight w:val="none"/>
          <w:lang w:eastAsia="zh-CN"/>
        </w:rPr>
        <w:t>，在</w:t>
      </w:r>
      <w:r>
        <w:rPr>
          <w:rFonts w:hint="default" w:ascii="Times New Roman" w:hAnsi="Times New Roman" w:cs="Times New Roman"/>
          <w:color w:val="auto"/>
          <w:highlight w:val="none"/>
        </w:rPr>
        <w:t>严格落实各项环境保护措施的条件下，规划方案是合理可行的。</w:t>
      </w:r>
    </w:p>
    <w:p w14:paraId="66A892B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w:t>
      </w:r>
      <w:r>
        <w:rPr>
          <w:rFonts w:hint="eastAsia" w:cs="Times New Roman"/>
          <w:color w:val="auto"/>
          <w:highlight w:val="none"/>
          <w:lang w:val="en-US" w:eastAsia="zh-CN"/>
        </w:rPr>
        <w:t>生态</w:t>
      </w:r>
      <w:r>
        <w:rPr>
          <w:rFonts w:hint="default" w:ascii="Times New Roman" w:hAnsi="Times New Roman" w:cs="Times New Roman"/>
          <w:color w:val="auto"/>
          <w:highlight w:val="none"/>
        </w:rPr>
        <w:t>环境影响报告书》是在《南盘江流域综合规划环境影响报告书》报告基础上，结合南盘江（曲靖市境内）水安全保障新形势、新要求而编制的，规划较好地考虑了环境保护的要求，随着水资源开发利用率增加，以及各类规划项目的建成，对水文情势、水环境及生态环境影响将进一步加大，在认真落实河湖生态保护规划和各项环境保护对策措施后，不利影响可以得到预防或减缓，可使南盘江（曲靖市境内）流域水资源开发利用在流域生态环境可持续发展的条件下进行。规划方案不存在重大环境制约性因素，规划项目环境总体可行，规划的实施将极大促进流域经济、社会、环境全面协调可持续发展。</w:t>
      </w:r>
    </w:p>
    <w:p w14:paraId="5326EF53">
      <w:pPr>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因此，《南盘江（曲靖市境内）流域综合规划</w:t>
      </w:r>
      <w:r>
        <w:rPr>
          <w:rFonts w:hint="eastAsia" w:cs="Times New Roman"/>
          <w:color w:val="auto"/>
          <w:highlight w:val="none"/>
          <w:lang w:val="en-US" w:eastAsia="zh-CN"/>
        </w:rPr>
        <w:t>生态</w:t>
      </w:r>
      <w:r>
        <w:rPr>
          <w:rFonts w:hint="default" w:ascii="Times New Roman" w:hAnsi="Times New Roman" w:cs="Times New Roman"/>
          <w:color w:val="auto"/>
          <w:highlight w:val="none"/>
        </w:rPr>
        <w:t>环境影响</w:t>
      </w:r>
      <w:r>
        <w:rPr>
          <w:rFonts w:hint="eastAsia" w:cs="Times New Roman"/>
          <w:color w:val="auto"/>
          <w:highlight w:val="none"/>
          <w:lang w:val="en-US" w:eastAsia="zh-CN"/>
        </w:rPr>
        <w:t>评价</w:t>
      </w:r>
      <w:r>
        <w:rPr>
          <w:rFonts w:hint="default" w:ascii="Times New Roman" w:hAnsi="Times New Roman" w:cs="Times New Roman"/>
          <w:color w:val="auto"/>
          <w:highlight w:val="none"/>
        </w:rPr>
        <w:t>报告书》与《南盘江流域综合规划环境影响报告书》是协调的</w:t>
      </w:r>
      <w:r>
        <w:rPr>
          <w:rFonts w:hint="default" w:ascii="Times New Roman" w:hAnsi="Times New Roman" w:cs="Times New Roman"/>
          <w:color w:val="auto"/>
          <w:highlight w:val="none"/>
          <w:lang w:eastAsia="zh-CN"/>
        </w:rPr>
        <w:t>。</w:t>
      </w:r>
    </w:p>
    <w:p w14:paraId="726E6259">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与《云南省国民经济和社会发展第十五个五年规划纲要》的协调性分析</w:t>
      </w:r>
    </w:p>
    <w:p w14:paraId="6FD21BE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2026年2月14日，云南省人民政府印发《云南省国民经济和社会发展第十五个五年规划纲要》（云政发〔202</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9号）（下称《纲要》）。《纲要》明确“十五五”时期主要目标包括：聚焦到2035年与全国同步基本实现社会主义现代化目标，按照“3815”战略发展目标“八年大发展”要求，到“十五五”末，经济转型升级取得根本性进展，步入高质量跨越式发展快车道，我国民族团结进步示范区、生态文明建设排头兵、面向南亚东南亚辐射中心建设取得决定性进展，在中国式现代化进程中开创云南发展新局面。</w:t>
      </w:r>
    </w:p>
    <w:p w14:paraId="408A9BE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落实</w:t>
      </w:r>
      <w:r>
        <w:rPr>
          <w:rFonts w:hint="eastAsia" w:cs="Times New Roman"/>
          <w:color w:val="auto"/>
          <w:highlight w:val="none"/>
          <w:lang w:eastAsia="zh-CN"/>
        </w:rPr>
        <w:t>“节水优先、空间均衡、系统治理、两手发力”</w:t>
      </w:r>
      <w:r>
        <w:rPr>
          <w:rFonts w:hint="default" w:ascii="Times New Roman" w:hAnsi="Times New Roman" w:cs="Times New Roman"/>
          <w:color w:val="auto"/>
          <w:highlight w:val="none"/>
        </w:rPr>
        <w:t>治水思路，系统构建以重要江河为大动脉，以滇中引水等重大引调水工程为主骨架，以重要支流、河湖连通和输配水渠系为脉络，以大型水库为骨干节点，以高原特色灌区为支撑的现代高原立体水网，为全省经济社会发展提供强有力的水利支撑和保障。实施一批大中型重点灌区现代化建设和改造，加快建成一批灌区，推进一批灌区前期工作。有序推进干热河谷水利建设。完善渠系骨干工程、计量监测等设施，开展灌区信息化建设，改善灌区生产条件。</w:t>
      </w:r>
    </w:p>
    <w:p w14:paraId="7BD582A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包括防洪规划、水资源节约集约利用规划、水资源保护规划、河湖生态保护规划等，规划的目的是科学有序推进曲靖市3区4县，即麒麟区、沾益区、马龙区、罗平县、富源县、陆良县、师宗县水安全保障工作，提高供水保障能力，加强流域防洪减灾能力，与《云南省国民经济和社会发展第十五个五年规划纲要》是相协调的。</w:t>
      </w:r>
    </w:p>
    <w:p w14:paraId="0FBFE05A">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与《云南省“十四五”兴水润滇工程规划》的协调性分析</w:t>
      </w:r>
    </w:p>
    <w:p w14:paraId="36C6EA9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2021年5月，云南省人民政府印发了《云南省“十四五”兴水润滇工程规划》（云政发</w:t>
      </w:r>
      <w:r>
        <w:rPr>
          <w:rFonts w:hint="default" w:ascii="Times New Roman" w:hAnsi="Times New Roman" w:cs="Times New Roman"/>
          <w:color w:val="auto"/>
          <w:highlight w:val="none"/>
          <w:lang w:eastAsia="zh-CN"/>
        </w:rPr>
        <w:t>〔2021〕23号</w:t>
      </w:r>
      <w:r>
        <w:rPr>
          <w:rFonts w:hint="default" w:ascii="Times New Roman" w:hAnsi="Times New Roman" w:cs="Times New Roman"/>
          <w:color w:val="auto"/>
          <w:highlight w:val="none"/>
        </w:rPr>
        <w:t>），规划围绕“供水安全、防洪安全、水生态安全、智慧水利”四大核心，部署六大重点任务，包括多措并举保障供水安全、防治并重保障防洪安全、分类施策维护水生态安全、统筹推进智慧水利体系建设、依法治水提升法治化监管能力、深化改革激发水利发展内生动力。其中，供水保障工程提出提速滇中引水工程建设，加快实施一批大中小型水库工程、引调水工程、水系连通工程、大型灌区工程、大中型水电站水资源综合利用工程、农村供水工程等。防治并重保障防洪安全指出：以消除防洪工程安全隐患、提升江河防洪能力为重点，整体提升洪涝灾害综合防治能力，主要任务包括病险水库（闸）除险加固、大江大河及中小河流治理（包括珠江主要支流整治）、山洪灾害防治等；水生态安全提出水土流失治理、农村水系综合整治等。</w:t>
      </w:r>
    </w:p>
    <w:p w14:paraId="08233B1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主要包含防洪减灾、节约用水、城乡供水、灌溉、跨流域引调水、水力发电、水资源保护、河湖生态保护、水土保持等规划内容，规划7件重大水利工程，其中大型灌区3件（罗师灌区、富源灌区、沾马灌区）、引调水工程2件（曲靖市牛栏江德泽水库引水济曲工程、陆良县引水入陆工程）、生态保护修复工程1件（云南省南盘江（珠江源头）生态保护修复工程）、水源工程1件（响水坝水库扩建工程），通过这些重大水利工程的建设，可大幅度提高生活、农灌及工业供水的保障能力，有效减少缺水人口和缺水地区，使水资源的配置</w:t>
      </w:r>
      <w:r>
        <w:rPr>
          <w:rFonts w:hint="default" w:ascii="Times New Roman" w:hAnsi="Times New Roman" w:cs="Times New Roman"/>
          <w:color w:val="auto"/>
          <w:highlight w:val="none"/>
          <w:lang w:eastAsia="zh-CN"/>
        </w:rPr>
        <w:t>更加</w:t>
      </w:r>
      <w:r>
        <w:rPr>
          <w:rFonts w:hint="default" w:ascii="Times New Roman" w:hAnsi="Times New Roman" w:cs="Times New Roman"/>
          <w:color w:val="auto"/>
          <w:highlight w:val="none"/>
        </w:rPr>
        <w:t>合理完善，直接响应《云南省“十四五”兴水润滇工程规划》的重点任务，助力解决滇中地区资源性、水质性、工程性缺水并存问题。</w:t>
      </w:r>
    </w:p>
    <w:p w14:paraId="0399D29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综上，本规划与《云南省“十四五”兴水润滇工程规划报告》是相协调的。</w:t>
      </w:r>
    </w:p>
    <w:p w14:paraId="4F0EA573">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w:t>
      </w:r>
      <w:r>
        <w:rPr>
          <w:rFonts w:hint="default" w:ascii="Times New Roman" w:hAnsi="Times New Roman" w:eastAsiaTheme="minorEastAsia"/>
          <w:color w:val="auto"/>
        </w:rPr>
        <w:t>《云南省“十</w:t>
      </w:r>
      <w:r>
        <w:rPr>
          <w:rFonts w:ascii="Times New Roman" w:hAnsi="Times New Roman" w:eastAsiaTheme="minorEastAsia"/>
          <w:color w:val="auto"/>
        </w:rPr>
        <w:t>四</w:t>
      </w:r>
      <w:r>
        <w:rPr>
          <w:rFonts w:hint="default" w:ascii="Times New Roman" w:hAnsi="Times New Roman" w:eastAsiaTheme="minorEastAsia"/>
          <w:color w:val="auto"/>
        </w:rPr>
        <w:t>五”生态环境保护规划》的协调性分析</w:t>
      </w:r>
    </w:p>
    <w:p w14:paraId="727DD645">
      <w:pPr>
        <w:ind w:firstLine="480" w:firstLineChars="200"/>
        <w:rPr>
          <w:rFonts w:cs="Times New Roman"/>
          <w:color w:val="auto"/>
        </w:rPr>
      </w:pPr>
      <w:r>
        <w:rPr>
          <w:rFonts w:hint="eastAsia" w:cs="Times New Roman"/>
          <w:color w:val="auto"/>
        </w:rPr>
        <w:t>2022年4月8日云南省生态环境厅印发了《云南省“十四五”生态环境保护规划》（下称《保护规划》），《保护规划》提出了深化“三水”统筹，全面改善水生态环境质量，要求加强水资源、水环境、水生态系统治理，强化用水强度约束，加强用水效率控制红线管理，健全省、市、县三级行政区域用水总量、用水强度控制指标体系；实施流域生态环境资源承载力监测预警管理，全面落实生态流量管理措施；增加生态用水保障，促进水生态修复，统筹推进“保好水”“治差水”。稳步提升优良水体比例；加强重点流域生态保护治理，深入推进珠江流域环境治理与生态保护；加强水污染防治，促进珠江流域水生态环境明显改善；优化水资源利用，加强流域主要水利水电工程生态流量下泄措施落实，确保达到生态流量底线要求；强化重点河湖生态流量保障；制定江河流域水量调度方案和调度计划，开展生态流量监测预警试点，科学推进断流河流恢复流量。</w:t>
      </w:r>
    </w:p>
    <w:p w14:paraId="4708DAF1">
      <w:pPr>
        <w:ind w:firstLine="480" w:firstLineChars="200"/>
        <w:rPr>
          <w:rFonts w:cs="Times New Roman"/>
          <w:color w:val="auto"/>
        </w:rPr>
      </w:pPr>
      <w:r>
        <w:rPr>
          <w:rFonts w:cs="Times New Roman"/>
          <w:color w:val="auto"/>
        </w:rPr>
        <w:t>南盘江（曲靖市境内）流域综合规划包含水资源保护、河湖生态保护等规划方案，其中水资源保护规划提出入河排污口整治与调整、水源涵养与水源地保护、面源控制与内源治理等多项举措，促进南盘江（曲靖市境内）流域水环境呈良性发展，保障区域主要农村饮用水水源地水质达标，建立完善的水资源保护体系，保障水资源的良性循环。河湖生态保护规划提出到2035年，南盘江流域（曲靖段）国省控地表水水质稳定达标，优良率100%；县级及以上集中式饮用水源达标率100%；生态流量得到有效保障，对于纳入生态流量保障重要河湖名录的主要控制断面，重点河湖基本生态流量达标率达到90%以上。流域河湖岸线空间得到有效保护，河湖生态系统维持良好。珍稀特有物种种群得到有效保护，水生生物多样性和完整性得到维系。</w:t>
      </w:r>
    </w:p>
    <w:p w14:paraId="309FAC49">
      <w:pPr>
        <w:ind w:firstLine="480" w:firstLineChars="200"/>
        <w:rPr>
          <w:rFonts w:hint="default" w:ascii="Times New Roman" w:hAnsi="Times New Roman" w:cs="Times New Roman"/>
          <w:color w:val="auto"/>
          <w:highlight w:val="none"/>
        </w:rPr>
      </w:pPr>
      <w:r>
        <w:rPr>
          <w:rFonts w:cs="Times New Roman"/>
          <w:color w:val="auto"/>
        </w:rPr>
        <w:t>本流域规划有效衔接了《云南省“十四五”生态环境保护规划》提出的生态环境保护要求，综上所述，本规划与《云南省“十四五”生态环境保护规划》是相协调的。</w:t>
      </w:r>
    </w:p>
    <w:p w14:paraId="116961CE">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与《云南省农田灌溉发展规划》的协调性分析</w:t>
      </w:r>
    </w:p>
    <w:p w14:paraId="48A5947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云南省农田灌溉发展规划》提出，在集约节约用水和保障国家粮食安全的前提下谋划农田灌溉发展规划，围绕云南粮食安全和高原特色农业发展、云南水安全、生态文明建设等的要求，努力构建“设施完善、技术先进、管理科学、用水高效、生态良好、保障有力”的现代灌排体系，支撑打造旱能灌、涝能排、机能耕、车能运的“新时代元阳梯田”生态灌区。其中滇东北总体布局为重点保障小麦、玉米等粮食作物种植，适度发展水果、中药材、畜禽，建设一批特色现代农业基地。《云南省农田灌溉发展规划》规划新建大型灌区38件、续建大型灌区12件、新建中型灌区92件、续建中型灌区184件，总投资4240亿元。</w:t>
      </w:r>
    </w:p>
    <w:p w14:paraId="133D1B1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《云南省农田灌溉发展规划》明确提出要"紧紧围绕全省'米袋子''菜篮子''花盘子'灌溉保供水核心任务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本规划与《云南省农田灌溉发展规划》中以保障粮食安全的根本目标相协调，通过规划罗师灌区、富源灌区、沾马灌区共3件大型灌区工程，通过流域内水资源优化配置为粮食生产提供灌溉保障。本规划遵循"坚持以水而定、量水而行，统筹全市生活、生产和生态用水，科学合理配置水资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的要求，在水资源刚性约束下统筹生活、生产、生态用水。通过南盘江（曲靖市境内）流域水资源的科学配置与高效利用，既保障了“米袋子”“菜篮子”的灌溉供水安全，又践行了集约节约用水理念。</w:t>
      </w:r>
    </w:p>
    <w:p w14:paraId="3FAD9BA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因此，本流域综合规划与《云南省农田灌溉发展规划》是相协调的。</w:t>
      </w:r>
    </w:p>
    <w:p w14:paraId="511ED976">
      <w:pPr>
        <w:pStyle w:val="6"/>
        <w:numPr>
          <w:ilvl w:val="3"/>
          <w:numId w:val="4"/>
        </w:numPr>
        <w:spacing w:before="156" w:after="156"/>
        <w:rPr>
          <w:rFonts w:hint="default" w:ascii="Times New Roman" w:hAnsi="Times New Roman" w:eastAsiaTheme="minorEastAsia"/>
          <w:color w:val="auto"/>
        </w:rPr>
      </w:pPr>
      <w:r>
        <w:rPr>
          <w:rFonts w:hint="default" w:ascii="Times New Roman" w:hAnsi="Times New Roman" w:eastAsiaTheme="minorEastAsia"/>
          <w:color w:val="auto"/>
        </w:rPr>
        <w:t>与《云南省重点流域水生态环境保护“十</w:t>
      </w:r>
      <w:r>
        <w:rPr>
          <w:rFonts w:ascii="Times New Roman" w:hAnsi="Times New Roman" w:eastAsiaTheme="minorEastAsia"/>
          <w:color w:val="auto"/>
        </w:rPr>
        <w:t>四</w:t>
      </w:r>
      <w:r>
        <w:rPr>
          <w:rFonts w:hint="default" w:ascii="Times New Roman" w:hAnsi="Times New Roman" w:eastAsiaTheme="minorEastAsia"/>
          <w:color w:val="auto"/>
        </w:rPr>
        <w:t>五”规划》的协调性分析</w:t>
      </w:r>
    </w:p>
    <w:p w14:paraId="14C288B4">
      <w:pPr>
        <w:ind w:firstLine="480" w:firstLineChars="200"/>
        <w:rPr>
          <w:rFonts w:cs="Times New Roman"/>
          <w:color w:val="auto"/>
        </w:rPr>
      </w:pPr>
      <w:r>
        <w:rPr>
          <w:rFonts w:cs="Times New Roman"/>
          <w:color w:val="auto"/>
        </w:rPr>
        <w:t>《云南省重点流域水生态环境保护“十</w:t>
      </w:r>
      <w:r>
        <w:rPr>
          <w:rFonts w:hint="eastAsia" w:cs="Times New Roman"/>
          <w:color w:val="auto"/>
        </w:rPr>
        <w:t>四</w:t>
      </w:r>
      <w:r>
        <w:rPr>
          <w:rFonts w:cs="Times New Roman"/>
          <w:color w:val="auto"/>
        </w:rPr>
        <w:t>五”规划》（下称《水生态环境保护规划》）</w:t>
      </w:r>
      <w:r>
        <w:rPr>
          <w:rFonts w:hint="eastAsia" w:cs="Times New Roman"/>
          <w:color w:val="auto"/>
        </w:rPr>
        <w:t>规划目标为水环境质量持续改善、河湖生态用水逐步得到恢复、河湖生态保护修复有效推动。坚持以水定城、以水定地、以水定人、以水定产，以磷污染治理和重金属环境风险防控为重点，深入推进珠江流域水污染防治，优化水资源利用，加快河湖生态修复和保护，强化流域“三水统筹”和山水林田湖系统治理，实现珠江流域水生态环境全面整体性改善。其中珠江流域重要水体保护要点中对南盘江提出：（</w:t>
      </w:r>
      <w:r>
        <w:rPr>
          <w:rFonts w:cs="Times New Roman"/>
          <w:color w:val="auto"/>
        </w:rPr>
        <w:t>1</w:t>
      </w:r>
      <w:r>
        <w:rPr>
          <w:rFonts w:hint="eastAsia" w:cs="Times New Roman"/>
          <w:color w:val="auto"/>
        </w:rPr>
        <w:t>）以涉磷企业为重点，加大工业企业环境监管，排查沿江工业园污水管网破损、混接漏接，加快整治，推动工业企业稳定达标排放，规范料场堆放管理，建设厂区初期雨水收集设施，加强水陆统筹，深入磷污染控制。（</w:t>
      </w:r>
      <w:r>
        <w:rPr>
          <w:rFonts w:cs="Times New Roman"/>
          <w:color w:val="auto"/>
        </w:rPr>
        <w:t>2</w:t>
      </w:r>
      <w:r>
        <w:rPr>
          <w:rFonts w:hint="eastAsia" w:cs="Times New Roman"/>
          <w:color w:val="auto"/>
        </w:rPr>
        <w:t>）开展干流沿线入河排污口“查、测、溯、治”，实施入河排污口分区管理。（</w:t>
      </w:r>
      <w:r>
        <w:rPr>
          <w:rFonts w:cs="Times New Roman"/>
          <w:color w:val="auto"/>
        </w:rPr>
        <w:t>3</w:t>
      </w:r>
      <w:r>
        <w:rPr>
          <w:rFonts w:hint="eastAsia" w:cs="Times New Roman"/>
          <w:color w:val="auto"/>
        </w:rPr>
        <w:t>）加强南盘江干流沿线城镇、乡镇、村庄污水处理设施建设，完善配套管网建设，推进污水处理厂提标改造，提高城镇生活污水处理能力，补齐沿江农村污水收集处理短板，杜绝生活污水直排。（</w:t>
      </w:r>
      <w:r>
        <w:rPr>
          <w:rFonts w:cs="Times New Roman"/>
          <w:color w:val="auto"/>
        </w:rPr>
        <w:t>4</w:t>
      </w:r>
      <w:r>
        <w:rPr>
          <w:rFonts w:hint="eastAsia" w:cs="Times New Roman"/>
          <w:color w:val="auto"/>
        </w:rPr>
        <w:t>）加大农业面源污染治理力度，因地制宜适度调整优化种植结构，科学施用化肥农药，提高灌溉用水效率和农业废弃物利用效率，严格落实畜禽禁限养区制度。（</w:t>
      </w:r>
      <w:r>
        <w:rPr>
          <w:rFonts w:cs="Times New Roman"/>
          <w:color w:val="auto"/>
        </w:rPr>
        <w:t>5</w:t>
      </w:r>
      <w:r>
        <w:rPr>
          <w:rFonts w:hint="eastAsia" w:cs="Times New Roman"/>
          <w:color w:val="auto"/>
        </w:rPr>
        <w:t>）以南盘江干流狗街断面至禄丰村断面河道为重点，加强电站河段生态流量监测，落实生态流量下泄措施，加大河道内水葫芦清理，确保南盘江干流江边街断面月均最小下泄生态流量目标</w:t>
      </w:r>
      <w:r>
        <w:rPr>
          <w:rFonts w:cs="Times New Roman"/>
          <w:color w:val="auto"/>
        </w:rPr>
        <w:t>20.3</w:t>
      </w:r>
      <w:r>
        <w:rPr>
          <w:rFonts w:hint="eastAsia" w:cs="Times New Roman"/>
          <w:color w:val="auto"/>
        </w:rPr>
        <w:t>立方米</w:t>
      </w:r>
      <w:r>
        <w:rPr>
          <w:rFonts w:cs="Times New Roman"/>
          <w:color w:val="auto"/>
        </w:rPr>
        <w:t>/</w:t>
      </w:r>
      <w:r>
        <w:rPr>
          <w:rFonts w:hint="eastAsia" w:cs="Times New Roman"/>
          <w:color w:val="auto"/>
        </w:rPr>
        <w:t>秒，巩固最严格水资源管理制度，提升流域再生水循环利用率。（</w:t>
      </w:r>
      <w:r>
        <w:rPr>
          <w:rFonts w:cs="Times New Roman"/>
          <w:color w:val="auto"/>
        </w:rPr>
        <w:t>6</w:t>
      </w:r>
      <w:r>
        <w:rPr>
          <w:rFonts w:hint="eastAsia" w:cs="Times New Roman"/>
          <w:color w:val="auto"/>
        </w:rPr>
        <w:t>）开展珠江源保护区石漠化修复，开展南盘江干支流河岸缓冲带生态修复，恢复南盘江玉溪段、清水江文山丘北段等河段的天然湿地，新建南盘江玉溪段和红河州段的人工湿地；建立南盘江水生生态监测制度和外来物种防控机制，重点对五洛河盘口鲮、暗色唇鲮、多依河白鱼、长鳍直口鲮、罗平金线鲃等土著鱼类资源，以及外来鱼类威胁开展生态监测。</w:t>
      </w:r>
    </w:p>
    <w:p w14:paraId="5A8989AF">
      <w:pPr>
        <w:ind w:firstLine="480" w:firstLineChars="200"/>
        <w:rPr>
          <w:rFonts w:cs="Times New Roman"/>
          <w:color w:val="auto"/>
        </w:rPr>
      </w:pPr>
      <w:r>
        <w:rPr>
          <w:rFonts w:cs="Times New Roman"/>
          <w:color w:val="auto"/>
        </w:rPr>
        <w:t>本流域综合规划从生态整体性和流域系统性出发，南盘江干流以强化源头区保护治理为主，加强饮用水水源保护、源头水土流失预防保护，加强响水坝等水库联合调度，保障河湖基本生态用水。北部主要支流聚焦潇湘江等水系的污染治理与生态修复，削减入河污染负荷，完善以水质安全保障、饮用水水源保护、岸线空间管控与保护、水生态保护与修复为主要任务的河湖生态保护体系；南部主要支流聚焦五洛河、多依河和牛街河，重点推进沿岸生态缓冲带建设，完善以岸线空间管控与保护、水生态保护与修复的水生生物保护体系。通过构建“干流引领、支流协同”的保护格局，实施差异化管控措施，确保各区域生态保护任务精准落地。同时，加强跨行政区协作，建立上下游联防联控机制，共同维护流域水生态安全，实现水资源、水环境、水生态的统筹治理与系统改善。大力发展节水灌溉，提出农业节水主要对策及措施，积极推进罗师、富源、沾马大型灌区建设、大力发展旱作农业等，推进南盘江流域节水农业建设，进一步提高南盘江（曲靖市境内）流域水资源利用效率，是与《云南省重点流域水生态环境保护“十</w:t>
      </w:r>
      <w:r>
        <w:rPr>
          <w:rFonts w:hint="eastAsia" w:cs="Times New Roman"/>
          <w:color w:val="auto"/>
        </w:rPr>
        <w:t>四</w:t>
      </w:r>
      <w:r>
        <w:rPr>
          <w:rFonts w:cs="Times New Roman"/>
          <w:color w:val="auto"/>
        </w:rPr>
        <w:t>五”规划》</w:t>
      </w:r>
      <w:r>
        <w:rPr>
          <w:rFonts w:hint="eastAsia" w:cs="Times New Roman"/>
          <w:color w:val="auto"/>
          <w:lang w:val="en-US" w:eastAsia="zh-CN"/>
        </w:rPr>
        <w:t>方</w:t>
      </w:r>
      <w:r>
        <w:rPr>
          <w:rFonts w:cs="Times New Roman"/>
          <w:color w:val="auto"/>
        </w:rPr>
        <w:t>向契合的。</w:t>
      </w:r>
    </w:p>
    <w:p w14:paraId="4824BCE7">
      <w:pPr>
        <w:ind w:firstLine="480" w:firstLineChars="200"/>
        <w:rPr>
          <w:rFonts w:hint="default" w:ascii="Times New Roman" w:hAnsi="Times New Roman" w:cs="Times New Roman"/>
          <w:color w:val="auto"/>
          <w:highlight w:val="none"/>
        </w:rPr>
      </w:pPr>
      <w:r>
        <w:rPr>
          <w:rFonts w:cs="Times New Roman"/>
          <w:color w:val="auto"/>
        </w:rPr>
        <w:t>综上所述，本规划与《云南省重点流域水生态环境保护“十</w:t>
      </w:r>
      <w:r>
        <w:rPr>
          <w:rFonts w:hint="eastAsia" w:cs="Times New Roman"/>
          <w:color w:val="auto"/>
        </w:rPr>
        <w:t>四</w:t>
      </w:r>
      <w:r>
        <w:rPr>
          <w:rFonts w:cs="Times New Roman"/>
          <w:color w:val="auto"/>
        </w:rPr>
        <w:t>五”规划》是相协调的。</w:t>
      </w:r>
    </w:p>
    <w:p w14:paraId="02E6D6ED">
      <w:pPr>
        <w:pStyle w:val="5"/>
        <w:keepNext w:val="0"/>
        <w:keepLines w:val="0"/>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与地方规划的符合性分析</w:t>
      </w:r>
    </w:p>
    <w:p w14:paraId="010BB2DE">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与《曲靖市国土空间总体规划（2021</w:t>
      </w:r>
      <w:r>
        <w:rPr>
          <w:rFonts w:hint="default" w:ascii="Times New Roman" w:hAnsi="Times New Roman" w:cs="Times New Roman" w:eastAsiaTheme="minorEastAsia"/>
          <w:color w:val="auto"/>
          <w:highlight w:val="none"/>
          <w:lang w:eastAsia="zh-CN"/>
        </w:rPr>
        <w:t>—</w:t>
      </w:r>
      <w:r>
        <w:rPr>
          <w:rFonts w:hint="default" w:ascii="Times New Roman" w:hAnsi="Times New Roman" w:cs="Times New Roman" w:eastAsiaTheme="minorEastAsia"/>
          <w:color w:val="auto"/>
          <w:highlight w:val="none"/>
        </w:rPr>
        <w:t>2035年）》的符合性分析</w:t>
      </w:r>
    </w:p>
    <w:p w14:paraId="7CC95E7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《曲靖市国土空间总体规划（2021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2035年）》针对曲靖市南盘江</w:t>
      </w:r>
      <w:r>
        <w:rPr>
          <w:rFonts w:hint="eastAsia" w:cs="Times New Roman"/>
          <w:color w:val="auto"/>
          <w:highlight w:val="none"/>
          <w:lang w:eastAsia="zh-CN"/>
        </w:rPr>
        <w:t>（</w:t>
      </w:r>
      <w:r>
        <w:rPr>
          <w:rFonts w:hint="eastAsia" w:cs="Times New Roman"/>
          <w:color w:val="auto"/>
          <w:highlight w:val="none"/>
          <w:lang w:val="en-US" w:eastAsia="zh-CN"/>
        </w:rPr>
        <w:t>曲靖市境内</w:t>
      </w:r>
      <w:r>
        <w:rPr>
          <w:rFonts w:hint="eastAsia" w:cs="Times New Roman"/>
          <w:color w:val="auto"/>
          <w:highlight w:val="none"/>
          <w:lang w:eastAsia="zh-CN"/>
        </w:rPr>
        <w:t>）</w:t>
      </w:r>
      <w:r>
        <w:rPr>
          <w:rFonts w:hint="default" w:ascii="Times New Roman" w:hAnsi="Times New Roman" w:cs="Times New Roman"/>
          <w:color w:val="auto"/>
          <w:highlight w:val="none"/>
        </w:rPr>
        <w:t>流域提出①控制化肥、农药用量，控制农膜残留，对潇湘水库等重要水源地和南盘江、北盘江、牛栏江等重要江河源头及支流水系周边从严管控；②推进农村生活污水治理，采取分区分类的方式，优先整治南盘江、牛栏江等流域，推进农村粪污治理，实施农村“厕所革命”；③重点推动珠江生态廊带、南盘江一黄泥河次级生态廊带以及滇东北一滇中水土保持廊带的生态建设和生态修复；④牢固树立上游意识，加强珠江流域（曲靖段）源头治理，改善南盘江及北盘江等重点流域生态环境和水域生态功能，深化水污染防治工作；⑤实施南盘江水系流域生态修复工程，建设河流生态缓冲带，开展生态护坡护岸建设，开展植被恢复和湿地修复，丰富河流湿地生物多样性，促进河岸生态系统稳定，提升河流自净能力，提高河流生态功能；⑥严守水资源开发利用控制、用水效率控制和水功能区限制纳污“三条红线”，严控水资源开发利用上限建立水资源刚性约束制度。⑦谋划建成一批以水库为重点蓄、引、提、调相结合的水源工程。提高全市水资源调控能力和抵御重大干旱风险的能力，基本形成水资源合理配置格局，中心城区和县城实现多水源供水、乡（镇）实现库塘供水，基本实现村村通自来水，经济社会发展供需水矛盾明显改善基本形成与农业产业化、新型城镇化、新型工业化相适应的城乡供水安全保障体系。</w:t>
      </w:r>
    </w:p>
    <w:p w14:paraId="0ABFE9D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建设重要城镇应急水源；稳步推进流域内骨干水源工程建设，加快推进部分水源工程前期研究工作，进一步完善城镇供水体系，合理增加城市供水量。科学制定抗旱应急供水预案，优化水资源统一调配和管理，满足城乡生活用水、农业、工业、生态环境等用水需要。规划新建重点水利工程增强南盘江流域内水资源调配能力，破解曲靖中心城区资源性缺水及水质性缺水难题。推进云南省南盘江（珠江源头）及主要支流生态保护修复，加强水生生物栖息地建设与保护，持续推进流域生态治理和修复；全面开展河湖控制断面和已建水利水电工程生态流量目标确定，加强生态流量泄放和调度；强化河湖水域岸线空间管控；完善水质水生态监测体系，强化饮用水水源地监测。</w:t>
      </w:r>
    </w:p>
    <w:p w14:paraId="530EB7E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综上，本规划与《曲靖市国土空间总体规划（2021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2035年）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是相符合的。</w:t>
      </w:r>
    </w:p>
    <w:p w14:paraId="4DFCF0B1">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与《曲靖市水网建设规划》的符合性分析</w:t>
      </w:r>
    </w:p>
    <w:p w14:paraId="6F20D8C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曲靖市水网建设规划》主要规划有“五网”，分别为城乡供水保障网、现代产业节水支撑网、江河防洪安全网、水生态文明修复网、智慧水利数字信息网，规划项目共394件，总投资760.21亿元，以南盘江等4条主要水系及牛栏江德泽水库引水济曲工程等跨流域引调水工程为“纲”，以曲靖、罗师、宣威、会泽、富源、沾马6个大型灌区、城市防洪及水系连通工程为“目”，以德泽、车马碧、黑滩河、独木、毛家村、阿岗等大中型水库为“结”，构建“一主三片五网、四江多源互济”水网空间布局，打造“五横七纵、六灌八库、四带六点”的骨干网布局。</w:t>
      </w:r>
    </w:p>
    <w:p w14:paraId="5B6EF75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的重点水利工程，罗师灌区、富源灌区、沾马灌区为水网规划中新建大型灌区工程；曲靖市牛栏江德泽水库引水济曲工程为水网规划中的重大引调水工程；陆良县引水入陆工程为水网规划中中型引调水共工程；云南省南盘江（珠江源头）生态保护修复工程为水网规划中重点水生态项目。</w:t>
      </w:r>
    </w:p>
    <w:p w14:paraId="295C1E2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因此，本规划与《曲靖市水网建设规划》是相符的。</w:t>
      </w:r>
    </w:p>
    <w:p w14:paraId="7FEE14ED">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与《曲靖市“十五五”水安全保障规划》的符合性分析</w:t>
      </w:r>
    </w:p>
    <w:p w14:paraId="205A10F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《曲靖市“十五五”水安全保障规划》践行 </w:t>
      </w:r>
      <w:r>
        <w:rPr>
          <w:rFonts w:hint="eastAsia" w:cs="Times New Roman"/>
          <w:color w:val="auto"/>
          <w:highlight w:val="none"/>
          <w:lang w:eastAsia="zh-CN"/>
        </w:rPr>
        <w:t>“节水优先、空间均衡、系统治理、两手发力”</w:t>
      </w:r>
      <w:r>
        <w:rPr>
          <w:rFonts w:hint="default" w:ascii="Times New Roman" w:hAnsi="Times New Roman" w:cs="Times New Roman"/>
          <w:color w:val="auto"/>
          <w:highlight w:val="none"/>
        </w:rPr>
        <w:t>治水思路，落实四水四定，服务云南副中心城市、农业强市建设。构建五张网：城乡供水保障网、现代农业节水支撑网、江河防洪安全网、水生态修复网、智慧水利数字赋能网。坚持强配置、保供水、防洪水、优灌溉、修生态、提智慧、深改革。</w:t>
      </w:r>
    </w:p>
    <w:p w14:paraId="45B79A3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到2030年，主要发展目标：（1）供水安全：骨干水源工程体系进一步完善，黑滩河等水库建成投运；城乡供水一体化覆盖率大幅提升；农村自来水普及率进一步提高；保障城市、园区、产业、粮食生产用水；应急备用水源体系基本建成。（2）防洪减灾：重要江河堤防达标率显著提升；病险水库、水闸全部完成除险加固；中小河流、山洪沟治理持续推进；完善 “1262” </w:t>
      </w:r>
      <w:r>
        <w:rPr>
          <w:rFonts w:hint="default" w:ascii="Times New Roman" w:hAnsi="Times New Roman" w:cs="Times New Roman"/>
          <w:color w:val="auto"/>
          <w:highlight w:val="green"/>
        </w:rPr>
        <w:t>预警“叫应</w:t>
      </w:r>
      <w:r>
        <w:rPr>
          <w:rFonts w:hint="default" w:cs="Times New Roman"/>
          <w:color w:val="auto"/>
          <w:highlight w:val="green"/>
          <w:lang w:val="en-US" w:eastAsia="zh-CN"/>
        </w:rPr>
        <w:t>”</w:t>
      </w:r>
      <w:r>
        <w:rPr>
          <w:rFonts w:hint="default" w:ascii="Times New Roman" w:hAnsi="Times New Roman" w:cs="Times New Roman"/>
          <w:color w:val="auto"/>
          <w:highlight w:val="green"/>
        </w:rPr>
        <w:t>机制</w:t>
      </w:r>
      <w:r>
        <w:rPr>
          <w:rFonts w:hint="default" w:ascii="Times New Roman" w:hAnsi="Times New Roman" w:cs="Times New Roman"/>
          <w:color w:val="auto"/>
          <w:highlight w:val="none"/>
        </w:rPr>
        <w:t>，水旱灾害防御现代化水平显著提高。（3）节水灌溉：大中型灌区现代化改造加快推进，罗师灌区、会泽灌区等重大灌区落地；农田灌溉水有效利用系数稳步提高；节水型社会建设纵深推进。（4）水生态安全：重点河湖生态流量基本保障；水土流失综合治理力度加大；河湖岸线管控、清四乱常态化；美丽河湖、幸福河湖建设提质，支撑珠江源生态保护修复。（5）智慧水利：数字孪生流域、数字孪生工程建设，构建南盘江等智慧水利平台，取用水在线监测全覆盖。（6）改革管理：小型水库物业化管护全面深化；水价改革、水权、生态产品价值实现机制持续完善。规划六大重点任务，优化水资源配置、筑牢城乡供水保障网，建设现代化灌区、夯实农业水安全支撑网，完善防洪减灾体系、织密江河防洪安全网，推进水生态保护修复、构建人水和谐水生态网，数字孪生与智慧水利建设，深化水利改革创新。</w:t>
      </w:r>
    </w:p>
    <w:p w14:paraId="53D2CE9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任务包括防洪减灾、节约用水、城乡供水、灌溉、跨流域引调水、水资源保护、河湖生态保护、水土保持、重大水利工程规划等，从流域全局考虑水能水资源的开发利用，兼顾水资源的保护与节约，统筹上下游、左右岸的用水需求，以保障生态用水为前提，再布局农灌、工业供水。本规划重点水利工程包含灌区工程、引调水工程、水生态保护和修复工程、扩建水源工程等均为水利基础设施，本规划以提高水资源利用效率和效益为目标，优化配置流域水资源，以河湖生态保护、水资源保护和水土保持为引导，大力推进水生态文明建设，实现流域水土资源可持续利用和流域社会经济可持续发展。</w:t>
      </w:r>
    </w:p>
    <w:p w14:paraId="0FE38A2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因此，本规划与《曲靖市“十五五”水安全保障规划》是相符的。</w:t>
      </w:r>
    </w:p>
    <w:p w14:paraId="3D5A1D55">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 xml:space="preserve">与《曲靖市重点流域水生态环境保护“十五五”规划》的符合性分析  </w:t>
      </w:r>
    </w:p>
    <w:p w14:paraId="4A311D9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《曲靖市重点流域水生态环境保护“十五五”规划》提出坚持保好水、治差水、护饮水，推动治理模式 “四个转变”：从单一治污转向污染治理与水生态系统修复并重；从以水质指标为主转向水质‑水生态协同考核；从属地治理转向跨区域流域协同共治；从单点项目转向流域系统综合治理。服务云南副中心城市建设，打造珠江源头水生态保护样板。</w:t>
      </w:r>
    </w:p>
    <w:p w14:paraId="11C6C4F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2030年主要目标：（1）水环境质量：国、省控断面水质优良率保持全省前列，全面消除劣Ⅴ类水体；珠江源头干流稳定Ⅱ类；牛栏江干流水质稳定优良；重点支流持续提质增效；城市黑臭水体长治久清，农村黑臭水体动态清零。（2）饮用水安全：县级及以上集中式饮用水水源地水质达标率100%，千吨万人水源规范化建设全覆盖，独木水库等重点水源地风险全面管控整改到位。（3）水生态保护：重点河湖生态流量保障水平显著提升；河湖缓冲带、湿地修复持续推进；长江十年禁渔成效巩固；美丽河湖建成率达到 60% 以上，建成一批省、市级美丽河湖幸福河湖。（4）风险防控：入河排污口实现闭环监管；矿山尾矿库、磷化工、涉重金属流域环境风险有效管控。</w:t>
      </w:r>
    </w:p>
    <w:p w14:paraId="44818A6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干流及中心城区河段落实珠江源山水林田湖草沙一体化保护修复，推进南盘江干流生态缓冲带、滨水湿地建设；补齐麒沾马一体化片区雨污分流管网短板，提升城市污水处理厂出水标准；整治潇湘江、白石江等城市内河；强化工业园区废水监管；严控坝区农业面源，削减氮磷入河负荷；开展入河排污口溯源整治，完善再生水利用；保障河道生态流量，推进美丽河湖建设。黄泥河（南盘江一级支流，富源）河道综合治理，矿山、尾矿库风险排查整治；严控工矿污染，治理坡耕地水土流失，防范汛期污染冲击，保障出境断面水质稳定达标。</w:t>
      </w:r>
    </w:p>
    <w:p w14:paraId="64A3225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本流域综合规划中城乡供水、灌溉、跨流域引调水、水资源保护、河湖生态保护、水土保持、重大水利工程规划等均属于非污染生态类项目，规划统筹区域排污管控、水资源循环利</w:t>
      </w:r>
      <w:r>
        <w:rPr>
          <w:rFonts w:hint="default" w:ascii="Times New Roman" w:hAnsi="Times New Roman" w:cs="Times New Roman"/>
          <w:color w:val="auto"/>
          <w:highlight w:val="none"/>
          <w:lang w:eastAsia="zh-CN"/>
        </w:rPr>
        <w:t>用等</w:t>
      </w:r>
      <w:r>
        <w:rPr>
          <w:rFonts w:hint="default" w:ascii="Times New Roman" w:hAnsi="Times New Roman" w:cs="Times New Roman"/>
          <w:color w:val="auto"/>
          <w:highlight w:val="none"/>
        </w:rPr>
        <w:t>相关内容，可协同削减入河污染物负荷，减少污染物排放对南盘江水环境的不利影响。水生态保护与修复规划通过构建“干流引领、支流协同”的保护格局，流域河湖岸线空间得到有效保护，河湖生态系统维持良好。珍稀特有物种种群得到有效保护，水生生物多样性和完整性得到维系，实现水资源、水环境、水生态的统筹治理与系统改善。本规划包含节水规划、水资源保护区规划，以水资源优化配置、节约集约利用为导向，水库、引调水工程可统筹生态水量调度，落实生态流量下泄要求，配套监测管控体系建设，保障南盘江干支流生态流量底线，符合水资源保护利用相关规定。</w:t>
      </w:r>
    </w:p>
    <w:p w14:paraId="117E8C7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因此，本规划与《曲靖市重点流域水生态环境保护“十五五”规划》是相符的。</w:t>
      </w:r>
    </w:p>
    <w:p w14:paraId="2191D453">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w:t>
      </w:r>
      <w:r>
        <w:rPr>
          <w:rFonts w:hint="eastAsia" w:ascii="Times New Roman" w:hAnsi="Times New Roman" w:cs="Times New Roman" w:eastAsiaTheme="minorEastAsia"/>
          <w:color w:val="auto"/>
          <w:highlight w:val="none"/>
          <w:lang w:eastAsia="zh-CN"/>
        </w:rPr>
        <w:t>《</w:t>
      </w:r>
      <w:r>
        <w:rPr>
          <w:rFonts w:hint="eastAsia"/>
          <w:color w:val="auto"/>
          <w:highlight w:val="white"/>
        </w:rPr>
        <w:t>曲靖市国民经济和社会发展第十五个五年规划纲要</w:t>
      </w:r>
      <w:r>
        <w:rPr>
          <w:rFonts w:hint="eastAsia"/>
          <w:color w:val="auto"/>
        </w:rPr>
        <w:t>》</w:t>
      </w:r>
      <w:r>
        <w:rPr>
          <w:rFonts w:hint="default" w:ascii="Times New Roman" w:hAnsi="Times New Roman" w:cs="Times New Roman" w:eastAsiaTheme="minorEastAsia"/>
          <w:color w:val="auto"/>
          <w:highlight w:val="none"/>
        </w:rPr>
        <w:t>的符合性分析</w:t>
      </w:r>
    </w:p>
    <w:p w14:paraId="195CA51D">
      <w:pPr>
        <w:ind w:firstLine="480" w:firstLineChars="200"/>
        <w:rPr>
          <w:rFonts w:hint="default" w:ascii="Times New Roman" w:hAnsi="Times New Roman" w:cs="Times New Roman"/>
          <w:color w:val="auto"/>
          <w:highlight w:val="none"/>
        </w:rPr>
      </w:pPr>
      <w:r>
        <w:rPr>
          <w:rFonts w:hint="eastAsia" w:cs="Times New Roman"/>
          <w:color w:val="auto"/>
          <w:highlight w:val="none"/>
          <w:lang w:eastAsia="zh-CN"/>
        </w:rPr>
        <w:t>《</w:t>
      </w:r>
      <w:r>
        <w:rPr>
          <w:rFonts w:hint="default" w:ascii="Times New Roman" w:hAnsi="Times New Roman" w:cs="Times New Roman"/>
          <w:color w:val="auto"/>
          <w:highlight w:val="none"/>
        </w:rPr>
        <w:t>曲靖市国民经济和社会发展第十五个五年规划纲要》提出：要加快水利基础设施建设，大力实施水利基础设施补短板行动，全面提升水资源优化配置和水旱灾害防御能力，基本消除区域性、大面积干旱。大力推进骨干水源工程建设，全面完成大型灌区和重点中型灌区骨干工程续建配套与节水改造任务。加快建设水系连通工程，大力推进城乡供水一体化、农村供水规模化标准化建设，提高水资源配置和供给能力。实施现代水网建设，推进黑滩河水库、罗师灌区等重大水利工程，完善城乡供水一体化，提升防洪减灾能力。</w:t>
      </w:r>
    </w:p>
    <w:p w14:paraId="63F801C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本流域综合规划中重点工程大型灌区工程、引调水工程、水源工程的建设提升流域水资源利用与供水安全保障，</w:t>
      </w:r>
      <w:bookmarkStart w:id="63" w:name="_Hlk238991366"/>
      <w:r>
        <w:rPr>
          <w:rFonts w:hint="default" w:ascii="Times New Roman" w:hAnsi="Times New Roman" w:cs="Times New Roman"/>
          <w:color w:val="auto"/>
          <w:highlight w:val="none"/>
        </w:rPr>
        <w:t>规划工程的建设增强南盘江流域内水资源调配能力，破解曲靖中心城区资源性缺水及水质性缺水难题。</w:t>
      </w:r>
    </w:p>
    <w:bookmarkEnd w:id="63"/>
    <w:p w14:paraId="2D7B97A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w:t>
      </w:r>
      <w:r>
        <w:rPr>
          <w:rFonts w:hint="eastAsia" w:cs="Times New Roman"/>
          <w:color w:val="auto"/>
          <w:highlight w:val="none"/>
          <w:lang w:eastAsia="zh-CN"/>
        </w:rPr>
        <w:t>《</w:t>
      </w:r>
      <w:r>
        <w:rPr>
          <w:rFonts w:hint="default" w:ascii="Times New Roman" w:hAnsi="Times New Roman" w:cs="Times New Roman"/>
          <w:color w:val="auto"/>
          <w:highlight w:val="none"/>
        </w:rPr>
        <w:t>曲靖市国民经济和社会发展第十五个五年规划纲要》是相符的。</w:t>
      </w:r>
    </w:p>
    <w:p w14:paraId="6BA5B45E">
      <w:pPr>
        <w:pStyle w:val="5"/>
        <w:keepNext w:val="0"/>
        <w:keepLines w:val="0"/>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与功能区划的协调性分析</w:t>
      </w:r>
    </w:p>
    <w:p w14:paraId="4F05661F">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与《全国主体功能区规划》的符合性分析</w:t>
      </w:r>
    </w:p>
    <w:p w14:paraId="5037AB1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以《全国主体功能区规划》为顶层框架，结合曲靖市3区4县，即麒麟区、沾益区、马龙区、罗平县、富源县、陆良县、师宗县作为国家级重点开发区域的功能定位，从流域开发与生态保护协同角度，系统落实国家战略导向。根据《全国主体功能区规划》，曲靖市3区4县属于“资源环境承载能力较强、经济和人口集聚条件较好”的重点开发区域。南盘江（曲靖市境内）流域综合规划明确提出“以水定城、以水定产”，</w:t>
      </w:r>
      <w:r>
        <w:rPr>
          <w:rFonts w:hint="default" w:ascii="Times New Roman" w:hAnsi="Times New Roman" w:cs="Times New Roman"/>
          <w:color w:val="auto"/>
          <w:highlight w:val="green"/>
        </w:rPr>
        <w:t>强调生态优先、绿色发展，</w:t>
      </w:r>
      <w:r>
        <w:rPr>
          <w:rFonts w:hint="default" w:ascii="Times New Roman" w:hAnsi="Times New Roman" w:cs="Times New Roman"/>
          <w:color w:val="auto"/>
          <w:highlight w:val="none"/>
        </w:rPr>
        <w:t>以优化区域水资源配置、加快建设现代水利基础设施网络、保护水生态环境为重点、以水资源保护和水土保持为着力点、加强水利行业监管为突破口，不断提升水利治理体系和治理能力现代化水平，统筹城乡、区域、经济社会、人与自然发展。</w:t>
      </w:r>
    </w:p>
    <w:p w14:paraId="02ABC98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《全国主体功能区规划》国家禁止开发区域的功能定位是：我国保护自然文化资源的重要区域，珍稀动植物基因资源保护地。国家层面禁止开发区域包括国家级自然保护区、世界</w:t>
      </w:r>
      <w:r>
        <w:rPr>
          <w:rFonts w:hint="default" w:ascii="Times New Roman" w:hAnsi="Times New Roman" w:cs="Times New Roman"/>
          <w:color w:val="auto"/>
          <w:highlight w:val="none"/>
          <w:lang w:eastAsia="zh-CN"/>
        </w:rPr>
        <w:t>文化和自然遗产</w:t>
      </w:r>
      <w:r>
        <w:rPr>
          <w:rFonts w:hint="default" w:ascii="Times New Roman" w:hAnsi="Times New Roman" w:cs="Times New Roman"/>
          <w:color w:val="auto"/>
          <w:highlight w:val="none"/>
        </w:rPr>
        <w:t>、国家级风景名胜区、国家森林公园、国家地质公园，此外，随着国家公园体制的建立，国家公园也被纳入禁止开发区域范畴，其严格保护区和生态保育区实行最严格保护。</w:t>
      </w:r>
    </w:p>
    <w:p w14:paraId="135F2C0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经复核，</w:t>
      </w:r>
      <w:bookmarkStart w:id="64" w:name="_Hlk238998254"/>
      <w:r>
        <w:rPr>
          <w:rFonts w:hint="default" w:ascii="Times New Roman" w:hAnsi="Times New Roman" w:cs="Times New Roman"/>
          <w:color w:val="auto"/>
          <w:highlight w:val="none"/>
        </w:rPr>
        <w:t>云南省南盘江（珠江源头）生态保护修复工程约36.63hm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涉及珠江源省级自然保护区实验区、36.13hm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涉及珠江源省级风景名胜区一般控制区、约38.08hm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涉及云南珠江源国家森林公园，规划沾马灌区工程约5.4km涉及</w:t>
      </w:r>
      <w:r>
        <w:rPr>
          <w:rFonts w:hint="default" w:ascii="Times New Roman" w:hAnsi="Times New Roman" w:cs="Times New Roman"/>
          <w:color w:val="auto"/>
          <w:highlight w:val="none"/>
          <w:lang w:eastAsia="zh-CN"/>
        </w:rPr>
        <w:t>马龙马过河</w:t>
      </w:r>
      <w:r>
        <w:rPr>
          <w:rFonts w:hint="default" w:ascii="Times New Roman" w:hAnsi="Times New Roman" w:cs="Times New Roman"/>
          <w:color w:val="auto"/>
          <w:highlight w:val="none"/>
        </w:rPr>
        <w:t>风景名胜区一般控制区。</w:t>
      </w:r>
      <w:bookmarkEnd w:id="64"/>
      <w:r>
        <w:rPr>
          <w:rFonts w:hint="default" w:ascii="Times New Roman" w:hAnsi="Times New Roman" w:cs="Times New Roman"/>
          <w:color w:val="auto"/>
          <w:highlight w:val="none"/>
        </w:rPr>
        <w:t>本规划涉及灌区工程能优化流域内城镇生活、工业、农村人畜及农业灌溉用水供给结构，提高了区域内的水资源优化配置率，为区域内农村生活、工业、农灌用水提供了保障，对实现经济、社会可持续发展意义重大；水生态保护与修复工程保障珠江源伏流口及南盘江干流特殊干旱期生态水量，改善珠江源区域和沾益、麒麟、陆良境内南盘江干流生态环境质量。规划的重大水利工程不属于自然保</w:t>
      </w:r>
      <w:r>
        <w:rPr>
          <w:rFonts w:hint="default" w:ascii="Times New Roman" w:hAnsi="Times New Roman" w:cs="Times New Roman"/>
          <w:color w:val="auto"/>
          <w:highlight w:val="none"/>
          <w:lang w:eastAsia="zh-CN"/>
        </w:rPr>
        <w:t>护区</w:t>
      </w:r>
      <w:r>
        <w:rPr>
          <w:rFonts w:hint="default" w:ascii="Times New Roman" w:hAnsi="Times New Roman" w:cs="Times New Roman"/>
          <w:color w:val="auto"/>
          <w:highlight w:val="none"/>
        </w:rPr>
        <w:t>、风景名胜区、森林公园管理规定内禁止项目，涉及敏感区的项目在后续工作中按敏感区规定办理相关审批手续后可开工建设。</w:t>
      </w:r>
    </w:p>
    <w:p w14:paraId="313FF98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综上所述，本规划与《全国主体功能区规划》是相符合的。</w:t>
      </w:r>
    </w:p>
    <w:p w14:paraId="6011C856">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与《云南省主体功能区划》符合性分析</w:t>
      </w:r>
    </w:p>
    <w:p w14:paraId="6288BCE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云南省主体功能区划》（下称《规划》）根据云南省不同区域的资源环境承载能力、现有开发密度和未来发展潜力，以国家对主体功能区规划编制的要求为基础，结合云南省情将全省国土空间按照开发方式分为重点开发区域、限制开发区域和禁止开发区域3类主体功能区。《规划》指出，曲靖市为滇中水资源紧缺地区，该区域应首先做好水资源节约保护，在积极开展节水型社会建设、城市再生水利用、水环境综合治理等前提下，对本区域内供水水源挖潜配套，积极实施大中型水电站水资源综合利用项目，加强水资源保护和水生态修复，加强水源涵养林建设和南盘江等流域水污染防治，加大水土流失防治力度，加强应急抗旱水源工程建设、中小河流治理、山洪灾害防治。</w:t>
      </w:r>
    </w:p>
    <w:p w14:paraId="32C3FD4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本规划涉及《规划》中的国家层面重点开发区域，禁止开发区域中的自然保护区、城市饮用水水源保护区。</w:t>
      </w:r>
    </w:p>
    <w:p w14:paraId="23D957D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（1）禁止开发区</w:t>
      </w:r>
    </w:p>
    <w:p w14:paraId="640B263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开发区域功能定位：禁止开发区域是指有代表性的自然生态系统，珍稀濒危野生动植物物种的天然集中分布地、有特殊价值的自然遗迹所在地和文化遗址等点状分布的区域。禁止开发区域包括自然保护区、风景名胜区、森林公园、地质公园、城市饮用水源保护区等。</w:t>
      </w:r>
    </w:p>
    <w:p w14:paraId="350651A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据本阶段初步核实，规划区内含有自然保护区、风景名胜区、森林公园、地质公园、湿地公园、沙漠公园、饮用水水源保护区及生态保护红线。经复核，云南省南盘江（珠江源头）生态保护修复工程约36.63hm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涉及珠江源省级自然保护区实验区、36.13hm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涉及珠江源省级风景名胜区一般控制区、约38.08hm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涉及云南珠江源国家森林公园，规划沾马灌区工程约5.4km涉及</w:t>
      </w:r>
      <w:r>
        <w:rPr>
          <w:rFonts w:hint="default" w:ascii="Times New Roman" w:hAnsi="Times New Roman" w:cs="Times New Roman"/>
          <w:color w:val="auto"/>
          <w:highlight w:val="none"/>
          <w:lang w:eastAsia="zh-CN"/>
        </w:rPr>
        <w:t>马龙马过河</w:t>
      </w:r>
      <w:r>
        <w:rPr>
          <w:rFonts w:hint="default" w:ascii="Times New Roman" w:hAnsi="Times New Roman" w:cs="Times New Roman"/>
          <w:color w:val="auto"/>
          <w:highlight w:val="none"/>
        </w:rPr>
        <w:t>风景名胜区一般控制区；自然保护地优化整合后，规划重点工程不再涉及自然保护区，但涉及风景名胜区、森林公园、</w:t>
      </w:r>
      <w:r>
        <w:rPr>
          <w:rFonts w:hint="eastAsia" w:ascii="Times New Roman" w:hAnsi="Times New Roman" w:cs="Times New Roman"/>
          <w:color w:val="auto"/>
          <w:highlight w:val="none"/>
          <w:lang w:val="en-US" w:eastAsia="zh-CN"/>
        </w:rPr>
        <w:t>湿地</w:t>
      </w:r>
      <w:r>
        <w:rPr>
          <w:rFonts w:hint="default" w:ascii="Times New Roman" w:hAnsi="Times New Roman" w:cs="Times New Roman"/>
          <w:color w:val="auto"/>
          <w:highlight w:val="none"/>
        </w:rPr>
        <w:t>公园和饮用水源保护区。</w:t>
      </w:r>
    </w:p>
    <w:p w14:paraId="41B0497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下阶段应根据项目总体布置情况，进一步复核工程与禁止开发区域位置关系，若涉及禁止开发区域，需优先调整工程方案避让，若难以避让，应及时与相应行政主管部门沟通，依法依规办理相关手续。其他重点规划水利工程在可研阶段应进一步核实规划工程与各禁止开发区的位置关系，进一步论证各项目选址的合理性，施工场地、弃渣场等不得布置于禁止开发区内，并采取相应的保护措施。</w:t>
      </w:r>
    </w:p>
    <w:p w14:paraId="22FF5FC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（2）重点开发区</w:t>
      </w:r>
    </w:p>
    <w:p w14:paraId="3A093CD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涉及的曲靖市麒麟区、马龙县、沾益区、富源县均属于国家级连片集中重点开发区域。国家级层面重点开发区域功能定位为：我国面向西南开放重要桥头堡建设的核心区，连接东南亚、南亚国家的陆路交通枢纽，面向东南亚、南亚对外开放的重要门户；全国重要的烟草、旅游、文化、能源和商贸物流基地，以化工、有色冶炼加工、生物为重点的区域性资源深加工基地，承接产业转移基地和外向型特色优势产业基地；我国城市化发展格局中特色鲜明的高原生态宜居城市群；全省跨越发展的引擎</w:t>
      </w:r>
      <w:r>
        <w:rPr>
          <w:rFonts w:hint="default" w:ascii="Times New Roman" w:hAnsi="Times New Roman" w:cs="Times New Roman"/>
          <w:color w:val="auto"/>
          <w:highlight w:val="none"/>
          <w:lang w:eastAsia="zh-CN"/>
        </w:rPr>
        <w:t>，是</w:t>
      </w:r>
      <w:r>
        <w:rPr>
          <w:rFonts w:hint="default" w:ascii="Times New Roman" w:hAnsi="Times New Roman" w:cs="Times New Roman"/>
          <w:color w:val="auto"/>
          <w:highlight w:val="none"/>
        </w:rPr>
        <w:t>我国西南地区重要的经济</w:t>
      </w:r>
      <w:r>
        <w:rPr>
          <w:rFonts w:hint="default" w:ascii="Times New Roman" w:hAnsi="Times New Roman" w:cs="Times New Roman"/>
          <w:color w:val="auto"/>
          <w:highlight w:val="none"/>
          <w:lang w:eastAsia="zh-CN"/>
        </w:rPr>
        <w:t>增长极</w:t>
      </w:r>
      <w:r>
        <w:rPr>
          <w:rFonts w:hint="default" w:ascii="Times New Roman" w:hAnsi="Times New Roman" w:cs="Times New Roman"/>
          <w:color w:val="auto"/>
          <w:highlight w:val="none"/>
        </w:rPr>
        <w:t>。发展方向为构建“一区、两带、四城、多点”一体化的滇中城市经济圈空间格局。加快滇中产业聚集区规划建设，促进形成昆（明）曲（靖）绿色经济示范带，重点建设昆明、曲靖、玉溪、楚雄4个中心城市，将以县城为重点的城市和小城镇打造为经济圈城市化、工业化发展的重要支撑。以主要快速交通为纽带，打造1小时经济圈。其中曲靖、玉溪和楚雄等城市应依托资源特点和比较优势，加强产业分工协作和对接，实现优势互补、错位发展，形成民族特色和产业特色鲜明的城市。建设高原特色农产品生产基地，发展农产品加工业，稳步提高农产品质量和效益 ，推进与周边国家的农业合作，建设外销精细蔬菜生产基地、温带鲜花生产基地和高效林业基地。</w:t>
      </w:r>
    </w:p>
    <w:p w14:paraId="0F6EDF4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提出了包括防洪减灾、水资源节约集约、城乡供水、灌溉规划、水资源保护、水生态与环境保护等在内的流域综合规划方案，布局山洪沟治理工程规划、中小河流治理工程规划、病险水库（闸）除险加固工程规划、城乡供水工程规划、区域引提水工程规划、新建大型灌区工程、水生态保护与修复工程、水土保持综合治理工程等。其中，灌区工程的实施将促进流域内农业发展，与《规划》中重点开发区发展方向中建设高原特色农业生产基地的要求相呼应。本规划工程实施后能显著提高南盘江流域内城镇和大片农田区防洪标准，形成与水资源水环境承载能力相协调的生产生活方式，有效提升水源涵养功能和生物多样性保护水平，控制流域内水土流失侵蚀强度，建成与经济社会发展相适应的水土流失综合防治体系，促进流域内水资源、水环境、水生态健康发展的同时，助力流域内工业化、城镇化开发和城镇化建设的大力发展。因此，本规划与重点开发区的功能定位和发展方向是相协调的。</w:t>
      </w:r>
    </w:p>
    <w:p w14:paraId="17DAA57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综上所述，本规划与《云南省主体功能区划》是相符合的。</w:t>
      </w:r>
    </w:p>
    <w:p w14:paraId="1D2B835D">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与《全国生态功能区划》的符合性分析</w:t>
      </w:r>
    </w:p>
    <w:p w14:paraId="3DB55CB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全国生态功能区划》（2015年修编版），将全国生态功能区划分为3大类、9个类型和242个生态功能区，其中生态调节功能区包括水源涵养、生物多样性保护、土壤保持、防风固沙、洪水调蓄等5类，是保障国家生态安全的核心区域。</w:t>
      </w:r>
    </w:p>
    <w:p w14:paraId="71B2DDA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经复核，南盘江（曲靖市境内）流域综合规划范围涉及I-01-24珠江源水源涵养功能区、I-03-12滇东土壤保持功能区。其中，珠江源水源涵养功能区主要生态问题为：森林过度砍伐、天然林破坏导致水源涵养能力下降；不合理的土地利用和陡坡开垦造成水土流失加剧；湿地萎缩、面积减少，水源调蓄功能退化；河道淤积、水环境质量下降。主要保护方向为：加强水源涵养林建设和退化植被恢复重建；开展生态清洁小流域建设，加强大江大河源头及上游地区的小流域治理和植树造林种草；维护或重建湿地、森林、草原等生态系统；严格控制人为开发活动强度，保护流域水生态环境。滇东土壤保持功能区主要生态问题为：毁林毁草开荒带来的生态系统退化问题突出，表现为植被覆盖度低、水土流失严重、石漠化面积大、干旱缺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主要保护方向：严格保护现存植被；对生态退化严重区采取封禁措施，对中、轻度石漠化地区，改进种植制度和农业措施；对人口超过生态承载力的区域实施生态移民措施，推进劳动力转移，降低人口对土地的依赖性；改变粗放生产经营方式，发展生态农业。</w:t>
      </w:r>
    </w:p>
    <w:p w14:paraId="75ED3AB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本规划中水资源保护规划提出了水源涵养与水源地保护，持续改善流域水生态环境质量，恢复河岸植被覆盖，增强流域水源涵养能力。这些举措与珠江源水源涵养功能区"维护或重建湿地、森林、草原等生态系统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保护方向相呼应。规划重大水工程中的罗师灌区、富源灌区、沾马灌区工程建设提升农田灌溉水有效利用系数，减少单位面积用水量，从需求侧降低流域水资源消耗强度，间接增强了水源涵养功能区的生态用水保障，与"加强水源涵养林建设和退化植被恢复重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的保护方向完全吻合，同时灌区工程建设可减少灌区因干旱而进行粗放耕作导致的植被破坏和土壤退化，这些措施与滇东土壤保持功能区"降低人口对土地的依赖性；改变粗放生产经营方式，发展生态农业</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w:t>
      </w:r>
      <w:r>
        <w:rPr>
          <w:rFonts w:hint="default" w:ascii="Times New Roman" w:hAnsi="Times New Roman" w:cs="Times New Roman"/>
          <w:color w:val="auto"/>
          <w:highlight w:val="none"/>
          <w:lang w:val="en-US" w:eastAsia="zh-CN"/>
        </w:rPr>
        <w:t>保护措施</w:t>
      </w:r>
      <w:r>
        <w:rPr>
          <w:rFonts w:hint="default" w:ascii="Times New Roman" w:hAnsi="Times New Roman" w:cs="Times New Roman"/>
          <w:color w:val="auto"/>
          <w:highlight w:val="none"/>
        </w:rPr>
        <w:t>高度一致。水生态保护与修复规划通过相关措施维护南盘江（曲靖市境内）流域内水生态健康发展，为水源涵养提供了重要的生态空间，与珠江源水源涵养功能区"维护或重建湿地、森林、草原等生态系统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保护要求相呼应。本规划中水土保持规划在流域范围内同步推进水土保持治理，规划的水土流失治理工程实施后，流域水土资源得到有效保护，水源涵养功能显著提升，坡耕地水土流失得到根本好转，农林开发生产建设活动规范有序。流域内规划治理水土流失面积563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流域水土保持率达80.88%。防洪减灾规划中统筹考虑流域内水资源、水环境、水生态、土地资源、植被覆盖等多个要素，实施山洪沟治理、中小河流治理等工程措施，这些举措与滇东土壤保持功能区"生态退化严重区采取封禁措施</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"对中、轻度石漠化地区，改进种植制度和农业措施</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的保护方向相呼应。</w:t>
      </w:r>
    </w:p>
    <w:p w14:paraId="715E29B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因此，本规划与《全国生态功能区划》是相符合的。</w:t>
      </w:r>
    </w:p>
    <w:p w14:paraId="6FA5744D">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与《云南省生态功能区划》的符合性分析</w:t>
      </w:r>
    </w:p>
    <w:p w14:paraId="10887F7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根据《云南省生态功能区划》，南盘江（曲靖市境内）流域综合规划区涉及Ⅲ高原亚热带北部常绿阔叶林生态区的Ⅲ1滇中高原谷盆半湿润常绿阔叶林、暖性针叶林生态亚区的Ⅲ1-10 牛栏江上游丘原盆地水源涵养生态功能区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Ⅲ1-11曲靖、陆良山原盆地城镇与农业生态功能区，Ⅲ1-12南盘江、甸溪河岩溶低山水土保持生态功能区，</w:t>
      </w:r>
      <w:r>
        <w:rPr>
          <w:rFonts w:hint="default" w:ascii="Times New Roman" w:hAnsi="Times New Roman" w:cs="Times New Roman"/>
          <w:color w:val="auto"/>
          <w:highlight w:val="none"/>
          <w:lang w:eastAsia="zh-CN"/>
        </w:rPr>
        <w:t>Ⅲ</w:t>
      </w:r>
      <w:r>
        <w:rPr>
          <w:rFonts w:hint="default" w:ascii="Times New Roman" w:hAnsi="Times New Roman" w:cs="Times New Roman"/>
          <w:color w:val="auto"/>
          <w:highlight w:val="none"/>
        </w:rPr>
        <w:t>1-13南盘江、清水江下游中山河谷林业生态功能，</w:t>
      </w:r>
      <w:r>
        <w:rPr>
          <w:rFonts w:hint="default" w:ascii="Times New Roman" w:hAnsi="Times New Roman" w:cs="Times New Roman"/>
          <w:color w:val="auto"/>
          <w:highlight w:val="none"/>
          <w:lang w:eastAsia="zh-CN"/>
        </w:rPr>
        <w:t>Ⅲ</w:t>
      </w:r>
      <w:r>
        <w:rPr>
          <w:rFonts w:hint="default" w:ascii="Times New Roman" w:hAnsi="Times New Roman" w:cs="Times New Roman"/>
          <w:color w:val="auto"/>
          <w:highlight w:val="none"/>
        </w:rPr>
        <w:t>1-14富源、罗平岩溶中山水源涵养生态功能区，Ⅲ4-4 牛栏江、南盘江上游岩溶山原水源涵养生态功能区1个生态亚区，</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个生态功能区。</w:t>
      </w:r>
    </w:p>
    <w:p w14:paraId="7F1633A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经复核，云南省南盘江（珠江源头）生态保护修复工程约36.63hm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涉及珠江源省级自然保护区实验区、36.13hm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涉及珠江源省级风景名胜区一般控制区、约38.08hm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涉及云南珠江源国家森林公园，规划沾马灌区工程约5.4km涉及</w:t>
      </w:r>
      <w:r>
        <w:rPr>
          <w:rFonts w:hint="default" w:ascii="Times New Roman" w:hAnsi="Times New Roman" w:cs="Times New Roman"/>
          <w:color w:val="auto"/>
          <w:highlight w:val="none"/>
          <w:lang w:eastAsia="zh-CN"/>
        </w:rPr>
        <w:t>马龙马过河</w:t>
      </w:r>
      <w:r>
        <w:rPr>
          <w:rFonts w:hint="default" w:ascii="Times New Roman" w:hAnsi="Times New Roman" w:cs="Times New Roman"/>
          <w:color w:val="auto"/>
          <w:highlight w:val="none"/>
        </w:rPr>
        <w:t>风景名胜区一般控制区；自然保护地优化整合后，规划重点工程不再涉及自然保护区，但涉及风景名胜区、森林公园、</w:t>
      </w:r>
      <w:r>
        <w:rPr>
          <w:rFonts w:hint="eastAsia" w:ascii="Times New Roman" w:hAnsi="Times New Roman" w:cs="Times New Roman"/>
          <w:color w:val="auto"/>
          <w:highlight w:val="none"/>
          <w:lang w:val="en-US" w:eastAsia="zh-CN"/>
        </w:rPr>
        <w:t>湿地</w:t>
      </w:r>
      <w:r>
        <w:rPr>
          <w:rFonts w:hint="default" w:ascii="Times New Roman" w:hAnsi="Times New Roman" w:cs="Times New Roman"/>
          <w:color w:val="auto"/>
          <w:highlight w:val="none"/>
        </w:rPr>
        <w:t>公园和饮用水源保护区。下阶段规划重点工程应充分论证，优先避让敏感区，并采取相应的环境保护措施，在此基础上不会对敏感区内自然生态系统和生物多样性带来影响，因此不会对生态功能区以及自然景观保护区造成破坏，本规划注重保护流域重要河段水生态及重要水源地，提出了水生态保护和修复措施、水土保持措施布局，对构建整个流域的生态屏障提供了充分支持；充分考虑了地区生态环境功能要求，水生态与环境保护规划摸清了流域水生态与环境保护目标，充分体现了生物多样性保护。</w:t>
      </w:r>
    </w:p>
    <w:p w14:paraId="11C8A7B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综合分析，南盘江（曲靖市境内）流域综合规划与云南省生态功能区的保护措施与发展方向是一致的。</w:t>
      </w:r>
    </w:p>
    <w:p w14:paraId="295B40EE">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与《云南省生物多样性保护条例》的符合性分析</w:t>
      </w:r>
    </w:p>
    <w:p w14:paraId="6C6AA82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为保护生物多样性，保障生态安全，推进生态文明建设，促进经济社会可持续发展，实现人与自然和谐共生，制定了《云南省生物多样性保护条例》。本条例所称的生物多样性，是指生物（动物、植物、微生物）与环境形成的生态复合体以及与此相关的各种生态过程的总和，包含生态系统、物种和基因三个层次。条例第二十九条，“新建、改建、扩建建设项目以及开发自然资源，应当依法开展环境影响评价。对可能造成重要生态系统破坏、损害重要物种及其栖息地和生境的，应当制定专项保护、恢复和补偿方案，纳入环境影响评价”。</w:t>
      </w:r>
    </w:p>
    <w:p w14:paraId="52C128B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依法开展了规划环境影响评价，规划重大水利工程布置包括灌区工程、引调水工程、生态保护修复工程及水源工程，规划重大水利工程实施后，使水资源得到有效的优化配置，缓解了该地区生产、生活缺水局面，使灌区内的主要作物结构得以优化调整；水库蓄水将改善库区气候环境，增加湿度</w:t>
      </w:r>
      <w:r>
        <w:rPr>
          <w:rFonts w:hint="default" w:ascii="Times New Roman" w:hAnsi="Times New Roman" w:cs="Times New Roman"/>
          <w:color w:val="auto"/>
          <w:highlight w:val="none"/>
          <w:lang w:eastAsia="zh-CN"/>
        </w:rPr>
        <w:t>，有</w:t>
      </w:r>
      <w:r>
        <w:rPr>
          <w:rFonts w:hint="default" w:ascii="Times New Roman" w:hAnsi="Times New Roman" w:cs="Times New Roman"/>
          <w:color w:val="auto"/>
          <w:highlight w:val="none"/>
        </w:rPr>
        <w:t>利于周边植被生长，为了持续保证水质，后期需要营造水源涵养林、水土保持林，可有效改善库区周边区域的生态环境，提高森林覆盖率，有效涵养水土。项目周边植物种类较为常见，动物分布广泛，不涉及重要生态系统破坏，也不会损害重要物种及其栖息地和生境。因此不会对周边生物多样性造成不可逆的损害。水生态保护和修复工程实施后，实现水资源的可持续利用及与经济社会的协调发展，改善珠江源区域和南盘江干流生态环境质量，在严格控制工程用地并做好后期植被恢复和防护的前提下，工程建设对周边生物多样性影响可得到有效控制。</w:t>
      </w:r>
    </w:p>
    <w:p w14:paraId="565AF74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因此，本规划与《云南省生物多样性保护条例》是相符合的。</w:t>
      </w:r>
    </w:p>
    <w:p w14:paraId="2CD6C281">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与《云南省生物多样性保护战略与行动计划（2024</w:t>
      </w:r>
      <w:r>
        <w:rPr>
          <w:rFonts w:hint="default" w:ascii="Times New Roman" w:hAnsi="Times New Roman" w:cs="Times New Roman" w:eastAsiaTheme="minorEastAsia"/>
          <w:color w:val="auto"/>
          <w:highlight w:val="none"/>
          <w:lang w:eastAsia="zh-CN"/>
        </w:rPr>
        <w:t>—</w:t>
      </w:r>
      <w:r>
        <w:rPr>
          <w:rFonts w:hint="default" w:ascii="Times New Roman" w:hAnsi="Times New Roman" w:cs="Times New Roman" w:eastAsiaTheme="minorEastAsia"/>
          <w:color w:val="auto"/>
          <w:highlight w:val="none"/>
        </w:rPr>
        <w:t>2030年）》的符合性分析</w:t>
      </w:r>
    </w:p>
    <w:p w14:paraId="2326884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为贯彻党的二十大精神，全面落实《中国生物多样性保护战略与行动计划（2023—2030年）》，积极推动《关于进一步加强生物多样性保护的实施意见》落实，高水平保护生物多样性、高质量推进生物多样性可持续利用和惠益分享，切实支撑美丽中国七彩云南建设和生态文明建设排头兵，在《云南省生物多样性保护战略与行动计划（2012—2030年）》实施成效评估基础上，省生态环境厅会同相关部门更新编制了《云南省生物多样性保护战略与行动计划（2024—2030年）》，明确全省新时期生物多样性保护战略定位、战略目标、战略任务、优先领域和优先行动，为各部门各地区推进生物多样性保护提供指引。</w:t>
      </w:r>
    </w:p>
    <w:p w14:paraId="1847CF4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根据《行动计划》，云南省生物多样性保护共有6个一级优先区域和18个二级优先区域，涉及16个州、市101个县、市、区，总面积约9.5万km</w:t>
      </w:r>
      <w:r>
        <w:rPr>
          <w:rFonts w:hint="eastAsia" w:cs="Times New Roman"/>
          <w:color w:val="auto"/>
          <w:highlight w:val="none"/>
          <w:lang w:val="en-US" w:eastAsia="zh-CN"/>
        </w:rPr>
        <w:t>²</w:t>
      </w:r>
      <w:r>
        <w:rPr>
          <w:rFonts w:hint="default" w:ascii="Times New Roman" w:hAnsi="Times New Roman" w:cs="Times New Roman"/>
          <w:color w:val="auto"/>
          <w:highlight w:val="none"/>
        </w:rPr>
        <w:t xml:space="preserve">，占云南国土面积的23.8%。主要分为滇西北高山峡谷针叶林区域、云南南部边缘热带雨林区域、滇东南喀斯特东南季风阔叶林区域、滇东北乌蒙山湿润常绿阔叶林区域、澜沧江中游－哀牢山中山湿性常绿阔叶林区域和云南高原湿地区域。 </w:t>
      </w:r>
    </w:p>
    <w:p w14:paraId="39CA3FB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重大水利工程布置包括灌区工程、引调水工程、生态保护修复工程及水源工程，规划工程建设目的是合理开发利用和保护水资源，提高水资源利用效率，实现水资源的可持续利用及与经济社会的协调发展，同时保障珠江源伏流口及南盘江干流特殊干旱期生态水量，改善珠江源区域和南盘江干流生态环境质量。</w:t>
      </w:r>
    </w:p>
    <w:p w14:paraId="455D638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规划实施后，流域内</w:t>
      </w:r>
      <w:r>
        <w:rPr>
          <w:rFonts w:hint="default" w:ascii="Times New Roman" w:hAnsi="Times New Roman" w:cs="Times New Roman"/>
          <w:color w:val="auto"/>
          <w:highlight w:val="none"/>
          <w:lang w:eastAsia="zh-CN"/>
        </w:rPr>
        <w:t>水资源</w:t>
      </w:r>
      <w:r>
        <w:rPr>
          <w:rFonts w:hint="default" w:ascii="Times New Roman" w:hAnsi="Times New Roman" w:cs="Times New Roman"/>
          <w:color w:val="auto"/>
          <w:highlight w:val="none"/>
        </w:rPr>
        <w:t>将进一步得到合理利用，水环境也将得到良性循环，区域生态环境也将得到</w:t>
      </w:r>
      <w:r>
        <w:rPr>
          <w:rFonts w:hint="default" w:ascii="Times New Roman" w:hAnsi="Times New Roman" w:cs="Times New Roman"/>
          <w:color w:val="auto"/>
          <w:highlight w:val="none"/>
          <w:lang w:eastAsia="zh-CN"/>
        </w:rPr>
        <w:t>进一步</w:t>
      </w:r>
      <w:r>
        <w:rPr>
          <w:rFonts w:hint="default" w:ascii="Times New Roman" w:hAnsi="Times New Roman" w:cs="Times New Roman"/>
          <w:color w:val="auto"/>
          <w:highlight w:val="none"/>
        </w:rPr>
        <w:t>改善。并且规划中水生态保护与修复工程的实施可进一步提升区内自然生态系统和重要物种栖息地的保护质量，改善区域生态环境质量功能，因此，在做好施工防护和植被恢复的前提下，规划符合《云南省生物多样性保护战略与行动计划（2024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2030年）》的保护要求。</w:t>
      </w:r>
    </w:p>
    <w:p w14:paraId="384CA41C">
      <w:pPr>
        <w:pStyle w:val="5"/>
        <w:keepNext w:val="0"/>
        <w:keepLines w:val="0"/>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与敏感区的符合性分析</w:t>
      </w:r>
    </w:p>
    <w:p w14:paraId="7CDCCB54">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与《中华人民共和国自然保护区条例》的符合性分析</w:t>
      </w:r>
    </w:p>
    <w:p w14:paraId="3D71639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为了高质量推进自然保护区建设，加强对自然保护区的保护和管理，全面推进生态文明和美丽中国建设，加快推进人与自然和谐共生的现代化由国务院以中华人民共和国国务院令第830号，于2026年2月3日发布了《中华人民共和国自然保护区条例》（以下简称《条例》）。《条例》中做出如下规定：</w:t>
      </w:r>
    </w:p>
    <w:p w14:paraId="42060D9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“第十六条  自然保护区划分为核心保护区和一般控制区，实行分区管控。</w:t>
      </w:r>
    </w:p>
    <w:p w14:paraId="7D44381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自然保护区的下列区域应当划为核心保护区：</w:t>
      </w:r>
    </w:p>
    <w:p w14:paraId="3D299DB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（一）自然生态系统保存完整或者生态脆弱需要休养生息的区域；</w:t>
      </w:r>
    </w:p>
    <w:p w14:paraId="0093F54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（二）珍稀濒危野生动植物物种的关键分布区域以及生态廊道重要节点；</w:t>
      </w:r>
    </w:p>
    <w:p w14:paraId="4734A9E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（三）重要自然遗迹的集中分布区域；</w:t>
      </w:r>
    </w:p>
    <w:p w14:paraId="4A672DA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（四）其他需要重点保护的区域。</w:t>
      </w:r>
    </w:p>
    <w:p w14:paraId="73504FF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核心保护区以外的区域划为一般控制区。” </w:t>
      </w:r>
    </w:p>
    <w:p w14:paraId="6B17A15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“第二十六条  除下列活动外，自然保护区核心保护区内禁止人为活动：</w:t>
      </w:r>
    </w:p>
    <w:p w14:paraId="0494BFC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（一）为保护自然保护区开展的调查监测、生态修复、管护巡护等活动，科研观测、基础测绘、文物和其他文化遗产保护、防灾减灾、应急救援活动，以及国家机关依法履行执法职责确需开展的活动；</w:t>
      </w:r>
    </w:p>
    <w:p w14:paraId="598EDC6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（二）原有居民必要的生产生活活动，以及确需保留、无法避让的已有重要基础设施的运行、维护、改造；</w:t>
      </w:r>
    </w:p>
    <w:p w14:paraId="58AB7AA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（三）必须且无法避让、以生态环境无害化方式穿越地下、水下或者空中的线性基础设施建设；</w:t>
      </w:r>
    </w:p>
    <w:p w14:paraId="458DE4F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（四）为维护国家安全、实施国家重大战略确需开展的活动，以及无法避让的国家重大项目建设；</w:t>
      </w:r>
    </w:p>
    <w:p w14:paraId="6F9682D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（五）法律、行政法规规定或者国务院批准的其他活动。”</w:t>
      </w:r>
    </w:p>
    <w:p w14:paraId="7C26768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“第二十七条  自然保护区一般控制区内仅允许开展下列人为活动：</w:t>
      </w:r>
    </w:p>
    <w:p w14:paraId="6A9D0B3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（一）核心保护区允许开展的活动；</w:t>
      </w:r>
    </w:p>
    <w:p w14:paraId="25C3A9B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（二）符合国土空间规划且无法避让的重要基础设施的建设、运行和维护；</w:t>
      </w:r>
    </w:p>
    <w:p w14:paraId="5E53044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（三）古生物化石调查发掘，基础地质调查，战略性矿产资源远景调查和规定范围内的战略性矿产资源勘查； </w:t>
      </w:r>
    </w:p>
    <w:p w14:paraId="31D740F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（四）珍稀濒危野生动植物的野化、繁殖，非破坏性的标本采集活动；</w:t>
      </w:r>
    </w:p>
    <w:p w14:paraId="29E3967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（五）与自然保护区保护目标一致的人工商品林抚育、树种更新等森林经营活动；</w:t>
      </w:r>
    </w:p>
    <w:p w14:paraId="1B1084E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（六）科普宣传、生态旅游、教育文化体育等公共服务活动；</w:t>
      </w:r>
    </w:p>
    <w:p w14:paraId="63C6C5A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（七）法律、行政法规规定或者国务院批准的其他活动。”</w:t>
      </w:r>
    </w:p>
    <w:p w14:paraId="5B9901D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根据本阶段规划成果复核，规划范围内云南省南盘江（珠江源头）生态保护修复工程约36.63hm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自然保护区实验区。目前，《条例》已颁布施行，原《中华人民共和国自然保护区条例》2017年修订版本已废止，但自然保护地整合优化方案尚未批复，规划阶段复核规划工程与自然保护地的位置关系时，采用《方案》批复前和批复后的自然保护区矢量开展复核工作。经叠图复核，整合优化方案批复后，规划重大水利工程均不涉及自然保护区。</w:t>
      </w:r>
      <w:r>
        <w:rPr>
          <w:rFonts w:hint="default" w:ascii="Times New Roman" w:hAnsi="Times New Roman" w:cs="Times New Roman"/>
          <w:color w:val="auto"/>
          <w:highlight w:val="none"/>
          <w:lang w:eastAsia="zh-CN"/>
        </w:rPr>
        <w:t>2026年3月5日</w:t>
      </w:r>
      <w:r>
        <w:rPr>
          <w:rFonts w:hint="default" w:ascii="Times New Roman" w:hAnsi="Times New Roman" w:cs="Times New Roman"/>
          <w:color w:val="auto"/>
          <w:highlight w:val="none"/>
        </w:rPr>
        <w:t>，为进一步做好“十五五”规划重点建设项目的要素保障工作，自然资源部、国家林业和草原局联合印发《自然资源部 国家林业和草原局关于进一步做好自然资源要素保障的通知》（自然资发〔2026〕38号，以下简称“38号文”）。“38号文”第十二条指出：合理利用保护地整合优化成果。省级人民政府上报的自然保护地整合优化成果，可作为国家和省级重点项目自然资源要素配置的依据。在保障生态安全、公共利益等前提下，允许线性基础设施无害化穿越自然保护区。由于规划阶段工程的选址选线仍存在一定的不确定性，因此，针对规划项目涉及环境敏感区的情况，应在下阶段环评工作中重点复核。</w:t>
      </w:r>
    </w:p>
    <w:p w14:paraId="17E95A9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云南省南盘江（珠江源头）生态保护修复工程涉及珠江源省级自然保护区实验区约36.63hm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，可按照《条例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省林业和草原局关于规范在森林和野生动物类型自然保护区修筑设施生物多样性影响评价有关事项的通知》等要求编报生物多样性影响评价报告，在按照相关法律法规要求办理手续并取得主管部门许可的前提下，符合自然保护区相关法律法规的规定。</w:t>
      </w:r>
    </w:p>
    <w:p w14:paraId="48274B16">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与《中华人民共和国风景名胜区条例》的符合性分析</w:t>
      </w:r>
    </w:p>
    <w:p w14:paraId="26785C2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根据《中华人民共和国风景名胜区条例》：</w:t>
      </w:r>
    </w:p>
    <w:p w14:paraId="7273A00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第二十六条 在风景名胜区内禁止进行下列活动：</w:t>
      </w:r>
    </w:p>
    <w:p w14:paraId="58CFFDC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（一）开山、采石、开矿、开荒、修坟立碑等破坏景观、植被和地形地貌的活动；</w:t>
      </w:r>
    </w:p>
    <w:p w14:paraId="3E48445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（二）修建储存爆炸性、易燃性、放射性、毒害性、腐蚀性物品的设施；</w:t>
      </w:r>
    </w:p>
    <w:p w14:paraId="75719CA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（三）在景物或者设施上刻划、涂污；</w:t>
      </w:r>
    </w:p>
    <w:p w14:paraId="2293D2F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第二十八条 在风景名胜区内从事本条例第二十六条、第二十七条禁止范围以外的建设活动，应当经风景名胜区管理机构审核后，依照有关</w:t>
      </w:r>
      <w:r>
        <w:rPr>
          <w:rFonts w:hint="default" w:ascii="Times New Roman" w:hAnsi="Times New Roman" w:cs="Times New Roman"/>
          <w:color w:val="auto"/>
          <w:highlight w:val="none"/>
          <w:lang w:eastAsia="zh-CN"/>
        </w:rPr>
        <w:t>法律法规</w:t>
      </w:r>
      <w:r>
        <w:rPr>
          <w:rFonts w:hint="default" w:ascii="Times New Roman" w:hAnsi="Times New Roman" w:cs="Times New Roman"/>
          <w:color w:val="auto"/>
          <w:highlight w:val="none"/>
        </w:rPr>
        <w:t>的规定办理审批手续。</w:t>
      </w:r>
    </w:p>
    <w:p w14:paraId="1C102F6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第二十九条 在风景名胜区内进行下列活动，应当经风景名胜区管理机构审核后，依照有关</w:t>
      </w:r>
      <w:r>
        <w:rPr>
          <w:rFonts w:hint="default" w:ascii="Times New Roman" w:hAnsi="Times New Roman" w:cs="Times New Roman"/>
          <w:color w:val="auto"/>
          <w:highlight w:val="none"/>
          <w:lang w:eastAsia="zh-CN"/>
        </w:rPr>
        <w:t>法律法规</w:t>
      </w:r>
      <w:r>
        <w:rPr>
          <w:rFonts w:hint="default" w:ascii="Times New Roman" w:hAnsi="Times New Roman" w:cs="Times New Roman"/>
          <w:color w:val="auto"/>
          <w:highlight w:val="none"/>
        </w:rPr>
        <w:t>的规定报有关主管部门批准：</w:t>
      </w:r>
    </w:p>
    <w:p w14:paraId="33F78A0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（一）设置、张贴商业广告；</w:t>
      </w:r>
    </w:p>
    <w:p w14:paraId="3A7772A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（二）举办大型游乐等活动；</w:t>
      </w:r>
    </w:p>
    <w:p w14:paraId="137571E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（三）改变水资源、水环境自然状态的活动；</w:t>
      </w:r>
    </w:p>
    <w:p w14:paraId="1B9F04C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（四）其他影响生态和景观的活动。</w:t>
      </w:r>
    </w:p>
    <w:p w14:paraId="3E87350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第三十条 风景名胜区内的建设项目应当符合风景名胜区规划，并与景观相协调，不得破坏景观、污染环境、妨碍游览。</w:t>
      </w:r>
    </w:p>
    <w:p w14:paraId="640A85F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在风景名胜区内进行建设活动的，建设单位、施工单位应当制定污染防治和水土保持方案，并采取有效措施，保护好周围景物、水体、林草植被、野生动物资源和地形地貌。</w:t>
      </w:r>
    </w:p>
    <w:p w14:paraId="02C1491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南盘江（曲靖市境内）流域综合规划范围内规划云南省南盘江（珠江源头）生态保护修复工程约36.13hm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涉及珠江源省级风景名胜区一般控制区、沾马灌区工程约5.4km涉及</w:t>
      </w:r>
      <w:r>
        <w:rPr>
          <w:rFonts w:hint="default" w:ascii="Times New Roman" w:hAnsi="Times New Roman" w:cs="Times New Roman"/>
          <w:color w:val="auto"/>
          <w:highlight w:val="none"/>
          <w:lang w:eastAsia="zh-CN"/>
        </w:rPr>
        <w:t>马龙马过河</w:t>
      </w:r>
      <w:r>
        <w:rPr>
          <w:rFonts w:hint="default" w:ascii="Times New Roman" w:hAnsi="Times New Roman" w:cs="Times New Roman"/>
          <w:color w:val="auto"/>
          <w:highlight w:val="none"/>
        </w:rPr>
        <w:t>风景名胜区一般控制区。自然保护地优化整合后，规划罗师灌区涉及云南师宗南丹山风景名胜区一般控制区、沾马灌区输水线路约5.4km涉及马龙马过河风景名胜区一般控制区、云南省南盘江（珠江源头）生态保护修复工程36.13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涉及云南沾益珠江源地方级风景名胜区一般控制区。自然保护地整合优化前、整合优化后规划工程均只涉及风景名胜区的一般控制区、不涉及核心景区，且不属于风景名胜区内禁止类项目，与</w:t>
      </w:r>
      <w:r>
        <w:rPr>
          <w:rFonts w:hint="default" w:ascii="Times New Roman" w:hAnsi="Times New Roman" w:cs="Times New Roman"/>
          <w:color w:val="auto"/>
          <w:highlight w:val="none"/>
          <w:lang w:eastAsia="zh-CN"/>
        </w:rPr>
        <w:t>《风景名胜区条例》</w:t>
      </w:r>
      <w:r>
        <w:rPr>
          <w:rFonts w:hint="default" w:ascii="Times New Roman" w:hAnsi="Times New Roman" w:cs="Times New Roman"/>
          <w:color w:val="auto"/>
          <w:highlight w:val="none"/>
        </w:rPr>
        <w:t>不存在冲突。</w:t>
      </w:r>
    </w:p>
    <w:p w14:paraId="4C1CD4D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项目在实施前，工程涉及风景名胜区应按相关要求做好报审报批风景名胜区建设项目选址方案核准、许可等工作。在办理相关法定手续、取得行政主管部门批准并制定相关方案和采取有效措施的前提下，本工程满足《风景名胜区条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云南省风景名胜区条例》和风景名胜区总体规划的管理要求。</w:t>
      </w:r>
    </w:p>
    <w:p w14:paraId="1AE31EFC">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w:t>
      </w:r>
      <w:r>
        <w:rPr>
          <w:rFonts w:hint="default" w:ascii="Times New Roman" w:hAnsi="Times New Roman" w:cs="Times New Roman"/>
          <w:color w:val="auto"/>
          <w:highlight w:val="none"/>
        </w:rPr>
        <w:t>国家级自然公园管理办法（试行）</w:t>
      </w:r>
      <w:r>
        <w:rPr>
          <w:rFonts w:hint="default" w:ascii="Times New Roman" w:hAnsi="Times New Roman" w:cs="Times New Roman" w:eastAsiaTheme="minorEastAsia"/>
          <w:color w:val="auto"/>
          <w:highlight w:val="none"/>
        </w:rPr>
        <w:t>》的符合性分析</w:t>
      </w:r>
    </w:p>
    <w:p w14:paraId="1628690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国家级自然公园包括国家级风景名胜区、国家级森林公园、国家级地质公园、国家级海洋公园、国家级湿地公园、国家级沙漠（石漠）公园和国家级草原公园。</w:t>
      </w:r>
    </w:p>
    <w:p w14:paraId="27516C2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根据《国家级自然公园管理办法（试行）》：</w:t>
      </w:r>
    </w:p>
    <w:p w14:paraId="79AF331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第十八条 严格保护国家级自然公园内的森林、草原、湿地、荒漠、海洋、水域、生物等珍贵自然资源，以及自然遗迹、自然景观和文物古迹等人文景观。在国家级自然公园内开展相关活动和设施建设，不得擅自改变其自然状态和历史风貌。禁止擅自在国家级自然公园内从事采矿、房地产、开发区、高尔夫球场、风力光伏电场等不符合管控要求的开发活动。禁止违规侵占国家级自然公园，排放不符合水污染物排放标准的工业废水、生活污水及其他的废水、污水，倾倒、堆放、丢弃、遗撒固体废物等污染生态环境的行为。</w:t>
      </w:r>
    </w:p>
    <w:p w14:paraId="5147DD2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第十九条 国家级自然公园范围内除国家重大项目外，仅允许对生态功能不造成破坏的有限人为活动：（一）自然公园内居民和其他合法权益主体依法依规开展的生产生活及设施建设。（二）符合自然公园保护管理要求的文化、体育活动和必要的配套设施建设。（三）符合生态保护红线管控要求的其他活动和设施建设。（四）法律法规和国家政策允许在自然公园内开展的其他活动。</w:t>
      </w:r>
    </w:p>
    <w:p w14:paraId="4CFC45A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第二十条 在国家级自然公园内开展第十九条规定的活动和设施建设，应当征求国家级自然公园管理单位的意见。其中，国家重大项目建设还应当征求省级以上林业和草原主管部门意见；开展第十九条（三）、（四）项的设施建设，自然公园规划确定的索道、滑雪场、游乐场等对生态和景观影响较大的项目建设，以及考古发掘、古生物化石发掘、航道疏浚清淤、矿产资源勘查等活动，应当征求省级林业和草原主管部门意见。林业和草原主管部门或者国家级自然公园管理单位应当加强对设施建设必要性、方案合理性、设施建设对自然公园影响等的审查，必要时组织专家进行论证。确需建设且无法避让国家级自然公园，经审查可能与自然公园保护管理存在明显冲突的国家重大项目，应当申请调整国家级自然公园范围。</w:t>
      </w:r>
    </w:p>
    <w:p w14:paraId="05084C9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本次规划重点工程云南省南盘江（珠江源头）生态保护修复工程约36.13hm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涉及珠江源省级风景名胜区一般控制区、38.08hm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云南珠江源国家森林公园；沾马灌区工程约5.4km涉及马龙马过河风景名胜区一般控制区；自然保护地整合优化后罗师灌区工程、沾马灌区工程、云南省南盘江（珠江源头）生态保护修复工程也有涉及自然公园的一般控制区。规划重点工程下阶段工作中</w:t>
      </w:r>
      <w:r>
        <w:rPr>
          <w:rFonts w:hint="default" w:ascii="Times New Roman" w:hAnsi="Times New Roman" w:cs="Times New Roman"/>
          <w:color w:val="auto"/>
          <w:highlight w:val="none"/>
          <w:lang w:eastAsia="zh-CN"/>
        </w:rPr>
        <w:t>需</w:t>
      </w:r>
      <w:r>
        <w:rPr>
          <w:rFonts w:hint="default" w:ascii="Times New Roman" w:hAnsi="Times New Roman" w:cs="Times New Roman"/>
          <w:color w:val="auto"/>
          <w:highlight w:val="none"/>
        </w:rPr>
        <w:t>进一步核实工程与自然公园的位置关系。若涉及，优先调整工程方案避让自然公园，若难以避让，应征求主管部门意见，按相关规程要求完善手续。同时在规划重点工程施工过程中，严格施工范围减少对生态的影响，控制扬尘、噪声、振动（如爆破），避免影响野生动植物栖息地；运行期严格落实污染防控（废水、固废）、生态修复（植被恢复、水土保持）。在此基础上，规划与《国家级自然公园管理办法（试行）》是符合的。</w:t>
      </w:r>
    </w:p>
    <w:p w14:paraId="70EBA61A">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与生态保护红线管控要求的符合性分析</w:t>
      </w:r>
    </w:p>
    <w:p w14:paraId="567CA58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（1）《自然资源部 生态环境部 国家林业和草原局关于加强生态保护红线管理的通知（试行）》</w:t>
      </w:r>
    </w:p>
    <w:p w14:paraId="38F87AE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根据自然资源部、生态环境部、国家林业和草原局三部门联合发布的《自然资源部 生态环境部 国家林业和草原局关于加强生态保护红线管理的通知（试行）》（自然资发〔2022〕142号），文件中明确生态保护红线是国土空间规划中的重要管控边界，生态保护红线内自然保护地核心保护区外，禁止开发性、生产性建设活动，在符合法律法规的前提下，仅允许对生态功能不造成破坏的有限人为活动。生态保护红线内自然保护区、风景名胜区、饮用水水源保护区等区域，依照法律法规执行。</w:t>
      </w:r>
    </w:p>
    <w:p w14:paraId="4498EF4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根据《自然资源部 生态环境部 国家林业和草原局关于加强资源环境</w:t>
      </w:r>
      <w:r>
        <w:rPr>
          <w:rFonts w:hint="default" w:ascii="Times New Roman" w:hAnsi="Times New Roman" w:cs="Times New Roman"/>
          <w:color w:val="auto"/>
          <w:highlight w:val="none"/>
          <w:lang w:eastAsia="zh-CN"/>
        </w:rPr>
        <w:t>生态保护红线</w:t>
      </w:r>
      <w:r>
        <w:rPr>
          <w:rFonts w:hint="default" w:ascii="Times New Roman" w:hAnsi="Times New Roman" w:cs="Times New Roman"/>
          <w:color w:val="auto"/>
          <w:highlight w:val="none"/>
        </w:rPr>
        <w:t>管理的通知（试行）》，本次流域综合规划范围内有</w:t>
      </w:r>
      <w:bookmarkStart w:id="65" w:name="_Hlk239073471"/>
      <w:r>
        <w:rPr>
          <w:rFonts w:hint="default" w:ascii="Times New Roman" w:hAnsi="Times New Roman" w:cs="Times New Roman"/>
          <w:color w:val="auto"/>
          <w:highlight w:val="none"/>
        </w:rPr>
        <w:t>云南省南盘江（珠江源头）生态保护修复工程约35.56hm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、罗师灌区工程约20.02 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、沾马灌区工程约17.43km、曲靖市牛栏江德泽水库引水济曲工程拟建线路约8.01km均涉及生态保护红线。</w:t>
      </w:r>
      <w:bookmarkEnd w:id="65"/>
      <w:r>
        <w:rPr>
          <w:rFonts w:hint="default" w:ascii="Times New Roman" w:hAnsi="Times New Roman" w:cs="Times New Roman"/>
          <w:color w:val="auto"/>
          <w:highlight w:val="none"/>
        </w:rPr>
        <w:t>受限于规划深度，项目与生态保护红线的位置关系存在一定不确定性，下阶段将根据各项目总体布置情况，进一步复核工程与生态保护红线的位置关系。</w:t>
      </w:r>
    </w:p>
    <w:p w14:paraId="3F41B84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本规划环评提出对于云南省南盘江（珠江源头）生态保护修复工程、罗师灌区、沾马灌区、曲靖市牛栏江德泽水库引水济曲工程，下阶</w:t>
      </w:r>
      <w:r>
        <w:rPr>
          <w:rFonts w:hint="default" w:ascii="Times New Roman" w:hAnsi="Times New Roman" w:cs="Times New Roman"/>
          <w:color w:val="auto"/>
          <w:highlight w:val="none"/>
          <w:lang w:eastAsia="zh-CN"/>
        </w:rPr>
        <w:t>段将</w:t>
      </w:r>
      <w:r>
        <w:rPr>
          <w:rFonts w:hint="default" w:ascii="Times New Roman" w:hAnsi="Times New Roman" w:cs="Times New Roman"/>
          <w:color w:val="auto"/>
          <w:highlight w:val="none"/>
        </w:rPr>
        <w:t>进一步复核工程与生态保护红线位置关系</w:t>
      </w:r>
      <w:r>
        <w:rPr>
          <w:rFonts w:hint="default" w:ascii="Times New Roman" w:hAnsi="Times New Roman" w:cs="Times New Roman"/>
          <w:color w:val="auto"/>
          <w:highlight w:val="none"/>
          <w:lang w:eastAsia="zh-CN"/>
        </w:rPr>
        <w:t>，在</w:t>
      </w:r>
      <w:r>
        <w:rPr>
          <w:rFonts w:hint="default" w:ascii="Times New Roman" w:hAnsi="Times New Roman" w:cs="Times New Roman"/>
          <w:color w:val="auto"/>
          <w:highlight w:val="none"/>
        </w:rPr>
        <w:t>勘察设计工作中应优先考虑调整工程方案予以避让，如确实无法避让生态保护红线范围的，应在符合法律法规的前提下，充分论证工程的必要性和不可避让性，按规定办理相关手续，取得行政主管部门的支撑性意见后方可占用。同时加强施工管理、禁止扩大施工建设范围、严禁开展环境敏感区内禁止类活动。优化施工组织设计，减少对环境敏感区的占用和扰动，采用先进的施工工艺，降低施工活动对敏感区的影响。施工结束后，及时采取恢复、修复、补偿等措施。在此基础上，流域综合规划与《自然资源部 生态环境部 国家林业和草原局关于加强资源环境</w:t>
      </w:r>
      <w:r>
        <w:rPr>
          <w:rFonts w:hint="default" w:ascii="Times New Roman" w:hAnsi="Times New Roman" w:cs="Times New Roman"/>
          <w:color w:val="auto"/>
          <w:highlight w:val="none"/>
          <w:lang w:eastAsia="zh-CN"/>
        </w:rPr>
        <w:t>生态保护红线</w:t>
      </w:r>
      <w:r>
        <w:rPr>
          <w:rFonts w:hint="default" w:ascii="Times New Roman" w:hAnsi="Times New Roman" w:cs="Times New Roman"/>
          <w:color w:val="auto"/>
          <w:highlight w:val="none"/>
        </w:rPr>
        <w:t>管理的通知》（自然资发〔2022〕142号）的管控原则是相协调的。</w:t>
      </w:r>
    </w:p>
    <w:p w14:paraId="7948033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（2）《云南省自然资源厅 云南省生态环境厅 云南省林业和草原局关于加强生态保护红线管理工作的通知》</w:t>
      </w:r>
    </w:p>
    <w:p w14:paraId="2F90BDA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根据《云南省自然资源厅 云南省生态环境厅 云南省林业和草原局关于加强生态保护红线管理工作的通知》（云自然资</w:t>
      </w:r>
      <w:r>
        <w:rPr>
          <w:rFonts w:hint="default" w:ascii="Times New Roman" w:hAnsi="Times New Roman" w:cs="Times New Roman"/>
          <w:color w:val="auto"/>
          <w:highlight w:val="none"/>
          <w:lang w:eastAsia="zh-CN"/>
        </w:rPr>
        <w:t>〔2023〕98号</w:t>
      </w:r>
      <w:r>
        <w:rPr>
          <w:rFonts w:hint="default" w:ascii="Times New Roman" w:hAnsi="Times New Roman" w:cs="Times New Roman"/>
          <w:color w:val="auto"/>
          <w:highlight w:val="none"/>
        </w:rPr>
        <w:t>），在自然保护地核心保护区禁止开发性、生产性建设活动，在符合法律法规前提下，仅允许对生态功能不造成破坏的有限人为活动，实行有限人为活动准入管控。引水调水、提水等供水设施，供水管线等线性基础设施，航道、水库、河道的疏浚清淤及治理，防洪治涝等工程均位于有限人为活动准入目录。</w:t>
      </w:r>
    </w:p>
    <w:p w14:paraId="6F7B31C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规划重点工程属于水利基础设施、供水设施和水生态保护相关项目，规划工程不涉及自然保护区的核心保护区，具备认定为有限人为活动的条件。下阶段应对涉及生态保护红线的工程布置进行优化调整，优先避让，若难以避让，应严格按照“云自然资 </w:t>
      </w:r>
      <w:r>
        <w:rPr>
          <w:rFonts w:hint="default" w:ascii="Times New Roman" w:hAnsi="Times New Roman" w:cs="Times New Roman"/>
          <w:color w:val="auto"/>
          <w:highlight w:val="none"/>
          <w:lang w:eastAsia="zh-CN"/>
        </w:rPr>
        <w:t>〔2023〕98号”“</w:t>
      </w:r>
      <w:r>
        <w:rPr>
          <w:rFonts w:hint="default" w:ascii="Times New Roman" w:hAnsi="Times New Roman" w:cs="Times New Roman"/>
          <w:color w:val="auto"/>
          <w:highlight w:val="none"/>
        </w:rPr>
        <w:t xml:space="preserve">自然资发 </w:t>
      </w:r>
      <w:r>
        <w:rPr>
          <w:rFonts w:hint="default" w:ascii="Times New Roman" w:hAnsi="Times New Roman" w:cs="Times New Roman"/>
          <w:color w:val="auto"/>
          <w:highlight w:val="none"/>
          <w:lang w:eastAsia="zh-CN"/>
        </w:rPr>
        <w:t>〔2022〕142号</w:t>
      </w:r>
      <w:r>
        <w:rPr>
          <w:rFonts w:hint="default" w:ascii="Times New Roman" w:hAnsi="Times New Roman" w:cs="Times New Roman"/>
          <w:color w:val="auto"/>
          <w:highlight w:val="none"/>
        </w:rPr>
        <w:t>”等要求，办理“有限人为活动审批</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国家重大项目占用生态保护红线用地审批”相关手续。在此基础上，和生态保护红线管理相关规定不冲突。</w:t>
      </w:r>
    </w:p>
    <w:p w14:paraId="0EA1A41D">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与《饮用水水源保护区污染防治管理规定》的符合性分析</w:t>
      </w:r>
    </w:p>
    <w:p w14:paraId="6A21B70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根据《饮用水水源保护区污染防治管理规定（2010）》：</w:t>
      </w:r>
    </w:p>
    <w:p w14:paraId="2A76DD0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第十一条饮用水地表水源各级保护区及准保护区内均必须遵守下列规定：</w:t>
      </w:r>
    </w:p>
    <w:p w14:paraId="2D0B62A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一、禁止一切破坏水环境生态平衡的活动以及破坏水源林、护岸林、与水源保护相关植被的活动。</w:t>
      </w:r>
    </w:p>
    <w:p w14:paraId="28D4E1E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二、禁止向水域倾倒工业废渣、城市垃圾、粪便及其它废弃物。</w:t>
      </w:r>
    </w:p>
    <w:p w14:paraId="09EB6C6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三、运输有毒有害物质、油类、粪便的船舶和车辆一般不准进入保护区，必须进入者应事先申请并经有关部门批准、登记并设置防渗、防溢、防漏设施。</w:t>
      </w:r>
    </w:p>
    <w:p w14:paraId="27AB881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四、禁止使用剧毒和高残留农药，不得滥用化肥，不得使用炸药、毒品捕杀鱼类。</w:t>
      </w:r>
    </w:p>
    <w:p w14:paraId="7A8F87F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第十二条饮用水地表水源各级保护区及准保护区内必须分别遵守下列规定：</w:t>
      </w:r>
    </w:p>
    <w:p w14:paraId="6F5F9A0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一、一级保护区内</w:t>
      </w:r>
    </w:p>
    <w:p w14:paraId="41A5825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禁止新建、扩建与供水设施和保护水源无关的建设项目；</w:t>
      </w:r>
    </w:p>
    <w:p w14:paraId="0585540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禁止向水域排放污水，已设置的排污口必须拆除；</w:t>
      </w:r>
    </w:p>
    <w:p w14:paraId="66F5CBB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不得设置与供水需要无关的码头，禁止停靠船舶；</w:t>
      </w:r>
    </w:p>
    <w:p w14:paraId="7E94FB4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禁止堆置和存放工业废渣、城市垃圾、粪便和其他废弃物；</w:t>
      </w:r>
    </w:p>
    <w:p w14:paraId="3478BDC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禁止设置油库；</w:t>
      </w:r>
    </w:p>
    <w:p w14:paraId="1715D6E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禁止从事种植、放养畜禽和网箱养殖活动；</w:t>
      </w:r>
    </w:p>
    <w:p w14:paraId="3BE26B0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禁止可能污染水源的旅游活动和其他活动。</w:t>
      </w:r>
    </w:p>
    <w:p w14:paraId="7830E93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二、二级保护区内</w:t>
      </w:r>
    </w:p>
    <w:p w14:paraId="076F147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禁止新建、改建、扩建排放污染物的建设项目；</w:t>
      </w:r>
    </w:p>
    <w:p w14:paraId="4B70988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原有排污口依法拆除或者关闭；</w:t>
      </w:r>
    </w:p>
    <w:p w14:paraId="3999677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禁止设立装卸垃圾、粪便、油类和有毒物品的码头。</w:t>
      </w:r>
    </w:p>
    <w:p w14:paraId="4D22041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三、准保护区内</w:t>
      </w:r>
    </w:p>
    <w:p w14:paraId="2D03960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禁止新建、扩建对水体污染严重的建设项目；改建建设项目，不得增加排污量。</w:t>
      </w:r>
    </w:p>
    <w:p w14:paraId="479409CA">
      <w:pPr>
        <w:ind w:firstLine="480" w:firstLineChars="20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规划重点水利工程罗师灌区涉及罗平县龙王庙水库集中式饮用水水源保护区、小务龙水库饮用水水源保护区、溜子田水库饮用水水源保护区、小撒卜龙水库饮用水水源保护区；富源灌区涉及富源县黄泥河镇海子头饮用水水源保护区；沾马灌区工程涉及曲靖市西河水库饮用水水源保护区；曲靖市牛栏江德泽水库引水济曲工程拟建线路涉及曲靖市西河水库饮用水水源保护区、麒麟区石灰窑水库饮用水水源保护区；云南省南盘江（珠江源头）生态保护修复工程涉及花山水库饮用水水源保护区、大坝冲水库饮用水水源保护区，陆良县引水入陆工程涉及大坝冲水库饮用水水源保护区。</w:t>
      </w:r>
    </w:p>
    <w:p w14:paraId="25C8AA92">
      <w:pPr>
        <w:ind w:firstLine="480" w:firstLineChars="20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规划重点工程与供水设施和生态保护修复相关，不属于水源保护区内禁止建设类项目，项目实施过程中，工程占地、施工活动可能会对水源保护区水质、供水功能造成一定影响。在严格控制施工占地范围，禁止渣场、生产生活区等临时施工布置布设在水源保护区内，生产生活废水通过采取废水处理措施后全部回用，对占地区采取严格水土保持等环保、水保措施的前提下，规划工程的实施对水源保护区的影响是暂时的、可以接受的。</w:t>
      </w:r>
    </w:p>
    <w:p w14:paraId="1E447084">
      <w:pPr>
        <w:ind w:firstLine="480" w:firstLineChars="20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因此，本流域规划与《饮用水水源保护区污染防治管理规定》相符。</w:t>
      </w:r>
    </w:p>
    <w:p w14:paraId="4A3A433F">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与《国家级公益林管理办法》的符合性分析</w:t>
      </w:r>
    </w:p>
    <w:p w14:paraId="38329DA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国家级公益林管理办法》第十二条规定：“一级国家级公益林原则上不得开展生产经营活动，严禁打枝、采脂、割漆、剥树皮、掘根等行为。国有一级国家级公益林，不得开展任何形式的生产经营活动。因教学科研等确需采伐林木，或者发生较为严重森林火灾、病虫害及其他自然灾害等特殊情况确需对受害林木进行清理的，应当组织森林经理学、森林保护学、生态学等领域林业专家进行生态影响评价，经县级以上林业主管部门依法审批后实施”。</w:t>
      </w:r>
    </w:p>
    <w:p w14:paraId="08D7F53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三条规定：“二级国家级公益林在不影响整体森林生态系统功能发挥的前提下，可以按照第十二条第三款相关技术规程的规定开展抚育和更新性质的采伐。在不破坏森林植被的前提下，可以合理利用其林地资源，适度开展林下种植养殖和森林游憩等非木质资源开发与利用，科学发展林下经济。国有二级国家级公益林除执行前款规定外，需要开展抚育和更新采伐或者非木质资源培育利用的，还应当符合森林经营方案的规划，并编制采伐或非木质资源培育利用作业设计，经县级以上林业主管部门依法批准后实施”。</w:t>
      </w:r>
    </w:p>
    <w:p w14:paraId="5FE783D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第十四条规定：“国家级公益林中的天然林，除执行上述规定外，还应当严格执行天然林资源保护的相关政策和要求。”第十五条规定：“对国家级公益林实行‘总量控制、区域稳定、动态管理、增减平衡’的管理机制。”</w:t>
      </w:r>
    </w:p>
    <w:p w14:paraId="4FB8C948">
      <w:pPr>
        <w:ind w:firstLine="480" w:firstLineChars="200"/>
        <w:rPr>
          <w:rFonts w:hint="default" w:ascii="Times New Roman" w:hAnsi="Times New Roman" w:cs="Times New Roman"/>
          <w:color w:val="auto"/>
          <w:highlight w:val="green"/>
        </w:rPr>
      </w:pPr>
      <w:r>
        <w:rPr>
          <w:rFonts w:hint="default" w:ascii="Times New Roman" w:hAnsi="Times New Roman" w:cs="Times New Roman"/>
          <w:color w:val="auto"/>
          <w:highlight w:val="none"/>
        </w:rPr>
        <w:t>规划范围内分布有国家级公益林和省级公益林，由于受规划阶段深度制约，重点工程相关工程占地、线路等工程布置暂不明确，不能精准的识别所涉及的公益林占地面积，但在下阶段设计中应注意工程布局与施工方案的持续优化，尽量避让或减少公益林地占用，实在难以避让的，应按《国家级公益林管理办法》有关规定办理林地占用手续。因此，在下阶段应加强选址论证，合理避让公益林，无法避让的，应按国家规定办理相关手续并获得批准。</w:t>
      </w:r>
      <w:r>
        <w:rPr>
          <w:rFonts w:hint="default" w:ascii="Times New Roman" w:hAnsi="Times New Roman" w:cs="Times New Roman"/>
          <w:color w:val="auto"/>
          <w:highlight w:val="green"/>
        </w:rPr>
        <w:t>采取这些措施后，本规划与《国家级公益林管理办法》不冲突。</w:t>
      </w:r>
    </w:p>
    <w:p w14:paraId="5C7E8EA5">
      <w:pPr>
        <w:pStyle w:val="6"/>
        <w:keepNext w:val="0"/>
        <w:keepLines w:val="0"/>
        <w:numPr>
          <w:ilvl w:val="3"/>
          <w:numId w:val="4"/>
        </w:numPr>
        <w:spacing w:before="374" w:after="249"/>
        <w:ind w:left="862" w:hanging="862"/>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与《天然林保护修复制度方案》的符合性分析</w:t>
      </w:r>
    </w:p>
    <w:p w14:paraId="7E3338E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《天然林保护修复制度方案》第八条规定：“严格控制天然林地转为其他用途，除国防建设、国家重大工程项目建设特殊需要外，禁止占用保护重点区域的天然林地。在不破坏地表植被、不影响生物多样性保</w:t>
      </w:r>
      <w:r>
        <w:rPr>
          <w:rFonts w:hint="default" w:ascii="Times New Roman" w:hAnsi="Times New Roman" w:cs="Times New Roman"/>
          <w:color w:val="auto"/>
          <w:highlight w:val="none"/>
          <w:lang w:eastAsia="zh-CN"/>
        </w:rPr>
        <w:t>护的</w:t>
      </w:r>
      <w:r>
        <w:rPr>
          <w:rFonts w:hint="default" w:ascii="Times New Roman" w:hAnsi="Times New Roman" w:cs="Times New Roman"/>
          <w:color w:val="auto"/>
          <w:highlight w:val="none"/>
        </w:rPr>
        <w:t>前提下，可在天然林地适度发展生态旅游、休闲康养、特色种植养殖等产业。”</w:t>
      </w:r>
    </w:p>
    <w:p w14:paraId="0E1B553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拟建水利项目为民生工程，属于基础设施建设，通过合理的水资源配置为曲靖市经济社会的可持续发展提供水资源保障。规划的项目限于规划深度限制及规划工程占地及淹没范围的未确定性，涉及天然林的面积本阶段也无法明确，在下阶段应加强选址论证，合理避让天然林，无法避让的，应按国家规定办理相关手续并获得批准。在采取这些措施后，本规划与《天然林保护修复制度方案》不冲突。</w:t>
      </w:r>
    </w:p>
    <w:p w14:paraId="45F092C0">
      <w:pPr>
        <w:pStyle w:val="5"/>
        <w:keepNext w:val="0"/>
        <w:keepLines w:val="0"/>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与相关产业政策的协调性</w:t>
      </w:r>
    </w:p>
    <w:p w14:paraId="393A98F5">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与《产业结构调整指导目录（2024年本）》的符合性分析</w:t>
      </w:r>
    </w:p>
    <w:p w14:paraId="5C18858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对照《产业结构调整指导目录（2024年本）》，南盘江（曲靖市境内）流域综合规划的防洪减灾、水资源节约集约、城乡供水、灌溉、引调水工程、水资源保护、水生态保护与修复、水土保持等重大水工程规划等工程符合目录中的“综合利用水利枢纽工程、灌区改造及配套设施建设工程、农田水利设施建设工程、水力发电、水生态系统及地下水保护与修复工程、城乡供水水源工程，旱作节水农业、保护性耕作、生态农业建设”，规划中的项目属于水利类项目，属于目录中的鼓励类项目。因此，本规划与《产业结构调整指导目录（2024年本）》是相符合的。</w:t>
      </w:r>
    </w:p>
    <w:p w14:paraId="180AB43E">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与《国务院关于实行最严格水资源管理制度的意见》的符合性分析</w:t>
      </w:r>
    </w:p>
    <w:p w14:paraId="58D4F7C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国务院关于实行最严格水资源管理制度的意见》（国发〔2012〕3号）（下称《意见》）提出，“开发利用水资源，应当符合主体功能区的要求，按照流域和区域统一制定规划，充分发挥水资源的多种功能和综合效益。建设水利工程，必须符合流域综合规划和防洪规划，由有关水行政主管部门或流域管理机构按照管理权限进行审查并签署意见。严格执行建设项目水资源论证制度，对未依法完成水资源论证工作的建设项目，审批机关不予批准，建设单位不得擅自开工建设和投产使用，对违反规定的，一律责令停止。”</w:t>
      </w:r>
    </w:p>
    <w:p w14:paraId="7D3180E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本规划全面贯彻</w:t>
      </w:r>
      <w:r>
        <w:rPr>
          <w:rFonts w:hint="eastAsia" w:cs="Times New Roman"/>
          <w:color w:val="auto"/>
          <w:highlight w:val="none"/>
          <w:lang w:eastAsia="zh-CN"/>
        </w:rPr>
        <w:t>“节水优先、空间均衡、系统治理、两手发力”</w:t>
      </w:r>
      <w:r>
        <w:rPr>
          <w:rFonts w:hint="default" w:ascii="Times New Roman" w:hAnsi="Times New Roman" w:cs="Times New Roman"/>
          <w:color w:val="auto"/>
          <w:highlight w:val="none"/>
        </w:rPr>
        <w:t>的新时代治水思路，确立了“以水而定、量水而行、因水制宜”的核心理念，将水资源作为最大的刚性约束，统筹考虑流域内水资源的开发、利用、治理、配置、节约和保护，旨在促进人口经济与水资源承载能力相均衡，与《意见》的战略导向深度契合。《意见》强调要“充分发挥水资源的多种功能和综合效益”。南盘江（曲靖市境内）流域综合规划坚持“统筹兼顾、系统治理”的原则，统筹调入区和调出区用水需求，强化开源节流，协调上下游、左右岸、干支流关系，统筹推进水旱灾害防治、水资源利用、水生态保护与修复、水环境治理，注重标本兼治，强化系统保护，加强综合治理，系统解决水旱灾害、水资源、水生态、水环境问题。针对流域特点，在保障河流基本生态流量的前提下，科学规划罗师灌区、富源灌区、沾马灌区、曲靖市牛栏江德泽水库引水济曲工程、陆良县引水入陆工程、响水坝水库扩建等水资源开发利用工程。兼顾考虑将生态优先理念贯穿规划全过程，通过云南省南盘江（珠江源头）生态保护修复工程、水土保持等措施，实现“在保护中开发，在开发中保护”。在编制南盘江（曲靖市境内）流域综合规划过程中，统筹考虑水资源的开发、利用、治理、配置、节约和保护，建立用水总量控制制度、用水效率控制制度、水功能区限制纳污制度和水资源管理责任和考核制度。重点解决河流水资源综合治理与开发、生态环境保护与修复的关系问题。重点研究流域内水资源供需平衡问题及配置方案，提出水资源开发利用意见。</w:t>
      </w:r>
    </w:p>
    <w:p w14:paraId="6F2A027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次流域综合规划提出节约用水规划、水资源规划、水资源保护规划等专项规划，进行流域内水资源配置。充分体现了《国务院关于实行最严格水资源管理制度的意见》中“开发利用水资源，应当符合主体功能区的要求，按照流域和区域统一制定规划，充分发挥水资源的多种功能和综合效益”的要求。</w:t>
      </w:r>
    </w:p>
    <w:p w14:paraId="2730EC5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综上分析，本规划与《国务院关于实行最严格水资源管理制度的意见》（国发〔2012〕3号）的管理原则是一致的。</w:t>
      </w:r>
    </w:p>
    <w:p w14:paraId="26CE4B3C">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w:t>
      </w:r>
      <w:r>
        <w:rPr>
          <w:rFonts w:hint="default" w:ascii="Times New Roman" w:hAnsi="Times New Roman" w:cs="Times New Roman" w:eastAsiaTheme="minorEastAsia"/>
          <w:color w:val="auto"/>
          <w:highlight w:val="none"/>
          <w:lang w:eastAsia="zh-CN"/>
        </w:rPr>
        <w:t>《中共中央 国务院</w:t>
      </w:r>
      <w:r>
        <w:rPr>
          <w:rFonts w:hint="default" w:ascii="Times New Roman" w:hAnsi="Times New Roman" w:cs="Times New Roman" w:eastAsiaTheme="minorEastAsia"/>
          <w:color w:val="auto"/>
          <w:highlight w:val="none"/>
        </w:rPr>
        <w:t>关于加快水利改革发展的决定》符合性分析</w:t>
      </w:r>
    </w:p>
    <w:p w14:paraId="4C8D9ED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2011年中共中央就近年来我国频繁发生的严重水旱灾害，造成重大生命财产损失等重大问题，作出</w:t>
      </w:r>
      <w:r>
        <w:rPr>
          <w:rFonts w:hint="default" w:ascii="Times New Roman" w:hAnsi="Times New Roman" w:cs="Times New Roman"/>
          <w:color w:val="auto"/>
          <w:highlight w:val="none"/>
          <w:lang w:eastAsia="zh-CN"/>
        </w:rPr>
        <w:t>《中共中央 国务院</w:t>
      </w:r>
      <w:r>
        <w:rPr>
          <w:rFonts w:hint="default" w:ascii="Times New Roman" w:hAnsi="Times New Roman" w:cs="Times New Roman"/>
          <w:color w:val="auto"/>
          <w:highlight w:val="none"/>
        </w:rPr>
        <w:t>关于加快水利改革发展的决定》（中发</w:t>
      </w:r>
      <w:r>
        <w:rPr>
          <w:rFonts w:hint="default" w:ascii="Times New Roman" w:hAnsi="Times New Roman" w:cs="Times New Roman"/>
          <w:color w:val="auto"/>
          <w:highlight w:val="none"/>
          <w:lang w:eastAsia="zh-CN"/>
        </w:rPr>
        <w:t>〔2011〕1号</w:t>
      </w:r>
      <w:r>
        <w:rPr>
          <w:rFonts w:hint="default" w:ascii="Times New Roman" w:hAnsi="Times New Roman" w:cs="Times New Roman"/>
          <w:color w:val="auto"/>
          <w:highlight w:val="none"/>
        </w:rPr>
        <w:t>），其中要求“加快推进西南等工程性缺水地区重点水源工程建设，坚持蓄引提与合理开采地下水相结合，以县域为单元，尽快建设一批中小型水库、引提水和连通工程，支持农民兴建小微型水利设施，显著提高雨洪资源利用和供水保障能力，基本解决缺水城镇、人口较集中乡村的供水问题。”“完善优化水资源战略配置格局，在保护生态前提下，尽快建设一批骨干水源工程和河湖水系连通工程，提高水资源调控水平和供水保障能力。”</w:t>
      </w:r>
    </w:p>
    <w:p w14:paraId="3524972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次南盘江（曲靖市境内）流域综合规划共有7件重大水工程，包括大型灌区3件、引调水工程2件、生态保护修复工程1件、扩建水库1件。规划工程的实施，在维护河流健康、促进人水和谐的总体目标下，协调水资源开发、利用、保护与防治水害的关系，保障防洪安全、供水安全和水生态安全，提高流域管理水平，以水资源的可持续利用支撑流域经济社会的可持续发展。规划的任务是摸清流域治理开发现状，分析存在的主要问题及经济社会发展对流域治理开发的要求，提出防洪排涝措施，减轻洪涝灾害；提出水资源配置方案，保障城乡供水和解决农业灌溉用水；提出干、支流梯级布局，合理开发水力资源；提出生态建设规划，防治水土流失；加强水资源和环境保护，提出保护措施；加强管理体制、能力建设，完善流域管理措施。为流域实施水行政管理以及今后一定时期内制定经济社会可持续发展和生态环境保护战略提供依据。</w:t>
      </w:r>
    </w:p>
    <w:p w14:paraId="46E49D6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w:t>
      </w:r>
      <w:r>
        <w:rPr>
          <w:rFonts w:hint="default" w:ascii="Times New Roman" w:hAnsi="Times New Roman" w:cs="Times New Roman"/>
          <w:color w:val="auto"/>
          <w:highlight w:val="none"/>
          <w:lang w:eastAsia="zh-CN"/>
        </w:rPr>
        <w:t>《中共中央 国务院</w:t>
      </w:r>
      <w:r>
        <w:rPr>
          <w:rFonts w:hint="default" w:ascii="Times New Roman" w:hAnsi="Times New Roman" w:cs="Times New Roman"/>
          <w:color w:val="auto"/>
          <w:highlight w:val="none"/>
        </w:rPr>
        <w:t>关于加快水利改革发展的决定》是相协调的。</w:t>
      </w:r>
    </w:p>
    <w:p w14:paraId="6E9F917B">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与《国家林业局关于严格保护天然林的通知》的符合性分析</w:t>
      </w:r>
    </w:p>
    <w:p w14:paraId="4237B85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天然林是森林生态系统的重要组成部分，结构稳定、生物多样性丰富，对维护国家生态安全，促进生态文明建设和经济社会可持续发展具有不可替代的作用。为了严格保护天然林资源，国家林业局于2016年发布了《国家林业局关于严格保护天然林的通知》（林资发〔2015〕181号）。</w:t>
      </w:r>
    </w:p>
    <w:p w14:paraId="3EC387B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国家林业局关于严格保护天然林的通知》提出严格控制低产低效天然林改造、严格控制天然林树木采挖移植、进一步完善天然林保护措施、严厉打击各类违法违规行为4项要求。南盘江（曲靖市境内）流域综合规划通过对流域水资源的合理开发、高效利用、优化配置、节约保护、系统治理和科学管理，促进人口、资源、环境和经济社会的协调发展，规划工程属于《产业结构调整指导目录（2024年本）》鼓励类项目，不涉及低产低效天然林改造，项目实施前严格按照《建设项目使用林地审核审批管理办法》（国家林业局令35号）等法律法规要求办理天然林采挖移植手续，</w:t>
      </w:r>
      <w:r>
        <w:rPr>
          <w:rFonts w:hint="default" w:ascii="Times New Roman" w:hAnsi="Times New Roman" w:cs="Times New Roman"/>
          <w:color w:val="auto"/>
          <w:highlight w:val="none"/>
          <w:lang w:eastAsia="zh-CN"/>
        </w:rPr>
        <w:t>并在</w:t>
      </w:r>
      <w:r>
        <w:rPr>
          <w:rFonts w:hint="default" w:ascii="Times New Roman" w:hAnsi="Times New Roman" w:cs="Times New Roman"/>
          <w:color w:val="auto"/>
          <w:highlight w:val="none"/>
        </w:rPr>
        <w:t>落实相关保护措施的前提下，与《国家林业局关于严格保护天然林的通知》要求相符。</w:t>
      </w:r>
    </w:p>
    <w:p w14:paraId="6DB15BB4">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与“三先三后”原则符合性分析</w:t>
      </w:r>
    </w:p>
    <w:p w14:paraId="29EA930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（1）与“先节水后调水”原则的符合性分析</w:t>
      </w:r>
    </w:p>
    <w:p w14:paraId="2717392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提出了节约用水规划，根据南盘江（曲靖市境内）流域内现状供用水量调查分析和现状社会经济发展指标分析结果，对规划区现状用水水平进行分析评价。当前流域内人均用水量低于云南省和全国平均水平；万元工业增加值用水量低于全省平均水平，农田灌溉用水量低于全省和全国平均水平；农田灌溉水有效利用系数高于全省平均水平，但和全国平均水平还有较大差距；人均生活用水量均高于全国和全省平均水平。流域水量丰富但水资源利用效率不高，以农业用水为主，农业用水量大，农业节水空间大。因此分别从农业节水、工业节水、城市生活节水方面进行节水潜力分析，制定了节水目标和指标。</w:t>
      </w:r>
    </w:p>
    <w:p w14:paraId="40F85D3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①农业节水</w:t>
      </w:r>
    </w:p>
    <w:p w14:paraId="6F29933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加快曲靖大型灌区续建配套和现代化改造项目实施，因地制宜发展喷灌、微灌、滴灌等高效节水灌溉模式。在有条件的规模化种植基地推广水肥一体化精准灌溉技术，实现水肥协同供给、按需调控。衔接曲靖市深化农业水价综合改革部署，建立健全农业用水精准补贴和节水奖励机制，以经济手段促进农业用水方式转变。至2035水平年常规灌溉水利用系数达到0.68~0.7，农田灌溉节水潜力为22291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，占总潜力的66.6%，基本实现水资源的高效利用。</w:t>
      </w:r>
    </w:p>
    <w:p w14:paraId="335FB7C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②工业节水</w:t>
      </w:r>
    </w:p>
    <w:p w14:paraId="20434DD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加强节水技术开发和节水设备、器具的研制等，推进工艺改造和设备更新。大力推广高效冷却、循环用水、废污水再生利用、高耗水生产工艺替代等节水工艺和技术。积极推行水循环梯级利用。引导分散工业企业向工业园区集中，推进现有园区开展节水改造和循环化升级。至2035年工业节水9979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，占总潜力的29.8%。</w:t>
      </w:r>
    </w:p>
    <w:p w14:paraId="4983FFF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③城市生活节水</w:t>
      </w:r>
    </w:p>
    <w:p w14:paraId="22CF807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推广节水型坐便器、淋浴器、水嘴等节水器具，提高节水器具普及率。实施公共供水管网漏损治理，加快老旧供水管网更新改造，推进城镇供水管网分区计量管理。供水管网漏失率实现持续稳步下降，预测至2035年规划区管网漏失率最低可达8%。实施农村集中供水工程节水改造，推广使用节水器具，逐步减少农村供水系统跑冒滴漏。至2035年城乡生活节水1212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，占总潜力的3.6%。</w:t>
      </w:r>
    </w:p>
    <w:p w14:paraId="7832633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因此，本规划与“先节水后调水”原则是相符合的。</w:t>
      </w:r>
    </w:p>
    <w:p w14:paraId="4014C1A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（2）与“先治污后通水”原则的符合性</w:t>
      </w:r>
    </w:p>
    <w:p w14:paraId="7755A53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提出，根据流域水资源保护的条件与特点，以水功能区划为基础，通过对流域现状水质、污染源调查和分析，制定入河排污总量控制方案，通过入河排污口整治与调整、水源涵养与水源地保护、面源控制与内源治理等多项措施保护流域水资源质量。到2035年，污染物入河量全部控制在功能区纳污能力范围内，水环境呈良性发展；主要农村饮用水水源地水质基本达标；建立完善的水资源保护体系，保障水资源的良性循环，以水资源的可持续利用支撑经济社会的可持续发展。</w:t>
      </w:r>
    </w:p>
    <w:p w14:paraId="2BB10E3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因此，本规划实施后，规划区内产生的污染物将会得到有效治理，与“先治污后通水”的原则相符合。</w:t>
      </w:r>
    </w:p>
    <w:p w14:paraId="427C4EB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（3）与“先环保后用水”原则的符合性</w:t>
      </w:r>
    </w:p>
    <w:p w14:paraId="35E5B04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本规划中提出了水资源保护规划、水生态保护与修复规划等环保专项规划</w:t>
      </w:r>
      <w:r>
        <w:rPr>
          <w:rFonts w:hint="default" w:ascii="Times New Roman" w:hAnsi="Times New Roman" w:cs="Times New Roman"/>
          <w:color w:val="auto"/>
          <w:highlight w:val="none"/>
          <w:lang w:eastAsia="zh-CN"/>
        </w:rPr>
        <w:t>，在</w:t>
      </w:r>
      <w:r>
        <w:rPr>
          <w:rFonts w:hint="default" w:ascii="Times New Roman" w:hAnsi="Times New Roman" w:cs="Times New Roman"/>
          <w:color w:val="auto"/>
          <w:highlight w:val="none"/>
        </w:rPr>
        <w:t>对南盘江（曲靖市境内）流域进行开发前，针对流域内存在的生活污水、垃圾集中处理措施建设不完善、工矿企业污染、</w:t>
      </w:r>
      <w:r>
        <w:rPr>
          <w:rFonts w:hint="default" w:ascii="Times New Roman" w:hAnsi="Times New Roman" w:cs="Times New Roman"/>
          <w:color w:val="auto"/>
          <w:highlight w:val="none"/>
          <w:lang w:eastAsia="zh-CN"/>
        </w:rPr>
        <w:t>农业面源污染</w:t>
      </w:r>
      <w:r>
        <w:rPr>
          <w:rFonts w:hint="default" w:ascii="Times New Roman" w:hAnsi="Times New Roman" w:cs="Times New Roman"/>
          <w:color w:val="auto"/>
          <w:highlight w:val="none"/>
        </w:rPr>
        <w:t>突出，治理难度大、生态系统次生化人工化、生态流量下放不完善、水库和引调水库工程阻隔河流的连续性，水量减少等</w:t>
      </w:r>
      <w:r>
        <w:rPr>
          <w:rFonts w:hint="default" w:ascii="Times New Roman" w:hAnsi="Times New Roman" w:cs="Times New Roman"/>
          <w:color w:val="auto"/>
          <w:highlight w:val="none"/>
          <w:lang w:eastAsia="zh-CN"/>
        </w:rPr>
        <w:t>对</w:t>
      </w:r>
      <w:r>
        <w:rPr>
          <w:rFonts w:hint="default" w:ascii="Times New Roman" w:hAnsi="Times New Roman" w:cs="Times New Roman"/>
          <w:color w:val="auto"/>
          <w:highlight w:val="none"/>
        </w:rPr>
        <w:t>流域内的水生生境产生影响等主要环境问题提出治理措施，主要包括水源涵养与水源地保护、面源控制与内源治理、水资源保护监测、生态基流保障等措施，以保障河道生态环境“良好”的目标。</w:t>
      </w:r>
    </w:p>
    <w:p w14:paraId="3E99337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因此，本规划实施后，规划区内的水环境问题将会得到有效治理，与“先治污后通水”的原则相符合。</w:t>
      </w:r>
    </w:p>
    <w:p w14:paraId="59780E7E">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与《云南省水污染防治工作方案》</w:t>
      </w:r>
    </w:p>
    <w:p w14:paraId="7E56ED9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2016年1月10日，云南省人民政府印发了《云南省水污染防治工作方案》（下称《方案》）。《方案》按照“保护好水质优良水体、整治不达标水体、全面改善水环境质量”的总体思路，统筹推进水污染防治、水生态保护和水资源管理，提出提升河湖水环境质量，加强重点流域污染治理和环境风险防范，保障水环境安全等的总体要求。提出到2030年，全省水环境质量总体改善，水生态系统功能初步恢复。至本世纪中叶，生态环境质量全面改善，生态系统实现良性循环的工作目标。</w:t>
      </w:r>
    </w:p>
    <w:p w14:paraId="67E5CEE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通过提出水资源保护规划、水生态保护与修复规划等规划内容，切实保障南盘江（曲靖市境内）流域内水资源、水环境、水生态的健康良性发展，水资源保护规划提出入河排污口布局与整治、水源涵养与水源地保护、面源控制与内源治理、水资源保护监测，逐步改善南盘江（曲靖市境内）流域的水环境质量，使主要污染物入河总量控制在南盘江（曲靖市境内）及其支流水功能区纳污限排范围之内。水生态保护与修复规划提出河流生态需水保障措施、保障河流生态用水，提出加强水源涵养与保护、河道生态保护与修复、鱼类资源保护的水生态保护与修复措施，切实保障南盘江（曲靖市境内）流域水生态健康发展，改善生态环境质量，实现南盘江（曲靖市境内）流域系统的良性循环。</w:t>
      </w:r>
    </w:p>
    <w:p w14:paraId="763EBF3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因此，本规划与《云南省水污染防治方案》是相符合的。</w:t>
      </w:r>
    </w:p>
    <w:p w14:paraId="5A59C035">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与《曲靖市人民政府关于实行最严格水资源管理制度的意见》</w:t>
      </w:r>
    </w:p>
    <w:p w14:paraId="21A4D2E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根据云南省人民政府办公厅关于印发《云南省实行最严格水资源管理制度考核办法》，2030年曲靖市用水总量控制指标为25.24亿m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，根据《曲靖市“十五五”水安全保障规划》（初稿），2035年市级水网用水总量</w:t>
      </w:r>
      <w:r>
        <w:rPr>
          <w:rFonts w:hint="default" w:ascii="Times New Roman" w:hAnsi="Times New Roman" w:cs="Times New Roman"/>
          <w:color w:val="auto"/>
          <w:highlight w:val="green"/>
        </w:rPr>
        <w:t>控制约束性</w:t>
      </w:r>
      <w:r>
        <w:rPr>
          <w:rFonts w:hint="eastAsia" w:cs="Times New Roman"/>
          <w:color w:val="auto"/>
          <w:highlight w:val="green"/>
          <w:lang w:val="en-US" w:eastAsia="zh-CN"/>
        </w:rPr>
        <w:t>指标</w:t>
      </w:r>
      <w:r>
        <w:rPr>
          <w:rFonts w:hint="default" w:ascii="Times New Roman" w:hAnsi="Times New Roman" w:cs="Times New Roman"/>
          <w:color w:val="auto"/>
          <w:highlight w:val="green"/>
        </w:rPr>
        <w:t>为25.2亿m</w:t>
      </w:r>
      <w:r>
        <w:rPr>
          <w:rFonts w:hint="default" w:ascii="Times New Roman" w:hAnsi="Times New Roman" w:cs="Times New Roman"/>
          <w:color w:val="auto"/>
          <w:highlight w:val="green"/>
          <w:vertAlign w:val="superscript"/>
        </w:rPr>
        <w:t>3</w:t>
      </w:r>
      <w:r>
        <w:rPr>
          <w:rFonts w:hint="default" w:ascii="Times New Roman" w:hAnsi="Times New Roman" w:cs="Times New Roman"/>
          <w:color w:val="auto"/>
          <w:highlight w:val="green"/>
        </w:rPr>
        <w:t>。</w:t>
      </w:r>
      <w:r>
        <w:rPr>
          <w:rFonts w:hint="default" w:ascii="Times New Roman" w:hAnsi="Times New Roman" w:cs="Times New Roman"/>
          <w:color w:val="auto"/>
          <w:highlight w:val="none"/>
        </w:rPr>
        <w:t>规划水平年2035年，流域多年平均配置总用水量17.10亿m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，其中再生水0.74亿m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不占用用水总量指标，扣除后实际取用原生水量16.36亿m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，低于流域用水总量控制指标17.25亿m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，满足最严格水资源管理制度“三条红线”管控要求。较现状年8.54亿m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增加7.82亿m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，增量主要用于保障城乡生活供水安全、支撑工业产业转型升级和提升农业灌溉保证率，与流域经济社会发展需求相匹配，未突破水资源承载能力。</w:t>
      </w:r>
    </w:p>
    <w:p w14:paraId="079E3FD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根据《曲靖市2025年度实行最严格水资源管理制度自查报告》，曲靖市2025年实际用水量15.91亿m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，低于考核指标17.84亿m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达标考核要求。根据各流域2025年用水计划和用水计划执行情况填报水量的情况，曲靖市各流域实际用水量均在下达指标范围，未出现用水总量超下达指标的情况。云南省主要河湖生态流量预警简报通报2025年度情况，黄梨树站全年日平均流量大于生态流量13.0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/s，以则站全年日平均流量大于生态流量1.56m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生态流量目标全部100%达标。曲靖市2025年万元国内生产总值用水量比2020年下降20.3%，达到考核指标下降20.0%要求；万元工业增加值用水量比2020年下降29.1%，达到考核指标下降16.0%要求。曲靖市2025年重要江河湖泊水功能区考核断面个数51个，考核达标率为90.2%。曲靖市2025年实际考核水功能区达标断面47个，达标率为92.2%，达到考核目标90.2%要求。</w:t>
      </w:r>
    </w:p>
    <w:p w14:paraId="39B507F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曲靖市认真贯彻落实云南省、曲靖市最严格水资源管理的重点工作，全面贯彻</w:t>
      </w:r>
      <w:r>
        <w:rPr>
          <w:rFonts w:hint="eastAsia" w:cs="Times New Roman"/>
          <w:color w:val="auto"/>
          <w:highlight w:val="none"/>
          <w:lang w:eastAsia="zh-CN"/>
        </w:rPr>
        <w:t>“节水优先、空间均衡、系统治理、两手发力”</w:t>
      </w:r>
      <w:r>
        <w:rPr>
          <w:rFonts w:hint="default" w:ascii="Times New Roman" w:hAnsi="Times New Roman" w:cs="Times New Roman"/>
          <w:color w:val="auto"/>
          <w:highlight w:val="none"/>
        </w:rPr>
        <w:t>的治水新思路，深入落实“创新、协调、绿色、开放、共享”五大发展理念，以实行最严格水资源管理制度为主线，以严格“三条红线”管控、用途管制和“双控”目标为抓手，稳步推进节水型社会建设、水生态文明建设、监控能力建设和水环境综合治理。着力加强入河排污口管理、水功能区管理、计划用水管理、生态流量管理、地下水管理、用水定额管理和水源地保护；全面推行河长制，深入推进水污染防治行动。一年来，在最严格水资源管理制度的落实上取得了一定成效，做到了“红线能控、现状能保、管理有措、目标能达”。</w:t>
      </w:r>
    </w:p>
    <w:p w14:paraId="402F944F">
      <w:pPr>
        <w:pStyle w:val="6"/>
        <w:keepNext w:val="0"/>
        <w:keepLines w:val="0"/>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与《曲靖市生态环境分区管控动态更新方案（2023年）》的符合性</w:t>
      </w:r>
    </w:p>
    <w:p w14:paraId="2B981D4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2024年7月曲靖市生态环境局印发《曲靖市生态环境分区管控动态更新方案（2023年）》（下称《更新方案》），《更新方案》结合“十四五”环境管理目标，衔接国土空间规划和用途管制，强化生态保护红线、环境质量底线、资源利用上线的生态环境管控要求。更新后曲靖市共划定生态环境管控单元91个，相比调整前增加11个，其中，优先保护单元27个，面积13278.60km²；重点管控单元55个，面积6639.37km²；一般管控单元9个，面积9018.02km²。优先保护单元突出系统性保护，以维护生态系统服务功能为导向，确保生态安全。重点管控单元聚焦突出生态环境问题，突出精细化管理。一般管控单元保持基本稳定，为经济社会发展和生态环境保护预留空间。</w:t>
      </w:r>
    </w:p>
    <w:p w14:paraId="7DBCA04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本流域位于曲靖市3区4县，即麒麟区、沾益区、马龙区、罗平县、富源县、陆良县、师宗县，流域内主要为优先保护单元、重点保护单元和一般管控单元。</w:t>
      </w:r>
    </w:p>
    <w:p w14:paraId="25BD887F">
      <w:pP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271135" cy="7011670"/>
            <wp:effectExtent l="0" t="0" r="5715" b="177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8"/>
                    <a:stretch>
                      <a:fillRect/>
                    </a:stretch>
                  </pic:blipFill>
                  <pic:spPr>
                    <a:xfrm>
                      <a:off x="0" y="0"/>
                      <a:ext cx="5271135" cy="7011670"/>
                    </a:xfrm>
                    <a:prstGeom prst="rect">
                      <a:avLst/>
                    </a:prstGeom>
                    <a:noFill/>
                    <a:ln>
                      <a:noFill/>
                    </a:ln>
                  </pic:spPr>
                </pic:pic>
              </a:graphicData>
            </a:graphic>
          </wp:inline>
        </w:drawing>
      </w:r>
    </w:p>
    <w:p w14:paraId="265B346A">
      <w:pPr>
        <w:pStyle w:val="29"/>
        <w:bidi w:val="0"/>
        <w:rPr>
          <w:rFonts w:hint="default"/>
          <w:color w:val="auto"/>
        </w:rPr>
      </w:pPr>
      <w:r>
        <w:rPr>
          <w:rFonts w:hint="default"/>
          <w:color w:val="auto"/>
        </w:rPr>
        <w:t>图 2.4.6-1 流域与曲靖市生态环境管控单元位置关系</w:t>
      </w:r>
    </w:p>
    <w:p w14:paraId="39861BA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（1）与生态保护红线的符合性分析</w:t>
      </w:r>
    </w:p>
    <w:p w14:paraId="68DFA6B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生态保护红线优先保护单元按照国家生态保护红线有关要求进行管控。一般生态空间优先保护单元以保护和修复生态环境、提供生态产品为首要任务，参照主体功能区中重点生态功能区的开发和管制原则进行管控，加强资源环境承载力控制，防止过度垦殖、放牧、采伐、取水、渔猎、旅游等对生态功能造成损害，确保自然生态系统稳定。涉及占用一般生态空间的开发活动应符合相关法律法规规定，没有明确规定的，加强论证和管理。暂未纳入生态保护红线的自然保护地按照相关保护地法律法规进行管理；自然保护地优化整合成果获批前，按现行有效法律法规管理。</w:t>
      </w:r>
    </w:p>
    <w:p w14:paraId="670C8F0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三区三线”中的生态保护红线范围，将规划工程点位与生态保护红线进行叠图初步分析，本规划范围内涉及珠江上游及滇东南喀斯特地带水土保持生态保护红线，红线保护要求为功能不降低、面积不减少、性质不改变。本规划重点水利工程云南省南盘江（珠江源头）生态保护修复工程约35.56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、罗师灌区工程约20.02hm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沾马灌区工程约17.43km、曲靖市牛栏江德泽水库引水济曲工程拟建线路约8.01km涉及生态保护红线，受规划阶段深度制约，当前规划工程占地及线路存在不确定性，在下阶段设计过程中应完善工程占地与生态保护红线位置关系，优化工程布置，尽量避让生态保护红线，若实在难以避让的，需根据国家相关政策要求，向主管部门办理生态保护红线相关手续。本规划重点水利工程属于有限人为活动，在做好环保措施、办理完善相关手续的前提下，规划方案与生态保护红线相关规定是符合的。</w:t>
      </w:r>
    </w:p>
    <w:p w14:paraId="67D7EEB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（2）与环境质量底线符合性分析</w:t>
      </w:r>
    </w:p>
    <w:p w14:paraId="61EE916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更新方案》中对污染物排放管控指出，加大重点流域水污染防治，确保水质如期达标。严格保护集中式饮用水水源地，整治饮用水源保护区内的污染源，确保饮水安全。加强环境风险防控和应急管理，制定和完善突发环境事件和集中式饮用水水源地突发环境事件应急预案，加强风险防控和突发环境事件应急处理处置能力。</w:t>
      </w:r>
    </w:p>
    <w:p w14:paraId="184D77A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重点水工程项目主要为灌区工程、引调水工程、水生态保护与修复工程、扩建水源等水利工程，不属于污染类项目，建成后不会对环境产生污染物，建设过程中产生的废水在环保措施落实的情况下处理达标后回用或排放，不会对河流水质造成污染，也不会产生有毒有害气体，采取洒水降尘等措施能有效减少扬尘，综上，严格执行环保措施，不会对工程区水质、空气、土壤等造成污染，符合环境质量底线要求。此外，规划水土保持、水生态保护与修复工程的实施有利于生态系统的修复和环境质量的提升；水资源保护规划以水功能区划为基础，通过对流域现状水质、污染源调查和分析，制定入河排污总量控制方案，以入河控制量和河流生态需水为水资源保护的控制目标，重点区域重点保护，采用多种措施保护流域水资源质量，使南盘江（曲靖市境内）流域内控制断面能满足流域环境质量底线的控制要求。</w:t>
      </w:r>
    </w:p>
    <w:p w14:paraId="6EF4544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因此，本规划与南盘江（曲靖市境内）流域环境质量底线是协调的。</w:t>
      </w:r>
    </w:p>
    <w:p w14:paraId="2E52F9D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（3）与资源利用上线符合性分析</w:t>
      </w:r>
    </w:p>
    <w:p w14:paraId="4048A91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更新方案》指出，坚持以水而定、量水而行，统筹生活、生产和生态用水，科学合理配置水资源，保障河湖基本生态用水。确定河流生态需水量，确保河流生态系统功能。加强南盘江等生态流量保障工程建设，合理安排闸坝下泄水量和泄洪时段，维护河湖基本生态用水需求，重点保障、生态敏感区生态流量；建立水资源刚性约束制度，实行水资源消耗总量和强度双控，严格实施取水许可和水资源有偿使用制度，强化用水全过程管理，深入抓好工业、城镇、农业等方面用水量控制，严格规范取水许可审批管理；大力推进各县（市、区）农业、工业、城镇节水，扩大曲靖市县域节水型社会比例。强化农业节水，优化农业种植结构，加大农业节水力度，加快实施规模化高效节水灌溉行动。推广和普及田间节水技术，开辟抗旱水源，科学调度抗旱用水；到2025年，曲靖市用水总量控制在18.68亿m³以内，万元GDP用水量、万元工业增加值用水量比2020年分别不低于20%和16%，</w:t>
      </w:r>
      <w:r>
        <w:rPr>
          <w:rFonts w:hint="eastAsia" w:cs="Times New Roman"/>
          <w:color w:val="auto"/>
          <w:highlight w:val="none"/>
          <w:lang w:eastAsia="zh-CN"/>
        </w:rPr>
        <w:t>农田灌溉水有效利用系数</w:t>
      </w:r>
      <w:r>
        <w:rPr>
          <w:rFonts w:hint="default" w:ascii="Times New Roman" w:hAnsi="Times New Roman" w:cs="Times New Roman"/>
          <w:color w:val="auto"/>
          <w:highlight w:val="none"/>
        </w:rPr>
        <w:t>不低于0.545。</w:t>
      </w:r>
    </w:p>
    <w:p w14:paraId="6A6B790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布局水生态保护与修复规划，以改善水生态环境为目标，将保障河湖基本生态用水作为规划重点，统筹南盘江（曲靖市境内）流域内河湖生态流量下泄要求，维护河湖水生态安全。规划以建立流域水资源节约保护与高效利用体系为目标任务，坚持用水总量控制原则，按照节水型社会建设要求进行用水定额控制，按照水资源循环利用的要求严格控制新鲜水的取用量，对不同流域和县域之间以及不同用水行业之间进行合理配置，使流域、县域用水总量控制在合理规模。规划新建罗师灌区、富源灌区、沾马灌区3件大型灌区、新建2件引调水工程、1件水生态保护和修复工程、1件水库扩建工程来完善流域水资源配置工程体系，结合非工程措施，保障供水安全。本规划包括了节约用水规划，坚持节水优先，把水资源作为刚性约束，分析南盘江（曲靖市境内）流域内农业、生活、工业节水潜力，分别提出农业、生活、工业端节水措施。本规划水资源配置严格按照曲靖市水资源利用总量控制指标要求，生活、工业、农业用水预测均按照当地定额进行核算。根据《曲靖市水务局曲靖市发展和改革委员会关于印发各县（市、区）2030 年用水总量和强度双控指标的通知》（曲水资源〔2025〕12 号），2030年曲靖市用水总量控制指标为25.24亿m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，根据《曲靖市“十五五”水安全保障规划》（初稿），</w:t>
      </w:r>
      <w:r>
        <w:rPr>
          <w:rFonts w:hint="default" w:ascii="Times New Roman" w:hAnsi="Times New Roman" w:cs="Times New Roman"/>
          <w:color w:val="auto"/>
          <w:highlight w:val="green"/>
        </w:rPr>
        <w:t>2035年市级水网用水总量控制约束性</w:t>
      </w:r>
      <w:r>
        <w:rPr>
          <w:rFonts w:hint="eastAsia" w:cs="Times New Roman"/>
          <w:color w:val="auto"/>
          <w:highlight w:val="green"/>
          <w:lang w:val="en-US" w:eastAsia="zh-CN"/>
        </w:rPr>
        <w:t>指标</w:t>
      </w:r>
      <w:r>
        <w:rPr>
          <w:rFonts w:hint="default" w:ascii="Times New Roman" w:hAnsi="Times New Roman" w:cs="Times New Roman"/>
          <w:color w:val="auto"/>
          <w:highlight w:val="green"/>
        </w:rPr>
        <w:t>为25.2亿m</w:t>
      </w:r>
      <w:r>
        <w:rPr>
          <w:rFonts w:hint="default" w:ascii="Times New Roman" w:hAnsi="Times New Roman" w:cs="Times New Roman"/>
          <w:color w:val="auto"/>
          <w:highlight w:val="green"/>
          <w:vertAlign w:val="superscript"/>
        </w:rPr>
        <w:t>3</w:t>
      </w:r>
      <w:r>
        <w:rPr>
          <w:rFonts w:hint="default" w:ascii="Times New Roman" w:hAnsi="Times New Roman" w:cs="Times New Roman"/>
          <w:color w:val="auto"/>
          <w:highlight w:val="green"/>
        </w:rPr>
        <w:t>。</w:t>
      </w:r>
      <w:r>
        <w:rPr>
          <w:rFonts w:hint="default" w:ascii="Times New Roman" w:hAnsi="Times New Roman" w:cs="Times New Roman"/>
          <w:color w:val="auto"/>
          <w:highlight w:val="none"/>
        </w:rPr>
        <w:t>规划水平年2035年，流域多年平均配置总用水量17.10亿m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，其中再生水0.74亿m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不占用用水总量指标，扣除后实际取用原生水量16.36亿m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，低于流域用水总量控制指标17.25亿m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，未突破水资源利用上线，满足最严格水资源管理制度“三条红线”管控要求。</w:t>
      </w:r>
    </w:p>
    <w:p w14:paraId="6E2DC38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因此，本规划符合资源利用上线要求。</w:t>
      </w:r>
    </w:p>
    <w:p w14:paraId="6CB2FF7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（4）与环境准入清单符合性分析</w:t>
      </w:r>
    </w:p>
    <w:p w14:paraId="29FE4D0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优先保护单元包括生态保护红线、一般生态空间、饮用水水源地；重点管控单元包含开发强度高、污染物排放强度大、生态环境问题相对集中的区域和大气环境布局敏感、弱扩散区等，主要分布在南盘江上游和北盘江流域、各类开发区和工业集中区、城镇规划区及环境质量改善压力较大的区域；一般管控单元为优先保护、重点管控单元之外的区域。南盘江（曲靖市境内）流域综合规划重点水利工程包括灌区工程、引调水工程、水生态保护和修复工程、扩建水源工程等，提出入河排污口整治与调整、水源涵养与水源地保护、面源控制与内源治理等水资源保护措施，规划实施有利于优化区域水资源配置，保障区域水系生态流量。同时，本规划工程在施工建设期应落实各类生产生活废污水经处理后优先回用，不可回用部分达标排放。规划项目运行过程中基本无污染物排放，在办理相应手续后，不属于曲靖市空间约束布局中优先保护、重点管控和一般管控单元中禁止建设的项目类型，符合上述各类单元的准入要求，在落实相关水污染防治措施的前提下，与生态环境准入清单不冲突。</w:t>
      </w:r>
    </w:p>
    <w:p w14:paraId="1E4EF32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因此，本规划与《曲靖市生态环境分区管控动态更新方案（2023年）》是相符的。</w:t>
      </w:r>
    </w:p>
    <w:p w14:paraId="0BF4AC33">
      <w:pPr>
        <w:pStyle w:val="4"/>
        <w:rPr>
          <w:rFonts w:hint="default" w:ascii="Times New Roman" w:hAnsi="Times New Roman" w:cs="Times New Roman"/>
          <w:color w:val="auto"/>
          <w:highlight w:val="none"/>
        </w:rPr>
      </w:pPr>
    </w:p>
    <w:p w14:paraId="6C1CCCFD">
      <w:pPr>
        <w:pStyle w:val="3"/>
        <w:numPr>
          <w:ilvl w:val="1"/>
          <w:numId w:val="4"/>
        </w:numPr>
        <w:spacing w:before="374" w:after="249"/>
        <w:rPr>
          <w:rFonts w:hint="default" w:ascii="Times New Roman" w:hAnsi="Times New Roman" w:eastAsia="宋体" w:cs="Times New Roman"/>
          <w:color w:val="auto"/>
          <w:highlight w:val="none"/>
        </w:rPr>
      </w:pPr>
      <w:bookmarkStart w:id="66" w:name="_Toc11324"/>
      <w:r>
        <w:rPr>
          <w:rFonts w:hint="default" w:ascii="Times New Roman" w:hAnsi="Times New Roman" w:eastAsia="宋体" w:cs="Times New Roman"/>
          <w:color w:val="auto"/>
          <w:highlight w:val="none"/>
        </w:rPr>
        <w:t>规划不确定性</w:t>
      </w:r>
      <w:r>
        <w:rPr>
          <w:rFonts w:hint="default" w:ascii="Times New Roman" w:hAnsi="Times New Roman" w:cs="Times New Roman"/>
          <w:color w:val="auto"/>
          <w:highlight w:val="none"/>
          <w:lang w:val="en-US" w:eastAsia="zh-CN"/>
        </w:rPr>
        <w:t>分析</w:t>
      </w:r>
      <w:bookmarkEnd w:id="66"/>
    </w:p>
    <w:p w14:paraId="13FDC77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的制定是一个动态的决策过程，受数据可获得性、未来宏观环境演变的影响，规划及其所处的背景条件不可避免地存在不确定性，实际产生的环境影响与当前预测可能存在偏差。规划实施也依赖于社会、经济、环境、技术等诸多要素及资源的协调与配置，因此在实施过程中存在一系列的不确定性。此外本规划还具有范围广、实施期较长等特点，更增加了本规划实施的不确定性。对于规划实施过程中的不确定性，按其来源主要可划分为规划基础条件的不确定性、规划方案的不确定性。</w:t>
      </w:r>
    </w:p>
    <w:p w14:paraId="05B6007B">
      <w:pPr>
        <w:pStyle w:val="5"/>
        <w:keepNext w:val="0"/>
        <w:keepLines w:val="0"/>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规划基础条件的不确定性</w:t>
      </w:r>
    </w:p>
    <w:p w14:paraId="06F22C1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基础条件的不确定性，主要指规划实施阶段社会经济、环境、技术等基础条件的不确定性，可细分为社会经济基础条件不确定性、环境条件不确定性、技术条件不确定性、环境敏感区及敏感环境问题的不确定性等。</w:t>
      </w:r>
    </w:p>
    <w:p w14:paraId="11540BC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（1）经济技术条件不确定性</w:t>
      </w:r>
    </w:p>
    <w:p w14:paraId="650CE99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南盘江（曲靖市境内）流域所在区域隶属于扬子准地台滇东坳褶带，形成“断陷盆地+岩溶中山峡谷”复合地貌，喀斯特地貌占境内流域总面积68%以上，区域地质条件复杂，流域内可能</w:t>
      </w:r>
      <w:r>
        <w:rPr>
          <w:rFonts w:hint="default" w:ascii="Times New Roman" w:hAnsi="Times New Roman" w:cs="Times New Roman"/>
          <w:color w:val="auto"/>
          <w:highlight w:val="none"/>
          <w:lang w:eastAsia="zh-CN"/>
        </w:rPr>
        <w:t>涉及</w:t>
      </w:r>
      <w:r>
        <w:rPr>
          <w:rFonts w:hint="default" w:ascii="Times New Roman" w:hAnsi="Times New Roman" w:cs="Times New Roman"/>
          <w:color w:val="auto"/>
          <w:highlight w:val="none"/>
        </w:rPr>
        <w:t>岩溶及地下暗河、软性地基、滑坡体等复杂地质情况。因此，部分规划工程的实施对经济技术条件有较高的要求</w:t>
      </w:r>
      <w:r>
        <w:rPr>
          <w:rFonts w:hint="default" w:ascii="Times New Roman" w:hAnsi="Times New Roman" w:cs="Times New Roman"/>
          <w:color w:val="auto"/>
          <w:highlight w:val="none"/>
          <w:lang w:eastAsia="zh-CN"/>
        </w:rPr>
        <w:t>；在</w:t>
      </w:r>
      <w:r>
        <w:rPr>
          <w:rFonts w:hint="default" w:ascii="Times New Roman" w:hAnsi="Times New Roman" w:cs="Times New Roman"/>
          <w:color w:val="auto"/>
          <w:highlight w:val="none"/>
        </w:rPr>
        <w:t>规划工程实施过程中，实际遇到难以处理或处理成本过高的地质情况，则需对规划项目进行选址选线、工程布置和施工工艺的调整，可能导致工程投资发生改变；在经济与技术快速发展的背景下，规划期内流域所在区域的经济社会地位、产业结构以及技术水平可能发生显著变化，从而给规划工程的建设时序、规模及环保投入带来不确定性；随着社会不断发展，生态环境保护要求不断提高，未来环保标准可能进一步加严，可能导致规划工程在污染治理、生态补偿、水土保持等方面的投资占比提高。因此，本规划存在经济技术条件的不确定性。</w:t>
      </w:r>
    </w:p>
    <w:p w14:paraId="620C7AB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（2）环境敏感区等范围与规划工程关系的不确定性</w:t>
      </w:r>
    </w:p>
    <w:p w14:paraId="6CA4DB1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据本阶段初步核实，规划区内含有自然保护区、风景名胜区、森林公园、地质公园、湿地公园、沙漠公园、饮用水水源保护区及生态保护红线。经复核，云南省南盘江（珠江源头）生态保护修复工程约36.63hm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涉及珠江源省级自然保护区实验区、36.13hm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涉及珠江源省级风景名胜区一般控制区、约38.08hm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涉及云南珠江源国家森林公园，规划沾马灌区工程约5.4km涉及</w:t>
      </w:r>
      <w:r>
        <w:rPr>
          <w:rFonts w:hint="default" w:ascii="Times New Roman" w:hAnsi="Times New Roman" w:cs="Times New Roman"/>
          <w:color w:val="auto"/>
          <w:highlight w:val="none"/>
          <w:lang w:eastAsia="zh-CN"/>
        </w:rPr>
        <w:t>马龙马过河</w:t>
      </w:r>
      <w:r>
        <w:rPr>
          <w:rFonts w:hint="default" w:ascii="Times New Roman" w:hAnsi="Times New Roman" w:cs="Times New Roman"/>
          <w:color w:val="auto"/>
          <w:highlight w:val="none"/>
        </w:rPr>
        <w:t>风景名胜区一般控制区；自然保护地优化整合后，规划重点工程不再涉及自然保护区，但涉及风景名胜区、森林公园、</w:t>
      </w:r>
      <w:r>
        <w:rPr>
          <w:rFonts w:hint="eastAsia" w:ascii="Times New Roman" w:hAnsi="Times New Roman" w:cs="Times New Roman"/>
          <w:color w:val="auto"/>
          <w:highlight w:val="none"/>
          <w:lang w:val="en-US" w:eastAsia="zh-CN"/>
        </w:rPr>
        <w:t>湿地</w:t>
      </w:r>
      <w:r>
        <w:rPr>
          <w:rFonts w:hint="default" w:ascii="Times New Roman" w:hAnsi="Times New Roman" w:cs="Times New Roman"/>
          <w:color w:val="auto"/>
          <w:highlight w:val="none"/>
        </w:rPr>
        <w:t>公园和饮用水源保护区。</w:t>
      </w:r>
    </w:p>
    <w:p w14:paraId="4E28655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由于现阶段尚不能明确规划重点水利工程的枢纽占地范围、输水管线及配套施工占地范围，因此规划工程与环境敏感区位置关系存在一定的不确定性。2020年，自然资源部、国家林草局针对自然保护地交叉重叠、边界不清等历史遗留问题和现实矛盾冲突，启动自然保护地整合优化工作，目前曲靖市自然保护地整合优化成果尚未批复，因此规划工程与自然保护地位置关系、自然保护地的功能和定位存在一定的不确定性。</w:t>
      </w:r>
    </w:p>
    <w:p w14:paraId="6C4990AD">
      <w:pPr>
        <w:pStyle w:val="5"/>
        <w:keepNext w:val="0"/>
        <w:keepLines w:val="0"/>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规划方案的不确定性</w:t>
      </w:r>
    </w:p>
    <w:p w14:paraId="5C1B756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（1）规划内容和布局的不确定性</w:t>
      </w:r>
    </w:p>
    <w:p w14:paraId="2473C07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由于受本阶段设计深度限制，难以从地质、水文、水工建筑物、施工、环保、投资等各方面对具体规划项目选址和规模进行深入全面的综合分析。虽然本规划划定了南盘江（曲靖市境内）流域内的总体布局，但规划工程在勘察设计深入后动态调整变化，规划内容也会随之发生变化。规划设计重点在于规划布局与工程选址，对于具体规划项目的建筑物布置、施工组织等尚未明确，因此，环境影响分析预测不能定量或者半定量给出结论，而只能定性的预测，评价规划方案实施后带来的各种直接和间接的环境影响，从整个区域环境变化的大趋势，分析评价各规划方案的环境可行性，为下阶段项目环评提出要求，明确评价重点。另外，规划项目在实施阶段，随着勘测设计工作的深入，将根据新的勘测资料和设计成果的细化，对工程选址、规模、布置等进行调整、完善和优化；从这一角度而言，规划方案的选址布局和规模存在着一定程度的不确定性。</w:t>
      </w:r>
    </w:p>
    <w:p w14:paraId="07AA889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（2）规划项目建设时序的不确定性</w:t>
      </w:r>
    </w:p>
    <w:p w14:paraId="3446E50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范围包括曲靖市3区4县，即麒麟区、沾益区、马龙区、罗平县、富源县、陆良县、师宗县，随着经济社会的发展，城镇化进程将加速推进，城镇生活需水量增加，导致现状城市供水水源已不能满足用水需求，常常采取限制供水应急措施，导致流域内供用水矛盾突出。</w:t>
      </w:r>
    </w:p>
    <w:p w14:paraId="1ECCB45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由于规划时期长，规划的灌区工程、引调水工程、扩建水库工程及水生态保护和修复工程存在各种不确定性因素，另外本次规划所需资金由省级和地方共同筹措解决，由于各地社会经济发展的不均衡，可能导致各地根据规划项目资金筹措情况适当调整开发建设时序。</w:t>
      </w:r>
    </w:p>
    <w:p w14:paraId="3E0A05D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近年来，规划范围内5个省控断面曾出现部分月份水质超标情况，其中，冯家圩、西河水库坝中2个省控断面近4年均未达标；潇湘水库坝中省控断面近3年（2023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2025年）未达标，2022年达标；沾益铁路桥、响水河水库2个省控断面2022年未达标，近3年（2023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2025年）达标，加大了南盘江（曲靖市境内）流域内水环境、水生态保护的压力。南盘江（曲靖市境内）流域内有自然保护区、风景名胜区、森林公园、地质公园、湿地公园、沙漠公园分布，随着国家及云南省对生态保护的日益重视，未来规划项目在环评审批、取水许可等环节将会更加严格，随着相关政策进一步收紧，部分涉水工程的立项进度和原定时序极有可能被延后，具有不确定性。</w:t>
      </w:r>
    </w:p>
    <w:p w14:paraId="33D134BC">
      <w:pPr>
        <w:pStyle w:val="5"/>
        <w:keepNext w:val="0"/>
        <w:keepLines w:val="0"/>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规划不确定性的应对措施</w:t>
      </w:r>
    </w:p>
    <w:p w14:paraId="430E19D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（1）针对规划基础条件的不确定性</w:t>
      </w:r>
    </w:p>
    <w:p w14:paraId="0F027E8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针对部分敏感区的不确</w:t>
      </w:r>
      <w:r>
        <w:rPr>
          <w:rFonts w:hint="default" w:ascii="Times New Roman" w:hAnsi="Times New Roman" w:cs="Times New Roman"/>
          <w:color w:val="auto"/>
          <w:highlight w:val="none"/>
          <w:lang w:eastAsia="zh-CN"/>
        </w:rPr>
        <w:t>定性</w:t>
      </w:r>
      <w:r>
        <w:rPr>
          <w:rFonts w:hint="default" w:ascii="Times New Roman" w:hAnsi="Times New Roman" w:cs="Times New Roman"/>
          <w:color w:val="auto"/>
          <w:highlight w:val="none"/>
        </w:rPr>
        <w:t>，环境影响评价应早期介入，与项目主体设计平行编制，相互协调。将本规划提出的定性结论转化为对单项工程环评的强制性要求。建立“动态调整台账”，对规划项目在勘察设计阶段产生的工程选址调整、规模变更等情况实行分类管理，对于技术性优化、不改变规划总体目标的情况可按照相关程序备案调整；涉及新增占地或环境敏感点新增则必须履行规划修编程序，确保调整合规。</w:t>
      </w:r>
    </w:p>
    <w:p w14:paraId="6DBD2C6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（2）针对规划方案的不确定性</w:t>
      </w:r>
    </w:p>
    <w:p w14:paraId="0D5D551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本规划确定的流域总体格局与控制性工程功能定位，在下阶段工程设计中，根据具体的地质资料和现场调查，对具体工程选址、坝轴线、建筑物选型进行动态优化与多方案比选，确保工程安全与经济合理。当规划方案发生重大变更或在设计阶段原设计方案无法实施的重大工程，建立规划修编程序。在不降低流域规划目标的前提下，进行工程位置的置换或规模的合理调整，并及时履行规划调整备案手续。</w:t>
      </w:r>
    </w:p>
    <w:p w14:paraId="21E418A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明确本规划的环境影响评价为宏观指导性评价。要求规划工程项目在设计阶段必须开展深入的环境影响评价，对规划阶段未能量化的生态流量、施工污染、水土流失等进行精确测算。</w:t>
      </w:r>
    </w:p>
    <w:p w14:paraId="79B9862B">
      <w:pPr>
        <w:rPr>
          <w:rFonts w:hint="default" w:ascii="Times New Roman" w:hAnsi="Times New Roman" w:eastAsia="宋体" w:cs="Times New Roman"/>
          <w:color w:val="auto"/>
          <w:highlight w:val="none"/>
        </w:rPr>
        <w:sectPr>
          <w:footerReference r:id="rId12" w:type="default"/>
          <w:pgSz w:w="11906" w:h="16838"/>
          <w:pgMar w:top="1440" w:right="1800" w:bottom="1440" w:left="1800" w:header="851" w:footer="992" w:gutter="0"/>
          <w:pgNumType w:fmt="decimal"/>
          <w:cols w:space="425" w:num="1"/>
          <w:docGrid w:type="lines" w:linePitch="312" w:charSpace="0"/>
        </w:sectPr>
      </w:pPr>
    </w:p>
    <w:p w14:paraId="12505C27">
      <w:pPr>
        <w:rPr>
          <w:rFonts w:hint="default" w:ascii="Times New Roman" w:hAnsi="Times New Roman" w:eastAsia="宋体" w:cs="Times New Roman"/>
          <w:color w:val="auto"/>
          <w:highlight w:val="none"/>
        </w:rPr>
      </w:pPr>
    </w:p>
    <w:p w14:paraId="5F3688F2">
      <w:pPr>
        <w:pStyle w:val="2"/>
        <w:numPr>
          <w:ilvl w:val="0"/>
          <w:numId w:val="3"/>
        </w:numPr>
        <w:spacing w:after="249"/>
        <w:rPr>
          <w:rFonts w:hint="default" w:ascii="Times New Roman" w:hAnsi="Times New Roman" w:eastAsia="宋体" w:cs="Times New Roman"/>
          <w:color w:val="auto"/>
          <w:highlight w:val="none"/>
        </w:rPr>
      </w:pPr>
      <w:bookmarkStart w:id="67" w:name="_Toc1909"/>
      <w:r>
        <w:rPr>
          <w:rFonts w:hint="default" w:ascii="Times New Roman" w:hAnsi="Times New Roman" w:eastAsia="宋体" w:cs="Times New Roman"/>
          <w:color w:val="auto"/>
          <w:highlight w:val="none"/>
        </w:rPr>
        <w:t>现状调查与评价</w:t>
      </w:r>
      <w:bookmarkEnd w:id="67"/>
    </w:p>
    <w:p w14:paraId="48384C9E">
      <w:pPr>
        <w:pStyle w:val="31"/>
        <w:keepNext/>
        <w:keepLines/>
        <w:numPr>
          <w:ilvl w:val="0"/>
          <w:numId w:val="4"/>
        </w:numPr>
        <w:spacing w:before="374" w:beforeLines="120" w:after="249" w:afterLines="80" w:line="288" w:lineRule="auto"/>
        <w:ind w:firstLineChars="0"/>
        <w:outlineLvl w:val="1"/>
        <w:rPr>
          <w:rFonts w:hint="default" w:ascii="Times New Roman" w:hAnsi="Times New Roman" w:eastAsia="宋体" w:cs="Times New Roman"/>
          <w:b/>
          <w:bCs/>
          <w:vanish/>
          <w:color w:val="auto"/>
          <w:sz w:val="32"/>
          <w:szCs w:val="32"/>
          <w:highlight w:val="none"/>
        </w:rPr>
      </w:pPr>
    </w:p>
    <w:p w14:paraId="2C22B3C9">
      <w:pPr>
        <w:pStyle w:val="3"/>
        <w:numPr>
          <w:ilvl w:val="1"/>
          <w:numId w:val="4"/>
        </w:numPr>
        <w:spacing w:before="374" w:after="249"/>
        <w:rPr>
          <w:rFonts w:hint="default" w:ascii="Times New Roman" w:hAnsi="Times New Roman" w:eastAsia="宋体" w:cs="Times New Roman"/>
          <w:color w:val="auto"/>
          <w:highlight w:val="none"/>
        </w:rPr>
      </w:pPr>
      <w:bookmarkStart w:id="68" w:name="_Toc21725"/>
      <w:r>
        <w:rPr>
          <w:rFonts w:hint="default" w:ascii="Times New Roman" w:hAnsi="Times New Roman" w:eastAsia="宋体" w:cs="Times New Roman"/>
          <w:color w:val="auto"/>
          <w:highlight w:val="none"/>
        </w:rPr>
        <w:t>自然环境现状</w:t>
      </w:r>
      <w:bookmarkEnd w:id="68"/>
    </w:p>
    <w:p w14:paraId="630F7B9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地理位置</w:t>
      </w:r>
    </w:p>
    <w:p w14:paraId="0A0E4915">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曲靖市位于云贵高原中部，云南省东部偏北，地理坐标介于东经103°03′—104°50′、北纬24°19′—27°03′之间。地处滇、黔、桂三省结合部，是长江和珠江两大水系的上游分水岭地带，又是珠江的发源地，素有“滇黔锁钥”“入滇门户”“云南咽喉”之称。东接贵州省六盘水市、兴义市和广西壮族自治区西林县，西与昆明市嵩明县、寻甸县、东川区接界，南连文山州丘北县、红河州泸西县及昆明市石林县、宜良县，北与昭通市巧家县、鲁甸县及贵州省威宁县毗邻。是滇中城市群的重要组成部分、云南省副中心城市，也是连接云南与贵州、四川的交通枢纽，区位优势显著</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市境南北长302km，东西宽180km，全市国土总面积28904km²，占云南省国土面积的7.3%。曲靖市政府驻地麒麟区，距省会昆明市135km。</w:t>
      </w:r>
    </w:p>
    <w:p w14:paraId="12D78D61">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曲靖市南盘江流域位于曲靖市中、南部，涉及麒麟区、沾益区、马龙区、罗平县、富源县、陆良县、师宗县。</w:t>
      </w:r>
    </w:p>
    <w:p w14:paraId="008507B6">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地形地貌</w:t>
      </w:r>
    </w:p>
    <w:p w14:paraId="5CFE881F">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曲靖市坐落于乌蒙山脉南延地带，地处扬子地台西部滇东褶皱带，地质构造繁杂、地层发育完备，境内以沉积岩为主，火山岩占比偏少，地层出露齐全，碳酸盐岩分布广阔，为岩溶地貌形成奠定了良好地质条件。全市地势西北高、东南低，高原地貌保存完好，东南部为典型岩溶丘原，整体以高原山地为主，兼具盆地、河谷等多种地貌，岩溶景观分布广泛。境内山脉隶属乌蒙山、梁王山两大山系，呈多条平行岭脊排布，形成独特山地格局；市域海拔悬殊极大，最高处达 4017.3</w:t>
      </w:r>
      <w:r>
        <w:rPr>
          <w:rFonts w:hint="default" w:ascii="Times New Roman" w:hAnsi="Times New Roman" w:cs="Times New Roman"/>
          <w:color w:val="auto"/>
          <w:highlight w:val="none"/>
          <w:lang w:val="en-US" w:eastAsia="zh-CN"/>
        </w:rPr>
        <w:t>m</w:t>
      </w:r>
      <w:r>
        <w:rPr>
          <w:rFonts w:hint="default" w:ascii="Times New Roman" w:hAnsi="Times New Roman" w:eastAsia="宋体" w:cs="Times New Roman"/>
          <w:color w:val="auto"/>
          <w:highlight w:val="none"/>
        </w:rPr>
        <w:t>，最低仅695</w:t>
      </w:r>
      <w:r>
        <w:rPr>
          <w:rFonts w:hint="default" w:ascii="Times New Roman" w:hAnsi="Times New Roman" w:cs="Times New Roman"/>
          <w:color w:val="auto"/>
          <w:highlight w:val="none"/>
          <w:lang w:val="en-US" w:eastAsia="zh-CN"/>
        </w:rPr>
        <w:t>m</w:t>
      </w:r>
      <w:r>
        <w:rPr>
          <w:rFonts w:hint="default" w:ascii="Times New Roman" w:hAnsi="Times New Roman" w:eastAsia="宋体" w:cs="Times New Roman"/>
          <w:color w:val="auto"/>
          <w:highlight w:val="none"/>
        </w:rPr>
        <w:t>，全域平均海拔约2000</w:t>
      </w:r>
      <w:r>
        <w:rPr>
          <w:rFonts w:hint="default" w:ascii="Times New Roman" w:hAnsi="Times New Roman" w:cs="Times New Roman"/>
          <w:color w:val="auto"/>
          <w:highlight w:val="none"/>
          <w:lang w:val="en-US" w:eastAsia="zh-CN"/>
        </w:rPr>
        <w:t>m</w:t>
      </w:r>
      <w:r>
        <w:rPr>
          <w:rFonts w:hint="default" w:ascii="Times New Roman" w:hAnsi="Times New Roman" w:eastAsia="宋体" w:cs="Times New Roman"/>
          <w:color w:val="auto"/>
          <w:highlight w:val="none"/>
        </w:rPr>
        <w:t>，城区海拔处于1800至2000</w:t>
      </w:r>
      <w:r>
        <w:rPr>
          <w:rFonts w:hint="default" w:ascii="Times New Roman" w:hAnsi="Times New Roman" w:cs="Times New Roman"/>
          <w:color w:val="auto"/>
          <w:highlight w:val="none"/>
          <w:lang w:val="en-US" w:eastAsia="zh-CN"/>
        </w:rPr>
        <w:t>m</w:t>
      </w:r>
      <w:r>
        <w:rPr>
          <w:rFonts w:hint="default" w:ascii="Times New Roman" w:hAnsi="Times New Roman" w:eastAsia="宋体" w:cs="Times New Roman"/>
          <w:color w:val="auto"/>
          <w:highlight w:val="none"/>
        </w:rPr>
        <w:t>区间。</w:t>
      </w:r>
    </w:p>
    <w:p w14:paraId="5EB26941">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域内分布众多山间坝子与河谷槽地，其中曲靖坝子为省内第五大坝子，水土条件优越，是本地主要农耕产区；德泽槽子地势低洼、气温偏高，地形落差大，立体气候与立体农业特点鲜明。</w:t>
      </w:r>
    </w:p>
    <w:p w14:paraId="6861E2CF">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曲靖市南盘江流域地处滇东高原岩溶地带，整体地势西北高、东南低，地势起伏悬殊，流域内碳酸盐岩分布广泛，喀斯特岩溶地貌发育成熟，大地构造条件造就境内地层齐全、地质结构复杂。流域上游以开阔平缓的高原断陷坝子为主，地形平坦开阔，水土条件优良，中下游逐步过渡为中山低山、深切峡谷地貌，山岭与河谷交错分布，峰丛洼地、溶洞、地下暗河遍布，河道落差较大。流域海拔跨度明显，区域地形差异显著，形成鲜明立体地形特征，不仅造成地表水分布不均、水土保持条件不一，也形成了差异化局地气候，深刻影响流域水文情势、生态格局与土地利用格局。</w:t>
      </w:r>
    </w:p>
    <w:p w14:paraId="14522E7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地质概况</w:t>
      </w:r>
    </w:p>
    <w:p w14:paraId="0B6113D3">
      <w:pPr>
        <w:pStyle w:val="1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南盘江（曲靖市境内）流域大地构造隶属于扬子准地台滇东台褶束，地处扬子陆块与华南褶皱系过渡区域，受曲靖断裂、师宗 — 弥勒断裂带等北东向、南北向构造控制，区域新构造运动以间歇性整体抬升、断陷盆地差异沉降为特征，地壳稳定性总体中等；流域广泛出露泥盆系、石炭系、二叠系、三叠系碳酸盐岩，间夹碎屑岩、峨眉山玄武岩，山间河谷及断陷盆地分布第四系冲洪积、湖积地层与岩溶残积红黏土，喀斯特地貌占流域面积 65% 以上，地势西北高、东南低，自上而下依次发育高原断陷湖盆、岩溶残丘宽谷、峰丛峡谷三类地貌单元；区内水文地质以岩溶裂隙管道含水层为主，地表、地下水水力转换频繁，落水洞、地下河、岩溶洼地广布；受地质条件控制，流域主要发育岩溶塌陷、滑坡、崩塌、泥</w:t>
      </w:r>
      <w:r>
        <w:rPr>
          <w:rFonts w:hint="default" w:ascii="Times New Roman" w:hAnsi="Times New Roman" w:eastAsia="宋体" w:cs="Times New Roman"/>
          <w:color w:val="auto"/>
          <w:highlight w:val="none"/>
        </w:rPr>
        <w:t>石流等地质灾害，碳酸盐岩陡坡地段水土流失与石漠化问题突出。</w:t>
      </w:r>
    </w:p>
    <w:p w14:paraId="42489AD2">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气候气象</w:t>
      </w:r>
    </w:p>
    <w:p w14:paraId="6438306E">
      <w:pPr>
        <w:pStyle w:val="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盘江（曲靖市境内）流域属低纬度高原季风气候，年均气温15℃，极端最高34℃，具有冬无严寒、夏无酷暑、干冷同期、雨热同季的特点。受地势及大气环流影响，流域内气候差异显著，东部湿润多雨，中西部相对偏干。降水时空分布不均，多年平均降水量介于893.2～174.9mm，空间上自西南向东北递增；年内分配亦不均，5–10月雨季降水量占全年的86.7%～89%，11月至次年4月干季降水稀少，易发春旱。受低纬高海拔地形影响，冬春季受西风环流与北方干冷气流控制，多晴少雨、风速大、蒸发强；夏秋季受太平洋北部湾与印度洋孟加拉湾暖湿气流共同影响，湿度大、降水集中，整体呈上游多于下游、山区多于坝区及河谷的降水分布规律。</w:t>
      </w:r>
    </w:p>
    <w:p w14:paraId="47E55D96">
      <w:pPr>
        <w:pStyle w:val="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降雨是径流的主要补给源，流域多年平均径流深约338.2毫米，径流系数0.37，汛期径流量占年径流的79.2%，洪枯变幅较大。南盘江干流平均比降约1.74‰～2.74‰，沿途流经石灰岩分布区，主支流部分河段潜入地下，地表径流减少，地下水资源较为丰富。</w:t>
      </w:r>
    </w:p>
    <w:p w14:paraId="4498F68A">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河流水系</w:t>
      </w:r>
    </w:p>
    <w:p w14:paraId="39E36409">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盘江是珠江流域西江干流上游主源，发源于曲靖市沾益区马雄山东麓，干流源头起自马雄山，由北向南流经沾益、麒麟、陆良后向西进入宜良境内，后折向南抵达开远，继而转向东、东北方向进入高山峡谷区，河道折返进入师宗、罗平县域，在罗平三江口与左岸最大支流黄泥河汇合后流出云南省境。南盘江干流曲靖市境内全长 266.9km，河段纵贯沾益盆地、曲靖盆地、陆良盆地，盆地间分布短小峡谷，河道呈串珠式阶梯下降格局；流域整体地势西北高、东南低，受岩溶地质影响，上游盆地段河谷开阔、水流平缓，下游师宗至罗平河段河流强烈下切，地表水系残缺，地表径流与地下伏流交替发育。</w:t>
      </w:r>
    </w:p>
    <w:p w14:paraId="6EC7C143">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南盘江曲靖境内流域范围内，发育多条直接汇入干流的一、二级支流，其中规模较大的主要支流基本情况如下：</w:t>
      </w:r>
    </w:p>
    <w:p w14:paraId="31F40D9D">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（1）白石江</w:t>
      </w:r>
    </w:p>
    <w:p w14:paraId="6A0B6DFC">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白石江为南盘江左岸二级支流，发源于沾益区白水镇境内，自北向南流经沾益东部、麒麟中心城区，于麒麟城南侧汇入南盘江，是曲靖城区最重要的天然河流，承担中心城区防洪、生态廊道功能。</w:t>
      </w:r>
    </w:p>
    <w:p w14:paraId="3585CCAF">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（2）西河</w:t>
      </w:r>
    </w:p>
    <w:p w14:paraId="095D9C80">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西河为南盘江左岸一级支流，发源于马龙区张安屯青山垭口，上游建有西河水库，河道流经沾益城区，自西北向东南汇入南盘江干流，是沾益坝区主要供水、防洪河道。</w:t>
      </w:r>
    </w:p>
    <w:p w14:paraId="63AE1A51">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3）潇湘江</w:t>
      </w:r>
    </w:p>
    <w:p w14:paraId="7AD6EC96">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潇湘江为南盘江右岸一级支流，发源于马龙区月望乡耗子冲，上游建有潇湘水库，流经麒麟区西南部，穿过曲靖城区南部，于沿江街道南河口汇入南盘江，流域面积 380km²，河道全长 43km，天然落差 350m，是麒麟城区核心生态河道。</w:t>
      </w:r>
    </w:p>
    <w:p w14:paraId="4C263ABE">
      <w:pPr>
        <w:pStyle w:val="4"/>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 xml:space="preserve">）转长河（九龙河上游） </w:t>
      </w:r>
    </w:p>
    <w:p w14:paraId="3B4EE228">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szCs w:val="24"/>
          <w:highlight w:val="none"/>
        </w:rPr>
        <w:t>转长河属黄泥河上游主干源流，为南盘江二级支流，地处麒麟区南部东山镇、陆良县北部，流域广泛分布岩溶洼地、落水洞，地表径流与地下暗河水力交换频繁，地表水系不连续，向南经师宗流入罗平境内与块择河汇合后始称黄泥河。</w:t>
      </w:r>
    </w:p>
    <w:p w14:paraId="0655CC1D">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（5）黄泥河</w:t>
      </w:r>
    </w:p>
    <w:p w14:paraId="6EAD5275">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黄泥河为南盘江左岸一级大支流，发源于曲靖市罗平县境内，由上游九龙河、块择河两大源流汇流形成，流域面积 8270km²，河道总长 235km，天然落差 1246m，平均比降 4.8‰；干流纵贯罗平县东部山区，水量充沛，最终在罗平县三江口汇入南盘江干流，是曲靖境内南盘江最大支流。</w:t>
      </w:r>
    </w:p>
    <w:p w14:paraId="75169BD6">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水文泥沙</w:t>
      </w:r>
    </w:p>
    <w:p w14:paraId="1C53A075">
      <w:pPr>
        <w:pStyle w:val="4"/>
        <w:bidi w:val="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径流</w:t>
      </w:r>
    </w:p>
    <w:p w14:paraId="57AC4D9A">
      <w:pPr>
        <w:pStyle w:val="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南盘江曲靖境内河川径流以大气降水为主要补给来源，流域岩溶广泛发育，地表水与地下水水力交换频繁，径流时空分布差异性显著。依据 1956～2016 年水文长系列资料，南盘江曲靖市域范围内多年平均径流深约 250～300mm，空间上呈现北部盆地偏小、东南部师宗、罗平山区偏大的特征；沾益—麒麟—陆良高原盆地段地势平缓、岩溶入渗强烈，径流损耗较大，产水模数相对较低；师宗、罗平峡谷区域地形坡度大，地表径流汇流速度快，产流能力更强。</w:t>
      </w:r>
    </w:p>
    <w:p w14:paraId="04FB88C4">
      <w:pPr>
        <w:pStyle w:val="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流域径流年内分配极不均匀，6～10 月为汛期（丰水期），汛期径流量约占全年总量 75%～80%，洪水多由单点暴雨、连续降雨形成；11 月至次年 5 月为枯水期，3～5 月径流量最小，易发生季节性干旱。受岩溶含水层调蓄作用影响，枯季部分地表径流转入地下，河道基流主要依靠岩溶泉水持续补给，局部支流河段枯水期出现干涸断流现象。径流年际变幅较大，丰、枯水年径流量比值可达 3 倍以上，连续丰水、连续枯水时段交替出现。</w:t>
      </w:r>
    </w:p>
    <w:p w14:paraId="53B598E5">
      <w:pPr>
        <w:pStyle w:val="4"/>
        <w:bidi w:val="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干流沿程径流补给差异明显：源头至陆良出境河段以盆地区间支流汇流为主，河道水体受沿线城镇生活、农业取水调蓄影响明显；干流折返入境师宗、罗平后，山地支流汇入增多，水量持续增大，至三江口接纳黄泥河后干流水量显著提升。区内已建成西河水库、潇湘水库、麦子河水库等一批中小型蓄水工程，对区间径流起到人工调控作用</w:t>
      </w:r>
      <w:r>
        <w:rPr>
          <w:rFonts w:hint="default" w:ascii="Times New Roman" w:hAnsi="Times New Roman" w:cs="Times New Roman"/>
          <w:color w:val="auto"/>
          <w:highlight w:val="none"/>
          <w:lang w:eastAsia="zh-CN"/>
        </w:rPr>
        <w:t>，在</w:t>
      </w:r>
      <w:r>
        <w:rPr>
          <w:rFonts w:hint="default" w:ascii="Times New Roman" w:hAnsi="Times New Roman" w:eastAsia="宋体" w:cs="Times New Roman"/>
          <w:color w:val="auto"/>
          <w:highlight w:val="none"/>
        </w:rPr>
        <w:t>一定程度上改变天然径流过程，削减汛期洪峰、补充河道枯季流量。</w:t>
      </w:r>
    </w:p>
    <w:p w14:paraId="4D59AE19">
      <w:pPr>
        <w:pStyle w:val="4"/>
        <w:bidi w:val="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rPr>
        <w:t>泥沙</w:t>
      </w:r>
    </w:p>
    <w:p w14:paraId="57F417EA">
      <w:pPr>
        <w:pStyle w:val="4"/>
        <w:bidi w:val="0"/>
        <w:rPr>
          <w:rFonts w:hint="default" w:ascii="Times New Roman" w:hAnsi="Times New Roman" w:eastAsia="宋体" w:cs="Times New Roman"/>
          <w:color w:val="auto"/>
          <w:highlight w:val="none"/>
        </w:rPr>
      </w:pPr>
      <w:r>
        <w:rPr>
          <w:rStyle w:val="32"/>
          <w:rFonts w:hint="default" w:ascii="Times New Roman" w:hAnsi="Times New Roman" w:eastAsia="宋体" w:cs="Times New Roman"/>
          <w:color w:val="auto"/>
          <w:highlight w:val="none"/>
          <w:lang w:val="en-US" w:eastAsia="zh-CN"/>
        </w:rPr>
        <w:t>受南盘江流域特殊的地形、地貌构成影响，流域水土流失严重，其输沙模数和含</w:t>
      </w:r>
      <w:r>
        <w:rPr>
          <w:rFonts w:hint="default" w:ascii="Times New Roman" w:hAnsi="Times New Roman" w:eastAsia="宋体" w:cs="Times New Roman"/>
          <w:color w:val="auto"/>
          <w:highlight w:val="none"/>
        </w:rPr>
        <w:t>沙量均为珠江流域的高值区。根据流域干流江边街（二）站实测资料分析，流域多年平均输沙量638.8万t，输沙模数为254.3t/（km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a）。输沙量主要集中在汛期6月～11月，占全年输沙量的96.18％，尤以6月～9月最为集中，占全年输沙量的89.07％，枯水期12月～翌年5月输沙量较少，仅占全年沙量的3.82％。多年平均月输沙量最大为8月，占全年的28.14％，最小为3月，占全年的0.18％。</w:t>
      </w:r>
    </w:p>
    <w:p w14:paraId="29B34C3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土壤与水土流失</w:t>
      </w:r>
    </w:p>
    <w:p w14:paraId="74F943D8">
      <w:pPr>
        <w:pStyle w:val="4"/>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土壤</w:t>
      </w:r>
    </w:p>
    <w:p w14:paraId="0785AA58">
      <w:pPr>
        <w:pStyle w:val="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流域成土母质主要以碳酸岩和碎屑岩的风化物为主，土壤类型多样。自然土壤以红壤、黄壤为主；耕作土壤主要有水稻土、红泥土、黄红泥土、黑泥土、潮沙泥土。红壤主要分布于云贵高原海拔 1600m～1800m 以下的河谷、盆地及广西北部山地、岩溶洼地及页岩低山丘陵；黄壤一般分布在云贵高原海拔 1600m～1800m 以上地区和广西西北部海拔 700m～1200m 以上的山地；石灰土广泛分布于规划区内的石灰岩地区。</w:t>
      </w:r>
    </w:p>
    <w:p w14:paraId="7DB09563">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水土流失</w:t>
      </w:r>
    </w:p>
    <w:p w14:paraId="726B1052">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按全国水土保持区划，南盘江（曲靖市境内）流域水土流失类型属于以水力侵蚀为主的西南岩溶区，主要侵蚀形式为面蚀，局部侵蚀沟也较为发育。根据云南省2024年水土流失动态监测数据，南盘江（曲靖市境内）流域水土流失面积3236.19km²，占流域国土面积的22.75%，水土流失强度以轻度侵蚀为主。截至2024年末，南盘江（曲靖市境内）流域水土保持率为77.25%。流域水土流失面积中，轻度水土流失面积2196.19km²，占水土流失总面积的67.88%；中度水土流失面积611.24km²，占水土流失总面积的18.89%；强烈水土流失面积274.98km²，占水土流失总面积8.50%；极强烈水土流失面积137.51km²，占水土流失总面积4.25%；剧烈水土流失面积15.58km²，占水土流失总面积0.48%。</w:t>
      </w:r>
    </w:p>
    <w:p w14:paraId="7C1B775F">
      <w:pPr>
        <w:pStyle w:val="4"/>
        <w:rPr>
          <w:rFonts w:hint="default" w:ascii="Times New Roman" w:hAnsi="Times New Roman" w:eastAsia="宋体" w:cs="Times New Roman"/>
          <w:color w:val="auto"/>
          <w:highlight w:val="none"/>
        </w:rPr>
      </w:pPr>
    </w:p>
    <w:p w14:paraId="42935EEA">
      <w:pPr>
        <w:pStyle w:val="3"/>
        <w:numPr>
          <w:ilvl w:val="1"/>
          <w:numId w:val="4"/>
        </w:numPr>
        <w:spacing w:before="374" w:after="249"/>
        <w:rPr>
          <w:rFonts w:hint="default" w:ascii="Times New Roman" w:hAnsi="Times New Roman" w:eastAsia="宋体" w:cs="Times New Roman"/>
          <w:color w:val="auto"/>
          <w:highlight w:val="none"/>
        </w:rPr>
      </w:pPr>
      <w:bookmarkStart w:id="69" w:name="_Toc14044"/>
      <w:r>
        <w:rPr>
          <w:rFonts w:hint="default" w:ascii="Times New Roman" w:hAnsi="Times New Roman" w:eastAsia="宋体" w:cs="Times New Roman"/>
          <w:color w:val="auto"/>
          <w:highlight w:val="none"/>
        </w:rPr>
        <w:t>水环境质量现状</w:t>
      </w:r>
      <w:bookmarkEnd w:id="69"/>
    </w:p>
    <w:p w14:paraId="4468F7C9">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水资源利用现状</w:t>
      </w:r>
    </w:p>
    <w:p w14:paraId="221F94A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根据云南省第三次水资源调查评价成果，云南省珠江流域多年平均地表水资源量219.8亿m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。南盘江（曲靖市境内）流域多年平均地表水资源量77.2亿m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，按水资源四级区分，沾曲陆宜15.5亿m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，黄泥河41.8亿m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，甸溪河2.8亿m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，清水江1亿m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，南盘江下段干流16.1亿m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0D22786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南盘江（曲靖市境内）流域国土面积14225km²，水资源总量778476万m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，人均占有水资源2196m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。2024年各类供水设施实际供水量85431万m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，按2024年实际供水量计算，流域内水资源开发程度为11.0%，高于云南省平均水平7.3%。</w:t>
      </w:r>
    </w:p>
    <w:p w14:paraId="04842548">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从行政区划分看，水资源开发利用具有显著的地区差异性，麒麟区是曲靖市的政治、经济、文化中心，水资源开发程度为39.2%；沾益区、陆良县属于曲靖市较大的坝子，农业灌溉用水需求较大，但本区水资源较少，水资源开发程度分别为29.6%、27.9%。其余县区由于其集水面积及水资源总量较大，多数为山区，导致的水资源开发程度相对较低，其中马龙区为7.1%与云南省平均水平基本持平，其余师宗县、罗平县及富源县均低于云南省平均水平，分别为5.0%、5.0%、4.1%。</w:t>
      </w:r>
    </w:p>
    <w:p w14:paraId="3675CFAE">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污染源现状</w:t>
      </w:r>
    </w:p>
    <w:p w14:paraId="54645904">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根据《曲靖市第二次全国污染源普查公报》及相关收集资料，污染源主要包括工业污染源、农业污染源、生活污染源。</w:t>
      </w:r>
    </w:p>
    <w:p w14:paraId="1249F7DF">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工业污染源</w:t>
      </w:r>
    </w:p>
    <w:p w14:paraId="51F1051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工业源企业或产业活动单位主要从事煤炭开采和洗选业、农副食品加工业、化学原料和化学制品制造业、纺织业等。工业企业废水处理设施1676套，年处理废水29542.02万m³；COD、氨氮、总氮、总磷排放量分别为1986.30t/a、60.11t/a、126.27t/a、7.64t/a。</w:t>
      </w:r>
    </w:p>
    <w:p w14:paraId="3273923E">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农业污染源</w:t>
      </w:r>
    </w:p>
    <w:p w14:paraId="76924BC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农业污染源主要包括农业种植面源、畜禽养殖源、水产养殖源。COD、氨氮、总氮、总磷排放量分别为42052.65t/a、1040.49t/a、10428.28t/a、1212.26t/a。其中，种植业氨氮、总氮、总磷排放量分别为471.02t/a、7070.36t/a、565.29t/a；畜禽养殖业COD、氨氮、总氮、总磷排放量分别为39724.78t/a、331.67t/a、2483.17t/a、446.92t/a；水产养殖业COD、氨氮、总氮、总磷排放量分别为2327.88t/a、237.80t/a、874.76t/a、200.06t/a。</w:t>
      </w:r>
    </w:p>
    <w:p w14:paraId="16BE1F61">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生活污染源</w:t>
      </w:r>
    </w:p>
    <w:p w14:paraId="0DE0AF3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生活污染源COD、氨氮、总氮、总磷排放量分别为39789.84t/a、2355.11t/a、4662.31t/a、318.29t/a。其中，城镇生活污染源COD、氨氮、总氮、总磷排放量分别为14888.61t/a、1758.41t/a、3297.12t/a、177.91t/a；农村生活污染源COD、氨氮、总氮、总磷排放量分别为24901.23t/a、596.70t/a、1365.19t/a、140.38t/a。</w:t>
      </w:r>
    </w:p>
    <w:p w14:paraId="2A4121EC">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主要污染物排放量汇总</w:t>
      </w:r>
    </w:p>
    <w:p w14:paraId="76D762AB">
      <w:pPr>
        <w:pStyle w:val="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污染源主要包括工业污染源、农业污染源、生活污染源</w:t>
      </w:r>
      <w:r>
        <w:rPr>
          <w:rFonts w:hint="eastAsia" w:cs="Times New Roman"/>
          <w:color w:val="auto"/>
          <w:highlight w:val="none"/>
          <w:lang w:eastAsia="zh-CN"/>
        </w:rPr>
        <w:t>。</w:t>
      </w:r>
      <w:r>
        <w:rPr>
          <w:rFonts w:hint="default" w:ascii="Times New Roman" w:hAnsi="Times New Roman" w:cs="Times New Roman"/>
          <w:color w:val="auto"/>
          <w:highlight w:val="none"/>
          <w:lang w:val="en-US" w:eastAsia="zh-CN"/>
        </w:rPr>
        <w:t>COD、氨氮、总氮、总磷排放总量分别为83828.80t/a、3455.71t/a、15216.87t/a、1538.20t/a。COD排放量中，农业污染源贡献最高，占</w:t>
      </w:r>
      <w:r>
        <w:rPr>
          <w:rFonts w:hint="default" w:ascii="Times New Roman" w:hAnsi="Times New Roman" w:cs="Times New Roman"/>
          <w:color w:val="auto"/>
          <w:highlight w:val="none"/>
        </w:rPr>
        <w:t>比50.16%，主要来源于畜禽养殖。氨氮排放量中，生活污染源贡献最高，占比68.15%，主要来源于城镇生活；总氮排放量中，农业污染源贡献最高，占比68.53%，主要来源于种植业；总磷排放量中，农业污染源贡献最高，占比78.81%。根据污染源调查结果，规划区主要以农业污染源、生活污染为主，工业废水经处理后达标排放，对区域水环境污染负荷贡献较小。</w:t>
      </w:r>
    </w:p>
    <w:p w14:paraId="5D35F88D">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水质现状评价</w:t>
      </w:r>
    </w:p>
    <w:p w14:paraId="49781C99">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国控、省控断面水质现状</w:t>
      </w:r>
    </w:p>
    <w:p w14:paraId="37C9E0F4">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（1）水质现状分析</w:t>
      </w:r>
    </w:p>
    <w:p w14:paraId="4FE48E3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涉及25个国控、省控断面（国控5个、省控20个）。根据曲靖市2022—2025年环境质量年报，25个国控、省控断面中，20个断面近4年水质均达标，5个断面出现超标。其中，冯家圩、西河水库坝中2个省控断面近4年均未达标；潇湘水库坝中省控断面近3年（2023—2025年）未达标，2022年达标；沾益铁路桥、响水河水库2个省控断面2022年未达标，近3年（2023—2025年）达标。</w:t>
      </w:r>
    </w:p>
    <w:p w14:paraId="54673727">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2022年，Ⅰ~Ⅱ类水质优断面18个，占72.0%；Ⅲ类水质良好断面5个，占20.0%；劣Ⅴ类水质重度污染断面2个，占8.0%。水功能达标断面21个，达标率84.0%；Ⅰ~Ⅲ类断面23个，优良率92.0%。</w:t>
      </w:r>
    </w:p>
    <w:p w14:paraId="521FA722">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2023年，Ⅰ~Ⅱ类水质优断面19个，占76.0%；Ⅲ类水质良好断面5个，占20.0%；Ⅴ类水质中度污染断面1个，占4.0%；无Ⅴ类水质及劣Ⅴ类水质断面。水功能达标断面22个，达标率88.0%；Ⅰ~Ⅲ类断面24个，优良率96.0%。</w:t>
      </w:r>
    </w:p>
    <w:p w14:paraId="1F61DF7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2024年，Ⅰ~Ⅱ类水质优断面18个，占72.0%；Ⅲ类水质良好断面6个，占24.0%；Ⅳ类水质轻度污染断面1个，占4.0%；无Ⅴ类水质及劣Ⅴ类水质断面。水功能达标断面22个，达标率88.0%；Ⅰ~Ⅲ类断面24个，优良率96.0%。</w:t>
      </w:r>
    </w:p>
    <w:p w14:paraId="55DDA9B0">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2025年水质统计数据与2024年一致。</w:t>
      </w:r>
    </w:p>
    <w:p w14:paraId="10623F8A">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（2）不达标断面变化趋势分析</w:t>
      </w:r>
    </w:p>
    <w:p w14:paraId="3EED2D0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前文水质分析，规划范围内5个国控断面近4年水质均达标，20个省控断面15个达标，潇湘水库坝中、冯家圩、沾益铁路桥、西河水库坝中、响水河水库坝中5个断面存在超标现象，其中，沾益铁路桥、响水河水库坝中断面仅2022年超标，2023—2025年水质达标，故主要对潇湘水库坝中、冯家圩、西河水库坝中3个断面存在超标的指标进行变化趋势分析。</w:t>
      </w:r>
    </w:p>
    <w:p w14:paraId="3F008982">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选取超标指标COD、氨氮、高锰酸盐指数、总磷、总氮5项指标进行趋势变化分析。</w:t>
      </w:r>
    </w:p>
    <w:p w14:paraId="25BC8A9D">
      <w:pPr>
        <w:pStyle w:val="14"/>
        <w:numPr>
          <w:ilvl w:val="0"/>
          <w:numId w:val="11"/>
        </w:numPr>
        <w:ind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省控潇湘水库坝中断面</w:t>
      </w:r>
    </w:p>
    <w:p w14:paraId="07C61EE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2022—2025年，潇湘水库坝中断面水质整体呈现波动上升、逐渐变差的趋势，距离Ⅱ类水控制目标仍存在较大压力。</w:t>
      </w:r>
    </w:p>
    <w:p w14:paraId="340E103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COD前期波动幅度较大，2023年后浓度呈上升趋势，多次超过Ⅱ类目标水质，后期部分月份已逼近Ⅲ类水质限值；NH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浓度阶段性峰值特征明显，2024年末至2025年初出现超标峰值，2025虽快速降低至目标值以内，但阶段性污染风险隐患尚未消除；高锰酸盐指数长期在Ⅱ~Ⅲ类之间波动，汛期出现峰值；TP指标波动周期显著，峰值逐年上升，2025年峰值接近Ⅲ类限值；TN指标2023年起浓度持续上升，多次大幅超过Ⅲ类，出现多次浓度骤升现象。</w:t>
      </w:r>
    </w:p>
    <w:p w14:paraId="135D3827">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总体来看，断面各项指标季节性波动规律显著，汛期污染负荷升高现象突出；氮磷营养盐指标恶化趋势最为明显，水库富营养化防控压力持续加大。</w:t>
      </w:r>
    </w:p>
    <w:p w14:paraId="443C728C">
      <w:pPr>
        <w:pStyle w:val="14"/>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578100"/>
            <wp:effectExtent l="0" t="0" r="0" b="12700"/>
            <wp:docPr id="1886428779"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28779" name="图片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5220000" cy="2578475"/>
                    </a:xfrm>
                    <a:prstGeom prst="rect">
                      <a:avLst/>
                    </a:prstGeom>
                    <a:noFill/>
                  </pic:spPr>
                </pic:pic>
              </a:graphicData>
            </a:graphic>
          </wp:inline>
        </w:drawing>
      </w:r>
    </w:p>
    <w:p w14:paraId="4CE2DA17">
      <w:pPr>
        <w:pStyle w:val="14"/>
        <w:spacing w:before="156" w:beforeLines="50" w:line="240" w:lineRule="auto"/>
        <w:ind w:firstLine="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557145"/>
            <wp:effectExtent l="0" t="0" r="0" b="14605"/>
            <wp:docPr id="316458454"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458454" name="图片 2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5220000" cy="2557650"/>
                    </a:xfrm>
                    <a:prstGeom prst="rect">
                      <a:avLst/>
                    </a:prstGeom>
                    <a:noFill/>
                  </pic:spPr>
                </pic:pic>
              </a:graphicData>
            </a:graphic>
          </wp:inline>
        </w:drawing>
      </w:r>
    </w:p>
    <w:p w14:paraId="75168343">
      <w:pPr>
        <w:pStyle w:val="14"/>
        <w:spacing w:before="156" w:beforeLines="50"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581910"/>
            <wp:effectExtent l="0" t="0" r="0" b="8890"/>
            <wp:docPr id="57047629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476297" name="图片 2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220000" cy="2582531"/>
                    </a:xfrm>
                    <a:prstGeom prst="rect">
                      <a:avLst/>
                    </a:prstGeom>
                    <a:noFill/>
                  </pic:spPr>
                </pic:pic>
              </a:graphicData>
            </a:graphic>
          </wp:inline>
        </w:drawing>
      </w:r>
    </w:p>
    <w:p w14:paraId="0D100420">
      <w:pPr>
        <w:pStyle w:val="14"/>
        <w:spacing w:before="156" w:beforeLines="50"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651125"/>
            <wp:effectExtent l="0" t="0" r="0" b="15875"/>
            <wp:docPr id="799248230"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48230" name="图片 2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220000" cy="2651318"/>
                    </a:xfrm>
                    <a:prstGeom prst="rect">
                      <a:avLst/>
                    </a:prstGeom>
                    <a:noFill/>
                  </pic:spPr>
                </pic:pic>
              </a:graphicData>
            </a:graphic>
          </wp:inline>
        </w:drawing>
      </w:r>
    </w:p>
    <w:p w14:paraId="60F91BBA">
      <w:pPr>
        <w:pStyle w:val="14"/>
        <w:spacing w:before="156" w:beforeLines="50"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34305" cy="2620645"/>
            <wp:effectExtent l="0" t="0" r="4445" b="8255"/>
            <wp:docPr id="8523347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33477" name="图片 2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5234400" cy="2621245"/>
                    </a:xfrm>
                    <a:prstGeom prst="rect">
                      <a:avLst/>
                    </a:prstGeom>
                    <a:noFill/>
                  </pic:spPr>
                </pic:pic>
              </a:graphicData>
            </a:graphic>
          </wp:inline>
        </w:drawing>
      </w:r>
    </w:p>
    <w:p w14:paraId="3A6E8D02">
      <w:pPr>
        <w:pStyle w:val="12"/>
        <w:spacing w:before="62" w:beforeLines="20"/>
        <w:jc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sz w:val="24"/>
          <w:szCs w:val="24"/>
          <w:highlight w:val="none"/>
        </w:rPr>
        <w:t xml:space="preserve">图 </w:t>
      </w:r>
      <w:r>
        <w:rPr>
          <w:rFonts w:hint="default" w:ascii="Times New Roman" w:hAnsi="Times New Roman" w:eastAsia="方正黑体_GBK" w:cs="Times New Roman"/>
          <w:color w:val="auto"/>
          <w:sz w:val="24"/>
          <w:szCs w:val="24"/>
          <w:highlight w:val="none"/>
        </w:rPr>
        <w:fldChar w:fldCharType="begin"/>
      </w:r>
      <w:r>
        <w:rPr>
          <w:rFonts w:hint="default" w:ascii="Times New Roman" w:hAnsi="Times New Roman" w:eastAsia="方正黑体_GBK" w:cs="Times New Roman"/>
          <w:color w:val="auto"/>
          <w:sz w:val="24"/>
          <w:szCs w:val="24"/>
          <w:highlight w:val="none"/>
        </w:rPr>
        <w:instrText xml:space="preserve"> STYLEREF 3 \s </w:instrText>
      </w:r>
      <w:r>
        <w:rPr>
          <w:rFonts w:hint="default" w:ascii="Times New Roman" w:hAnsi="Times New Roman" w:eastAsia="方正黑体_GBK" w:cs="Times New Roman"/>
          <w:color w:val="auto"/>
          <w:sz w:val="24"/>
          <w:szCs w:val="24"/>
          <w:highlight w:val="none"/>
        </w:rPr>
        <w:fldChar w:fldCharType="separate"/>
      </w:r>
      <w:r>
        <w:rPr>
          <w:rFonts w:hint="default" w:ascii="Times New Roman" w:hAnsi="Times New Roman" w:eastAsia="方正黑体_GBK" w:cs="Times New Roman"/>
          <w:color w:val="auto"/>
          <w:sz w:val="24"/>
          <w:szCs w:val="24"/>
          <w:highlight w:val="none"/>
        </w:rPr>
        <w:t>3.2.3</w:t>
      </w:r>
      <w:r>
        <w:rPr>
          <w:rFonts w:hint="default" w:ascii="Times New Roman" w:hAnsi="Times New Roman" w:eastAsia="方正黑体_GBK" w:cs="Times New Roman"/>
          <w:color w:val="auto"/>
          <w:sz w:val="24"/>
          <w:szCs w:val="24"/>
          <w:highlight w:val="none"/>
        </w:rPr>
        <w:fldChar w:fldCharType="end"/>
      </w:r>
      <w:r>
        <w:rPr>
          <w:rFonts w:hint="default" w:ascii="Times New Roman" w:hAnsi="Times New Roman" w:eastAsia="方正黑体_GBK" w:cs="Times New Roman"/>
          <w:color w:val="auto"/>
          <w:sz w:val="24"/>
          <w:szCs w:val="24"/>
          <w:highlight w:val="none"/>
        </w:rPr>
        <w:noBreakHyphen/>
      </w:r>
      <w:r>
        <w:rPr>
          <w:rFonts w:hint="default" w:ascii="Times New Roman" w:hAnsi="Times New Roman" w:eastAsia="方正黑体_GBK" w:cs="Times New Roman"/>
          <w:color w:val="auto"/>
          <w:sz w:val="24"/>
          <w:szCs w:val="24"/>
          <w:highlight w:val="none"/>
        </w:rPr>
        <w:fldChar w:fldCharType="begin"/>
      </w:r>
      <w:r>
        <w:rPr>
          <w:rFonts w:hint="default" w:ascii="Times New Roman" w:hAnsi="Times New Roman" w:eastAsia="方正黑体_GBK" w:cs="Times New Roman"/>
          <w:color w:val="auto"/>
          <w:sz w:val="24"/>
          <w:szCs w:val="24"/>
          <w:highlight w:val="none"/>
        </w:rPr>
        <w:instrText xml:space="preserve"> SEQ 图 \* ARABIC \s 3 </w:instrText>
      </w:r>
      <w:r>
        <w:rPr>
          <w:rFonts w:hint="default" w:ascii="Times New Roman" w:hAnsi="Times New Roman" w:eastAsia="方正黑体_GBK" w:cs="Times New Roman"/>
          <w:color w:val="auto"/>
          <w:sz w:val="24"/>
          <w:szCs w:val="24"/>
          <w:highlight w:val="none"/>
        </w:rPr>
        <w:fldChar w:fldCharType="separate"/>
      </w:r>
      <w:r>
        <w:rPr>
          <w:rFonts w:hint="default" w:ascii="Times New Roman" w:hAnsi="Times New Roman" w:eastAsia="方正黑体_GBK" w:cs="Times New Roman"/>
          <w:color w:val="auto"/>
          <w:sz w:val="24"/>
          <w:szCs w:val="24"/>
          <w:highlight w:val="none"/>
        </w:rPr>
        <w:t>1</w:t>
      </w:r>
      <w:r>
        <w:rPr>
          <w:rFonts w:hint="default" w:ascii="Times New Roman" w:hAnsi="Times New Roman" w:eastAsia="方正黑体_GBK" w:cs="Times New Roman"/>
          <w:color w:val="auto"/>
          <w:sz w:val="24"/>
          <w:szCs w:val="24"/>
          <w:highlight w:val="none"/>
        </w:rPr>
        <w:fldChar w:fldCharType="end"/>
      </w:r>
      <w:r>
        <w:rPr>
          <w:rFonts w:hint="default" w:ascii="Times New Roman" w:hAnsi="Times New Roman" w:eastAsia="方正黑体_GBK" w:cs="Times New Roman"/>
          <w:color w:val="auto"/>
          <w:sz w:val="24"/>
          <w:szCs w:val="24"/>
          <w:highlight w:val="none"/>
        </w:rPr>
        <w:t xml:space="preserve">  省控潇湘水库坝中断面各指标水质变化趋势图</w:t>
      </w:r>
    </w:p>
    <w:p w14:paraId="791B541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②省控冯家圩断面</w:t>
      </w:r>
    </w:p>
    <w:p w14:paraId="53B7D5F1">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2022—2025年，冯家圩断面水质整体呈逐年好转趋势，但指标波动幅度大、距离Ⅲ类水控制目标仍存在较大差距。</w:t>
      </w:r>
    </w:p>
    <w:p w14:paraId="693A4AA0">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COD浓度长期大幅波动，多次出现峰值并超过Ⅳ类，有机污染负荷阶段性偏高；NH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指标2022年浓度超标严重、峰值极高，2023年后整体呈持续下降趋势，基本在Ⅲ类目标限值附近；高锰酸盐指数2023年之后波动幅度明显变小，浓度逐步下降达到Ⅲ类目标；TP指标降幅突出，2022年初始浓度远超Ⅳ类，近2年多数月份已控制在Ⅲ类目标限值内；TN整体呈阶梯式下降，但近年浓度均大幅超出Ⅲ类甚至Ⅴ类水质标准。</w:t>
      </w:r>
    </w:p>
    <w:p w14:paraId="2D65783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总体来看，冯家圩断面污染治理成效明显，水质向好趋势已经显现，但超标问题尚未根本解决。需持续推进流域污染管控，进一步削减入河污染负荷，保障断面水质稳步向Ⅲ类目标推进。</w:t>
      </w:r>
    </w:p>
    <w:p w14:paraId="0B05D078">
      <w:pPr>
        <w:spacing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578100"/>
            <wp:effectExtent l="0" t="0" r="0" b="12700"/>
            <wp:docPr id="173242424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424244" name="图片 2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5220000" cy="2578475"/>
                    </a:xfrm>
                    <a:prstGeom prst="rect">
                      <a:avLst/>
                    </a:prstGeom>
                    <a:noFill/>
                  </pic:spPr>
                </pic:pic>
              </a:graphicData>
            </a:graphic>
          </wp:inline>
        </w:drawing>
      </w:r>
    </w:p>
    <w:p w14:paraId="5B0B5077">
      <w:pPr>
        <w:spacing w:before="156" w:beforeLines="50" w:line="240" w:lineRule="auto"/>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557145"/>
            <wp:effectExtent l="0" t="0" r="0" b="14605"/>
            <wp:docPr id="1362298404"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98404" name="图片 2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220000" cy="2557650"/>
                    </a:xfrm>
                    <a:prstGeom prst="rect">
                      <a:avLst/>
                    </a:prstGeom>
                    <a:noFill/>
                  </pic:spPr>
                </pic:pic>
              </a:graphicData>
            </a:graphic>
          </wp:inline>
        </w:drawing>
      </w:r>
    </w:p>
    <w:p w14:paraId="7DC1BAAB">
      <w:pPr>
        <w:pStyle w:val="14"/>
        <w:spacing w:before="156" w:beforeLines="50"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581910"/>
            <wp:effectExtent l="0" t="0" r="0" b="8890"/>
            <wp:docPr id="169654624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546242" name="图片 2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220000" cy="2582531"/>
                    </a:xfrm>
                    <a:prstGeom prst="rect">
                      <a:avLst/>
                    </a:prstGeom>
                    <a:noFill/>
                  </pic:spPr>
                </pic:pic>
              </a:graphicData>
            </a:graphic>
          </wp:inline>
        </w:drawing>
      </w:r>
    </w:p>
    <w:p w14:paraId="22663FDD">
      <w:pPr>
        <w:pStyle w:val="14"/>
        <w:spacing w:before="156" w:beforeLines="50"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651125"/>
            <wp:effectExtent l="0" t="0" r="0" b="15875"/>
            <wp:docPr id="90135264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352641" name="图片 2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5220000" cy="2651318"/>
                    </a:xfrm>
                    <a:prstGeom prst="rect">
                      <a:avLst/>
                    </a:prstGeom>
                    <a:noFill/>
                  </pic:spPr>
                </pic:pic>
              </a:graphicData>
            </a:graphic>
          </wp:inline>
        </w:drawing>
      </w:r>
    </w:p>
    <w:p w14:paraId="30B1ED36">
      <w:pPr>
        <w:pStyle w:val="14"/>
        <w:spacing w:before="156" w:beforeLines="50"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613660"/>
            <wp:effectExtent l="0" t="0" r="0" b="15240"/>
            <wp:docPr id="163199364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93641" name="图片 3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5220000" cy="2614033"/>
                    </a:xfrm>
                    <a:prstGeom prst="rect">
                      <a:avLst/>
                    </a:prstGeom>
                    <a:noFill/>
                  </pic:spPr>
                </pic:pic>
              </a:graphicData>
            </a:graphic>
          </wp:inline>
        </w:drawing>
      </w:r>
    </w:p>
    <w:p w14:paraId="1DCB91F3">
      <w:pPr>
        <w:pStyle w:val="14"/>
        <w:spacing w:before="156" w:beforeLines="50" w:line="240" w:lineRule="auto"/>
        <w:ind w:firstLine="0" w:firstLineChars="0"/>
        <w:rPr>
          <w:rFonts w:hint="default" w:ascii="Times New Roman" w:hAnsi="Times New Roman" w:cs="Times New Roman"/>
          <w:color w:val="auto"/>
          <w:highlight w:val="none"/>
        </w:rPr>
      </w:pPr>
    </w:p>
    <w:p w14:paraId="5BB62D0B">
      <w:pPr>
        <w:pStyle w:val="12"/>
        <w:spacing w:before="62" w:beforeLines="20"/>
        <w:jc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sz w:val="24"/>
          <w:szCs w:val="24"/>
          <w:highlight w:val="none"/>
        </w:rPr>
        <w:t xml:space="preserve">图 </w:t>
      </w:r>
      <w:r>
        <w:rPr>
          <w:rFonts w:hint="default" w:ascii="Times New Roman" w:hAnsi="Times New Roman" w:eastAsia="方正黑体_GBK" w:cs="Times New Roman"/>
          <w:color w:val="auto"/>
          <w:sz w:val="24"/>
          <w:szCs w:val="24"/>
          <w:highlight w:val="none"/>
        </w:rPr>
        <w:fldChar w:fldCharType="begin"/>
      </w:r>
      <w:r>
        <w:rPr>
          <w:rFonts w:hint="default" w:ascii="Times New Roman" w:hAnsi="Times New Roman" w:eastAsia="方正黑体_GBK" w:cs="Times New Roman"/>
          <w:color w:val="auto"/>
          <w:sz w:val="24"/>
          <w:szCs w:val="24"/>
          <w:highlight w:val="none"/>
        </w:rPr>
        <w:instrText xml:space="preserve"> STYLEREF 3 \s </w:instrText>
      </w:r>
      <w:r>
        <w:rPr>
          <w:rFonts w:hint="default" w:ascii="Times New Roman" w:hAnsi="Times New Roman" w:eastAsia="方正黑体_GBK" w:cs="Times New Roman"/>
          <w:color w:val="auto"/>
          <w:sz w:val="24"/>
          <w:szCs w:val="24"/>
          <w:highlight w:val="none"/>
        </w:rPr>
        <w:fldChar w:fldCharType="separate"/>
      </w:r>
      <w:r>
        <w:rPr>
          <w:rFonts w:hint="default" w:ascii="Times New Roman" w:hAnsi="Times New Roman" w:eastAsia="方正黑体_GBK" w:cs="Times New Roman"/>
          <w:color w:val="auto"/>
          <w:sz w:val="24"/>
          <w:szCs w:val="24"/>
          <w:highlight w:val="none"/>
        </w:rPr>
        <w:t>3.2.3</w:t>
      </w:r>
      <w:r>
        <w:rPr>
          <w:rFonts w:hint="default" w:ascii="Times New Roman" w:hAnsi="Times New Roman" w:eastAsia="方正黑体_GBK" w:cs="Times New Roman"/>
          <w:color w:val="auto"/>
          <w:sz w:val="24"/>
          <w:szCs w:val="24"/>
          <w:highlight w:val="none"/>
        </w:rPr>
        <w:fldChar w:fldCharType="end"/>
      </w:r>
      <w:r>
        <w:rPr>
          <w:rFonts w:hint="default" w:ascii="Times New Roman" w:hAnsi="Times New Roman" w:eastAsia="方正黑体_GBK" w:cs="Times New Roman"/>
          <w:color w:val="auto"/>
          <w:sz w:val="24"/>
          <w:szCs w:val="24"/>
          <w:highlight w:val="none"/>
        </w:rPr>
        <w:noBreakHyphen/>
      </w:r>
      <w:r>
        <w:rPr>
          <w:rFonts w:hint="default" w:ascii="Times New Roman" w:hAnsi="Times New Roman" w:eastAsia="方正黑体_GBK" w:cs="Times New Roman"/>
          <w:color w:val="auto"/>
          <w:sz w:val="24"/>
          <w:szCs w:val="24"/>
          <w:highlight w:val="none"/>
        </w:rPr>
        <w:fldChar w:fldCharType="begin"/>
      </w:r>
      <w:r>
        <w:rPr>
          <w:rFonts w:hint="default" w:ascii="Times New Roman" w:hAnsi="Times New Roman" w:eastAsia="方正黑体_GBK" w:cs="Times New Roman"/>
          <w:color w:val="auto"/>
          <w:sz w:val="24"/>
          <w:szCs w:val="24"/>
          <w:highlight w:val="none"/>
        </w:rPr>
        <w:instrText xml:space="preserve"> SEQ 图 \* ARABIC \s 3 </w:instrText>
      </w:r>
      <w:r>
        <w:rPr>
          <w:rFonts w:hint="default" w:ascii="Times New Roman" w:hAnsi="Times New Roman" w:eastAsia="方正黑体_GBK" w:cs="Times New Roman"/>
          <w:color w:val="auto"/>
          <w:sz w:val="24"/>
          <w:szCs w:val="24"/>
          <w:highlight w:val="none"/>
        </w:rPr>
        <w:fldChar w:fldCharType="separate"/>
      </w:r>
      <w:r>
        <w:rPr>
          <w:rFonts w:hint="default" w:ascii="Times New Roman" w:hAnsi="Times New Roman" w:eastAsia="方正黑体_GBK" w:cs="Times New Roman"/>
          <w:color w:val="auto"/>
          <w:sz w:val="24"/>
          <w:szCs w:val="24"/>
          <w:highlight w:val="none"/>
        </w:rPr>
        <w:t>2</w:t>
      </w:r>
      <w:r>
        <w:rPr>
          <w:rFonts w:hint="default" w:ascii="Times New Roman" w:hAnsi="Times New Roman" w:eastAsia="方正黑体_GBK" w:cs="Times New Roman"/>
          <w:color w:val="auto"/>
          <w:sz w:val="24"/>
          <w:szCs w:val="24"/>
          <w:highlight w:val="none"/>
        </w:rPr>
        <w:fldChar w:fldCharType="end"/>
      </w:r>
      <w:r>
        <w:rPr>
          <w:rFonts w:hint="default" w:ascii="Times New Roman" w:hAnsi="Times New Roman" w:eastAsia="方正黑体_GBK" w:cs="Times New Roman"/>
          <w:color w:val="auto"/>
          <w:sz w:val="24"/>
          <w:szCs w:val="24"/>
          <w:highlight w:val="none"/>
        </w:rPr>
        <w:t xml:space="preserve">  省控冯家圩断面各指标水质变化趋势图</w:t>
      </w:r>
    </w:p>
    <w:p w14:paraId="4CF2CDE1">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③省控西河水库坝中断面</w:t>
      </w:r>
    </w:p>
    <w:p w14:paraId="10F7993E">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2022—2025年西河水库坝中断面各项水质指标季节性波动特征显著，现状水质稳定达到Ⅲ类，但距离Ⅱ类目标仍存在一定差距。</w:t>
      </w:r>
    </w:p>
    <w:p w14:paraId="7DFFD74D">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COD浓度呈周期性波动变化，大部分月份浓度高于Ⅱ类，峰值阶段性超过Ⅲ类；NH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整体浓度水平偏低，绝大多数时段可满足Ⅱ类水质目标要求，仅少数月份出现超标现象；高锰酸盐指数近4年长期超过Ⅱ类目标，浓度基本在Ⅱ~Ⅲ类区间波动，汛期呈现规律性年周期起伏。TP指标反复波动，每年汛期易出现峰值超过Ⅱ类目标，部分月份</w:t>
      </w:r>
      <w:r>
        <w:rPr>
          <w:rFonts w:hint="default" w:ascii="Times New Roman" w:hAnsi="Times New Roman" w:cs="Times New Roman"/>
          <w:color w:val="auto"/>
          <w:highlight w:val="none"/>
          <w:lang w:eastAsia="zh-CN"/>
        </w:rPr>
        <w:t>达到</w:t>
      </w:r>
      <w:r>
        <w:rPr>
          <w:rFonts w:hint="default" w:ascii="Times New Roman" w:hAnsi="Times New Roman" w:cs="Times New Roman"/>
          <w:color w:val="auto"/>
          <w:highlight w:val="none"/>
        </w:rPr>
        <w:t>Ⅲ类上限，季节性反弹风险长期存在。TN浓度相对平稳，2024年下半年出现大幅升高，后虽有下降，但多数时段浓度高于Ⅱ类目标要求，部分月份超过Ⅲ类。</w:t>
      </w:r>
    </w:p>
    <w:p w14:paraId="26CE7539">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总体来看，西河水库水质整体较好，NH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-N管控成效稳定；COD、高锰酸盐指数、TP、TN受季节变化影响波动突出，总氮污染风险呈上升趋势。应强化流域污染管控，加快削减入库污染负荷，降低汛期水质反弹风险，推动断面水质稳步达到Ⅱ类目标。</w:t>
      </w:r>
    </w:p>
    <w:p w14:paraId="16E09654">
      <w:pPr>
        <w:pStyle w:val="14"/>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578100"/>
            <wp:effectExtent l="0" t="0" r="0" b="12700"/>
            <wp:docPr id="39690886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908863" name="图片 1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220000" cy="2578475"/>
                    </a:xfrm>
                    <a:prstGeom prst="rect">
                      <a:avLst/>
                    </a:prstGeom>
                    <a:noFill/>
                  </pic:spPr>
                </pic:pic>
              </a:graphicData>
            </a:graphic>
          </wp:inline>
        </w:drawing>
      </w:r>
    </w:p>
    <w:p w14:paraId="10DC9919">
      <w:pPr>
        <w:pStyle w:val="14"/>
        <w:spacing w:before="156" w:beforeLines="50"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557145"/>
            <wp:effectExtent l="0" t="0" r="0" b="14605"/>
            <wp:docPr id="111446520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465200" name="图片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5220000" cy="2557650"/>
                    </a:xfrm>
                    <a:prstGeom prst="rect">
                      <a:avLst/>
                    </a:prstGeom>
                    <a:noFill/>
                  </pic:spPr>
                </pic:pic>
              </a:graphicData>
            </a:graphic>
          </wp:inline>
        </w:drawing>
      </w:r>
    </w:p>
    <w:p w14:paraId="7786E097">
      <w:pPr>
        <w:pStyle w:val="14"/>
        <w:spacing w:before="156" w:beforeLines="50"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581910"/>
            <wp:effectExtent l="0" t="0" r="0" b="8890"/>
            <wp:docPr id="20175580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55806" name="图片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220000" cy="2582531"/>
                    </a:xfrm>
                    <a:prstGeom prst="rect">
                      <a:avLst/>
                    </a:prstGeom>
                    <a:noFill/>
                  </pic:spPr>
                </pic:pic>
              </a:graphicData>
            </a:graphic>
          </wp:inline>
        </w:drawing>
      </w:r>
    </w:p>
    <w:p w14:paraId="728D52B1">
      <w:pPr>
        <w:pStyle w:val="14"/>
        <w:spacing w:before="156" w:beforeLines="50"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651125"/>
            <wp:effectExtent l="0" t="0" r="0" b="15875"/>
            <wp:docPr id="16324607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460738" name="图片 1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220000" cy="2651318"/>
                    </a:xfrm>
                    <a:prstGeom prst="rect">
                      <a:avLst/>
                    </a:prstGeom>
                    <a:noFill/>
                  </pic:spPr>
                </pic:pic>
              </a:graphicData>
            </a:graphic>
          </wp:inline>
        </w:drawing>
      </w:r>
    </w:p>
    <w:p w14:paraId="5382390D">
      <w:pPr>
        <w:pStyle w:val="14"/>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19700" cy="2613660"/>
            <wp:effectExtent l="0" t="0" r="0" b="15240"/>
            <wp:docPr id="158445423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54238" name="图片 2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220000" cy="2614033"/>
                    </a:xfrm>
                    <a:prstGeom prst="rect">
                      <a:avLst/>
                    </a:prstGeom>
                    <a:noFill/>
                  </pic:spPr>
                </pic:pic>
              </a:graphicData>
            </a:graphic>
          </wp:inline>
        </w:drawing>
      </w:r>
    </w:p>
    <w:p w14:paraId="54FD6081">
      <w:pPr>
        <w:pStyle w:val="12"/>
        <w:spacing w:before="62" w:beforeLines="20"/>
        <w:jc w:val="center"/>
        <w:rPr>
          <w:rFonts w:hint="default" w:ascii="Times New Roman" w:hAnsi="Times New Roman" w:eastAsia="方正黑体_GBK" w:cs="Times New Roman"/>
          <w:color w:val="auto"/>
          <w:sz w:val="24"/>
          <w:szCs w:val="24"/>
          <w:highlight w:val="none"/>
        </w:rPr>
      </w:pPr>
      <w:r>
        <w:rPr>
          <w:rFonts w:hint="default" w:ascii="Times New Roman" w:hAnsi="Times New Roman" w:eastAsia="方正黑体_GBK" w:cs="Times New Roman"/>
          <w:color w:val="auto"/>
          <w:sz w:val="24"/>
          <w:szCs w:val="24"/>
          <w:highlight w:val="none"/>
        </w:rPr>
        <w:t xml:space="preserve">图 </w:t>
      </w:r>
      <w:r>
        <w:rPr>
          <w:rFonts w:hint="default" w:ascii="Times New Roman" w:hAnsi="Times New Roman" w:eastAsia="方正黑体_GBK" w:cs="Times New Roman"/>
          <w:color w:val="auto"/>
          <w:sz w:val="24"/>
          <w:szCs w:val="24"/>
          <w:highlight w:val="none"/>
        </w:rPr>
        <w:fldChar w:fldCharType="begin"/>
      </w:r>
      <w:r>
        <w:rPr>
          <w:rFonts w:hint="default" w:ascii="Times New Roman" w:hAnsi="Times New Roman" w:eastAsia="方正黑体_GBK" w:cs="Times New Roman"/>
          <w:color w:val="auto"/>
          <w:sz w:val="24"/>
          <w:szCs w:val="24"/>
          <w:highlight w:val="none"/>
        </w:rPr>
        <w:instrText xml:space="preserve"> STYLEREF 3 \s </w:instrText>
      </w:r>
      <w:r>
        <w:rPr>
          <w:rFonts w:hint="default" w:ascii="Times New Roman" w:hAnsi="Times New Roman" w:eastAsia="方正黑体_GBK" w:cs="Times New Roman"/>
          <w:color w:val="auto"/>
          <w:sz w:val="24"/>
          <w:szCs w:val="24"/>
          <w:highlight w:val="none"/>
        </w:rPr>
        <w:fldChar w:fldCharType="separate"/>
      </w:r>
      <w:r>
        <w:rPr>
          <w:rFonts w:hint="default" w:ascii="Times New Roman" w:hAnsi="Times New Roman" w:eastAsia="方正黑体_GBK" w:cs="Times New Roman"/>
          <w:color w:val="auto"/>
          <w:sz w:val="24"/>
          <w:szCs w:val="24"/>
          <w:highlight w:val="none"/>
        </w:rPr>
        <w:t>3.2.3</w:t>
      </w:r>
      <w:r>
        <w:rPr>
          <w:rFonts w:hint="default" w:ascii="Times New Roman" w:hAnsi="Times New Roman" w:eastAsia="方正黑体_GBK" w:cs="Times New Roman"/>
          <w:color w:val="auto"/>
          <w:sz w:val="24"/>
          <w:szCs w:val="24"/>
          <w:highlight w:val="none"/>
        </w:rPr>
        <w:fldChar w:fldCharType="end"/>
      </w:r>
      <w:r>
        <w:rPr>
          <w:rFonts w:hint="default" w:ascii="Times New Roman" w:hAnsi="Times New Roman" w:eastAsia="方正黑体_GBK" w:cs="Times New Roman"/>
          <w:color w:val="auto"/>
          <w:sz w:val="24"/>
          <w:szCs w:val="24"/>
          <w:highlight w:val="none"/>
        </w:rPr>
        <w:noBreakHyphen/>
      </w:r>
      <w:r>
        <w:rPr>
          <w:rFonts w:hint="default" w:ascii="Times New Roman" w:hAnsi="Times New Roman" w:eastAsia="方正黑体_GBK" w:cs="Times New Roman"/>
          <w:color w:val="auto"/>
          <w:sz w:val="24"/>
          <w:szCs w:val="24"/>
          <w:highlight w:val="none"/>
        </w:rPr>
        <w:fldChar w:fldCharType="begin"/>
      </w:r>
      <w:r>
        <w:rPr>
          <w:rFonts w:hint="default" w:ascii="Times New Roman" w:hAnsi="Times New Roman" w:eastAsia="方正黑体_GBK" w:cs="Times New Roman"/>
          <w:color w:val="auto"/>
          <w:sz w:val="24"/>
          <w:szCs w:val="24"/>
          <w:highlight w:val="none"/>
        </w:rPr>
        <w:instrText xml:space="preserve"> SEQ 图 \* ARABIC \s 3 </w:instrText>
      </w:r>
      <w:r>
        <w:rPr>
          <w:rFonts w:hint="default" w:ascii="Times New Roman" w:hAnsi="Times New Roman" w:eastAsia="方正黑体_GBK" w:cs="Times New Roman"/>
          <w:color w:val="auto"/>
          <w:sz w:val="24"/>
          <w:szCs w:val="24"/>
          <w:highlight w:val="none"/>
        </w:rPr>
        <w:fldChar w:fldCharType="separate"/>
      </w:r>
      <w:r>
        <w:rPr>
          <w:rFonts w:hint="default" w:ascii="Times New Roman" w:hAnsi="Times New Roman" w:eastAsia="方正黑体_GBK" w:cs="Times New Roman"/>
          <w:color w:val="auto"/>
          <w:sz w:val="24"/>
          <w:szCs w:val="24"/>
          <w:highlight w:val="none"/>
        </w:rPr>
        <w:t>3</w:t>
      </w:r>
      <w:r>
        <w:rPr>
          <w:rFonts w:hint="default" w:ascii="Times New Roman" w:hAnsi="Times New Roman" w:eastAsia="方正黑体_GBK" w:cs="Times New Roman"/>
          <w:color w:val="auto"/>
          <w:sz w:val="24"/>
          <w:szCs w:val="24"/>
          <w:highlight w:val="none"/>
        </w:rPr>
        <w:fldChar w:fldCharType="end"/>
      </w:r>
      <w:r>
        <w:rPr>
          <w:rFonts w:hint="default" w:ascii="Times New Roman" w:hAnsi="Times New Roman" w:eastAsia="方正黑体_GBK" w:cs="Times New Roman"/>
          <w:color w:val="auto"/>
          <w:sz w:val="24"/>
          <w:szCs w:val="24"/>
          <w:highlight w:val="none"/>
        </w:rPr>
        <w:t xml:space="preserve">  省控西河水库坝中断面各指标水质变化趋势图</w:t>
      </w:r>
    </w:p>
    <w:p w14:paraId="3D535718">
      <w:pPr>
        <w:rPr>
          <w:rFonts w:hint="default" w:ascii="Times New Roman" w:hAnsi="Times New Roman" w:cs="Times New Roman"/>
          <w:color w:val="auto"/>
          <w:highlight w:val="none"/>
        </w:rPr>
      </w:pPr>
    </w:p>
    <w:p w14:paraId="402D42C6">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饮用水源地水质现状</w:t>
      </w:r>
    </w:p>
    <w:p w14:paraId="11340D3E">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（1）市级饮用水源地</w:t>
      </w:r>
    </w:p>
    <w:p w14:paraId="70D9545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规划范围涉及西河水库、独木水库、水城水库3个市级集中式饮用水源。根据曲靖市2022—2025年环境质量年报，3个市级集中式饮用水源地近4年水质均满足饮用水水质标准，水源达标率100%。</w:t>
      </w:r>
    </w:p>
    <w:p w14:paraId="327F6AB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从水功能区目标达标情况来看，独木水库、水城水库近4年水质均达到水功能区水质目标要求，西河水库近4年水质均未达到水功能区水质目标要求。</w:t>
      </w:r>
    </w:p>
    <w:p w14:paraId="4B60006A">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市级饮用水源水质类别及达标评价见下表。</w:t>
      </w:r>
    </w:p>
    <w:p w14:paraId="0F08401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（2）县级饮用水源地</w:t>
      </w:r>
    </w:p>
    <w:p w14:paraId="60685274">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评价范围涉及11个县级集中式饮用水源地，根据曲靖市2022—2025年环境质量年报，11个县级集中式饮用水源地近4年水质均满足饮用水水质标准，水源达标率100%。</w:t>
      </w:r>
    </w:p>
    <w:p w14:paraId="1A09C82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从水功能区目标达标情况来看，11个水源地中6个水源地近4年水质均达到水功能区水质目标要求，5个水源地未达水功能区水质目标要求。其中，白浪水库近4年均未达水功能区水质目标；北山水库、东堡龙潭近3年（2023—2025年）未达水功能区水质目标，2022年达标；永清河水库2022—2023年未达水功能区水质目标，2024—2025年未监测；黄草坪水库2024年未达水功能区水质目标，其余3年达标。</w:t>
      </w:r>
    </w:p>
    <w:p w14:paraId="187BDEB1">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从各水源地超标指标来看，超标指标主要为TN、TP、高锰酸钾指数。</w:t>
      </w:r>
    </w:p>
    <w:p w14:paraId="710BAD77">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规划重点水源工程水质现状</w:t>
      </w:r>
    </w:p>
    <w:p w14:paraId="680AAA3C">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提出的重点工程拟新建3座水库，分别为小务龙水库扩建、新建大河水库、新建龙潭水库。小务龙水库为千吨万人饮用水源地，现状水质采用生态环境部门提供的近3年（2023—2025年）逐季度水质数据进行分析，大河水库、龙潭水库为拟建水库，采用2024年7月、2025年3月水质监测数据进行分析。</w:t>
      </w:r>
    </w:p>
    <w:p w14:paraId="7C31B14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根据现状水质监测资料，3座水库监测期内水质在Ⅱ~Ⅲ类之间，均达到水功能区水质目标要求。</w:t>
      </w:r>
    </w:p>
    <w:p w14:paraId="196C2B06">
      <w:pPr>
        <w:pStyle w:val="14"/>
        <w:spacing w:line="240" w:lineRule="auto"/>
        <w:ind w:firstLine="0" w:firstLineChars="0"/>
        <w:jc w:val="center"/>
        <w:rPr>
          <w:rFonts w:hint="default" w:ascii="Times New Roman" w:hAnsi="Times New Roman" w:cs="Times New Roman"/>
          <w:color w:val="auto"/>
          <w:highlight w:val="none"/>
        </w:rPr>
      </w:pPr>
      <w:r>
        <w:rPr>
          <w:rFonts w:hint="default" w:ascii="Times New Roman" w:hAnsi="Times New Roman" w:eastAsia="方正黑体_GBK" w:cs="Times New Roman"/>
          <w:color w:val="auto"/>
          <w:highlight w:val="none"/>
        </w:rPr>
        <w:t xml:space="preserve">表 </w:t>
      </w:r>
      <w:r>
        <w:rPr>
          <w:rFonts w:hint="default" w:ascii="Times New Roman" w:hAnsi="Times New Roman" w:eastAsia="方正黑体_GBK" w:cs="Times New Roman"/>
          <w:color w:val="auto"/>
          <w:highlight w:val="none"/>
        </w:rPr>
        <w:fldChar w:fldCharType="begin"/>
      </w:r>
      <w:r>
        <w:rPr>
          <w:rFonts w:hint="default" w:ascii="Times New Roman" w:hAnsi="Times New Roman" w:eastAsia="方正黑体_GBK" w:cs="Times New Roman"/>
          <w:color w:val="auto"/>
          <w:highlight w:val="none"/>
        </w:rPr>
        <w:instrText xml:space="preserve"> STYLEREF 3 \s </w:instrText>
      </w:r>
      <w:r>
        <w:rPr>
          <w:rFonts w:hint="default" w:ascii="Times New Roman" w:hAnsi="Times New Roman" w:eastAsia="方正黑体_GBK" w:cs="Times New Roman"/>
          <w:color w:val="auto"/>
          <w:highlight w:val="none"/>
        </w:rPr>
        <w:fldChar w:fldCharType="separate"/>
      </w:r>
      <w:r>
        <w:rPr>
          <w:rFonts w:hint="default" w:ascii="Times New Roman" w:hAnsi="Times New Roman" w:eastAsia="方正黑体_GBK" w:cs="Times New Roman"/>
          <w:color w:val="auto"/>
          <w:highlight w:val="none"/>
        </w:rPr>
        <w:t>3.2.3</w:t>
      </w:r>
      <w:r>
        <w:rPr>
          <w:rFonts w:hint="default" w:ascii="Times New Roman" w:hAnsi="Times New Roman" w:eastAsia="方正黑体_GBK" w:cs="Times New Roman"/>
          <w:color w:val="auto"/>
          <w:highlight w:val="none"/>
        </w:rPr>
        <w:fldChar w:fldCharType="end"/>
      </w:r>
      <w:r>
        <w:rPr>
          <w:rFonts w:hint="default" w:ascii="Times New Roman" w:hAnsi="Times New Roman" w:eastAsia="方正黑体_GBK" w:cs="Times New Roman"/>
          <w:color w:val="auto"/>
          <w:highlight w:val="none"/>
        </w:rPr>
        <w:noBreakHyphen/>
      </w:r>
      <w:r>
        <w:rPr>
          <w:rFonts w:hint="default" w:ascii="Times New Roman" w:hAnsi="Times New Roman" w:eastAsia="方正黑体_GBK" w:cs="Times New Roman"/>
          <w:color w:val="auto"/>
          <w:highlight w:val="none"/>
        </w:rPr>
        <w:fldChar w:fldCharType="begin"/>
      </w:r>
      <w:r>
        <w:rPr>
          <w:rFonts w:hint="default" w:ascii="Times New Roman" w:hAnsi="Times New Roman" w:eastAsia="方正黑体_GBK" w:cs="Times New Roman"/>
          <w:color w:val="auto"/>
          <w:highlight w:val="none"/>
        </w:rPr>
        <w:instrText xml:space="preserve"> SEQ 表 \* ARABIC \s 3 </w:instrText>
      </w:r>
      <w:r>
        <w:rPr>
          <w:rFonts w:hint="default" w:ascii="Times New Roman" w:hAnsi="Times New Roman" w:eastAsia="方正黑体_GBK" w:cs="Times New Roman"/>
          <w:color w:val="auto"/>
          <w:highlight w:val="none"/>
        </w:rPr>
        <w:fldChar w:fldCharType="separate"/>
      </w:r>
      <w:r>
        <w:rPr>
          <w:rFonts w:hint="default" w:ascii="Times New Roman" w:hAnsi="Times New Roman" w:eastAsia="方正黑体_GBK" w:cs="Times New Roman"/>
          <w:color w:val="auto"/>
          <w:highlight w:val="none"/>
        </w:rPr>
        <w:t>1</w:t>
      </w:r>
      <w:r>
        <w:rPr>
          <w:rFonts w:hint="default" w:ascii="Times New Roman" w:hAnsi="Times New Roman" w:eastAsia="方正黑体_GBK" w:cs="Times New Roman"/>
          <w:color w:val="auto"/>
          <w:highlight w:val="none"/>
        </w:rPr>
        <w:fldChar w:fldCharType="end"/>
      </w:r>
      <w:r>
        <w:rPr>
          <w:rFonts w:hint="default" w:ascii="Times New Roman" w:hAnsi="Times New Roman" w:eastAsia="方正黑体_GBK" w:cs="Times New Roman"/>
          <w:color w:val="auto"/>
          <w:highlight w:val="none"/>
        </w:rPr>
        <w:t xml:space="preserve">  规划重点水源工程水质达标分析</w:t>
      </w:r>
    </w:p>
    <w:tbl>
      <w:tblPr>
        <w:tblStyle w:val="22"/>
        <w:tblW w:w="5000" w:type="pct"/>
        <w:tblInd w:w="0" w:type="dxa"/>
        <w:tblLayout w:type="autofit"/>
        <w:tblCellMar>
          <w:top w:w="0" w:type="dxa"/>
          <w:left w:w="108" w:type="dxa"/>
          <w:bottom w:w="0" w:type="dxa"/>
          <w:right w:w="108" w:type="dxa"/>
        </w:tblCellMar>
      </w:tblPr>
      <w:tblGrid>
        <w:gridCol w:w="1336"/>
        <w:gridCol w:w="1357"/>
        <w:gridCol w:w="1604"/>
        <w:gridCol w:w="1146"/>
        <w:gridCol w:w="1766"/>
        <w:gridCol w:w="1313"/>
      </w:tblGrid>
      <w:tr w14:paraId="7D110E5D">
        <w:tblPrEx>
          <w:tblCellMar>
            <w:top w:w="0" w:type="dxa"/>
            <w:left w:w="108" w:type="dxa"/>
            <w:bottom w:w="0" w:type="dxa"/>
            <w:right w:w="108" w:type="dxa"/>
          </w:tblCellMar>
        </w:tblPrEx>
        <w:trPr>
          <w:trHeight w:val="340" w:hRule="atLeast"/>
        </w:trPr>
        <w:tc>
          <w:tcPr>
            <w:tcW w:w="784" w:type="pct"/>
            <w:tcBorders>
              <w:top w:val="single" w:color="auto" w:sz="4" w:space="0"/>
              <w:left w:val="single" w:color="auto" w:sz="4" w:space="0"/>
              <w:bottom w:val="single" w:color="auto" w:sz="4" w:space="0"/>
              <w:right w:val="single" w:color="auto" w:sz="4" w:space="0"/>
            </w:tcBorders>
            <w:noWrap/>
            <w:vAlign w:val="center"/>
          </w:tcPr>
          <w:p w14:paraId="65BB3A74">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水库名称</w:t>
            </w:r>
          </w:p>
        </w:tc>
        <w:tc>
          <w:tcPr>
            <w:tcW w:w="1737" w:type="pct"/>
            <w:gridSpan w:val="2"/>
            <w:tcBorders>
              <w:top w:val="single" w:color="auto" w:sz="4" w:space="0"/>
              <w:left w:val="nil"/>
              <w:bottom w:val="single" w:color="auto" w:sz="4" w:space="0"/>
              <w:right w:val="single" w:color="auto" w:sz="4" w:space="0"/>
            </w:tcBorders>
            <w:noWrap/>
            <w:vAlign w:val="center"/>
          </w:tcPr>
          <w:p w14:paraId="5ABE5399">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监测时间</w:t>
            </w:r>
          </w:p>
        </w:tc>
        <w:tc>
          <w:tcPr>
            <w:tcW w:w="672" w:type="pct"/>
            <w:tcBorders>
              <w:top w:val="single" w:color="auto" w:sz="4" w:space="0"/>
              <w:left w:val="nil"/>
              <w:bottom w:val="single" w:color="auto" w:sz="4" w:space="0"/>
              <w:right w:val="single" w:color="auto" w:sz="4" w:space="0"/>
            </w:tcBorders>
            <w:noWrap/>
            <w:vAlign w:val="center"/>
          </w:tcPr>
          <w:p w14:paraId="5299FE28">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水质目标</w:t>
            </w:r>
          </w:p>
        </w:tc>
        <w:tc>
          <w:tcPr>
            <w:tcW w:w="1036" w:type="pct"/>
            <w:tcBorders>
              <w:top w:val="single" w:color="auto" w:sz="4" w:space="0"/>
              <w:left w:val="nil"/>
              <w:bottom w:val="single" w:color="auto" w:sz="4" w:space="0"/>
              <w:right w:val="single" w:color="auto" w:sz="4" w:space="0"/>
            </w:tcBorders>
            <w:noWrap/>
            <w:vAlign w:val="center"/>
          </w:tcPr>
          <w:p w14:paraId="78B81BBF">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现状水质类别</w:t>
            </w:r>
          </w:p>
        </w:tc>
        <w:tc>
          <w:tcPr>
            <w:tcW w:w="770" w:type="pct"/>
            <w:tcBorders>
              <w:top w:val="single" w:color="auto" w:sz="4" w:space="0"/>
              <w:left w:val="nil"/>
              <w:bottom w:val="single" w:color="auto" w:sz="4" w:space="0"/>
              <w:right w:val="single" w:color="auto" w:sz="4" w:space="0"/>
            </w:tcBorders>
            <w:noWrap/>
            <w:vAlign w:val="center"/>
          </w:tcPr>
          <w:p w14:paraId="4A0D58B6">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是否达标</w:t>
            </w:r>
          </w:p>
        </w:tc>
      </w:tr>
      <w:tr w14:paraId="2331CF29">
        <w:tblPrEx>
          <w:tblCellMar>
            <w:top w:w="0" w:type="dxa"/>
            <w:left w:w="108" w:type="dxa"/>
            <w:bottom w:w="0" w:type="dxa"/>
            <w:right w:w="108" w:type="dxa"/>
          </w:tblCellMar>
        </w:tblPrEx>
        <w:trPr>
          <w:trHeight w:val="340" w:hRule="atLeast"/>
        </w:trPr>
        <w:tc>
          <w:tcPr>
            <w:tcW w:w="784" w:type="pct"/>
            <w:vMerge w:val="restart"/>
            <w:tcBorders>
              <w:top w:val="nil"/>
              <w:left w:val="single" w:color="auto" w:sz="4" w:space="0"/>
              <w:bottom w:val="single" w:color="auto" w:sz="4" w:space="0"/>
              <w:right w:val="single" w:color="auto" w:sz="4" w:space="0"/>
            </w:tcBorders>
            <w:noWrap/>
            <w:vAlign w:val="center"/>
          </w:tcPr>
          <w:p w14:paraId="1260F43C">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小务龙</w:t>
            </w:r>
          </w:p>
        </w:tc>
        <w:tc>
          <w:tcPr>
            <w:tcW w:w="796" w:type="pct"/>
            <w:vMerge w:val="restart"/>
            <w:tcBorders>
              <w:top w:val="nil"/>
              <w:left w:val="single" w:color="auto" w:sz="4" w:space="0"/>
              <w:bottom w:val="single" w:color="auto" w:sz="4" w:space="0"/>
              <w:right w:val="single" w:color="auto" w:sz="4" w:space="0"/>
            </w:tcBorders>
            <w:noWrap/>
            <w:vAlign w:val="center"/>
          </w:tcPr>
          <w:p w14:paraId="2C864B62">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2023年</w:t>
            </w:r>
          </w:p>
        </w:tc>
        <w:tc>
          <w:tcPr>
            <w:tcW w:w="941" w:type="pct"/>
            <w:tcBorders>
              <w:top w:val="nil"/>
              <w:left w:val="nil"/>
              <w:bottom w:val="single" w:color="auto" w:sz="4" w:space="0"/>
              <w:right w:val="single" w:color="auto" w:sz="4" w:space="0"/>
            </w:tcBorders>
            <w:noWrap/>
            <w:vAlign w:val="center"/>
          </w:tcPr>
          <w:p w14:paraId="3706C12C">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第一季度</w:t>
            </w:r>
          </w:p>
        </w:tc>
        <w:tc>
          <w:tcPr>
            <w:tcW w:w="672" w:type="pct"/>
            <w:tcBorders>
              <w:top w:val="nil"/>
              <w:left w:val="nil"/>
              <w:bottom w:val="single" w:color="auto" w:sz="4" w:space="0"/>
              <w:right w:val="single" w:color="auto" w:sz="4" w:space="0"/>
            </w:tcBorders>
            <w:noWrap/>
            <w:vAlign w:val="center"/>
          </w:tcPr>
          <w:p w14:paraId="192D9545">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04C43B35">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77200A23">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32996F17">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48E527D8">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continue"/>
            <w:tcBorders>
              <w:top w:val="nil"/>
              <w:left w:val="single" w:color="auto" w:sz="4" w:space="0"/>
              <w:bottom w:val="single" w:color="auto" w:sz="4" w:space="0"/>
              <w:right w:val="single" w:color="auto" w:sz="4" w:space="0"/>
            </w:tcBorders>
            <w:vAlign w:val="center"/>
          </w:tcPr>
          <w:p w14:paraId="1A365C0B">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941" w:type="pct"/>
            <w:tcBorders>
              <w:top w:val="nil"/>
              <w:left w:val="nil"/>
              <w:bottom w:val="single" w:color="auto" w:sz="4" w:space="0"/>
              <w:right w:val="single" w:color="auto" w:sz="4" w:space="0"/>
            </w:tcBorders>
            <w:noWrap/>
            <w:vAlign w:val="center"/>
          </w:tcPr>
          <w:p w14:paraId="3275CBEB">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第二季度</w:t>
            </w:r>
          </w:p>
        </w:tc>
        <w:tc>
          <w:tcPr>
            <w:tcW w:w="672" w:type="pct"/>
            <w:tcBorders>
              <w:top w:val="nil"/>
              <w:left w:val="nil"/>
              <w:bottom w:val="single" w:color="auto" w:sz="4" w:space="0"/>
              <w:right w:val="single" w:color="auto" w:sz="4" w:space="0"/>
            </w:tcBorders>
            <w:noWrap/>
            <w:vAlign w:val="center"/>
          </w:tcPr>
          <w:p w14:paraId="6C1CB981">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2505807A">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5F1E907A">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7ABE7FEB">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434785DE">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continue"/>
            <w:tcBorders>
              <w:top w:val="nil"/>
              <w:left w:val="single" w:color="auto" w:sz="4" w:space="0"/>
              <w:bottom w:val="single" w:color="auto" w:sz="4" w:space="0"/>
              <w:right w:val="single" w:color="auto" w:sz="4" w:space="0"/>
            </w:tcBorders>
            <w:vAlign w:val="center"/>
          </w:tcPr>
          <w:p w14:paraId="29E77E8D">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941" w:type="pct"/>
            <w:tcBorders>
              <w:top w:val="nil"/>
              <w:left w:val="nil"/>
              <w:bottom w:val="single" w:color="auto" w:sz="4" w:space="0"/>
              <w:right w:val="single" w:color="auto" w:sz="4" w:space="0"/>
            </w:tcBorders>
            <w:noWrap/>
            <w:vAlign w:val="center"/>
          </w:tcPr>
          <w:p w14:paraId="30EEA617">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第三季度</w:t>
            </w:r>
          </w:p>
        </w:tc>
        <w:tc>
          <w:tcPr>
            <w:tcW w:w="672" w:type="pct"/>
            <w:tcBorders>
              <w:top w:val="nil"/>
              <w:left w:val="nil"/>
              <w:bottom w:val="single" w:color="auto" w:sz="4" w:space="0"/>
              <w:right w:val="single" w:color="auto" w:sz="4" w:space="0"/>
            </w:tcBorders>
            <w:noWrap/>
            <w:vAlign w:val="center"/>
          </w:tcPr>
          <w:p w14:paraId="4E66830B">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4DBE09CC">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0E8AB7EC">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7B38EDA0">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793E5A7F">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continue"/>
            <w:tcBorders>
              <w:top w:val="nil"/>
              <w:left w:val="single" w:color="auto" w:sz="4" w:space="0"/>
              <w:bottom w:val="single" w:color="auto" w:sz="4" w:space="0"/>
              <w:right w:val="single" w:color="auto" w:sz="4" w:space="0"/>
            </w:tcBorders>
            <w:vAlign w:val="center"/>
          </w:tcPr>
          <w:p w14:paraId="6822AB5A">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941" w:type="pct"/>
            <w:tcBorders>
              <w:top w:val="nil"/>
              <w:left w:val="nil"/>
              <w:bottom w:val="single" w:color="auto" w:sz="4" w:space="0"/>
              <w:right w:val="single" w:color="auto" w:sz="4" w:space="0"/>
            </w:tcBorders>
            <w:noWrap/>
            <w:vAlign w:val="center"/>
          </w:tcPr>
          <w:p w14:paraId="15148738">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第四季度</w:t>
            </w:r>
          </w:p>
        </w:tc>
        <w:tc>
          <w:tcPr>
            <w:tcW w:w="672" w:type="pct"/>
            <w:tcBorders>
              <w:top w:val="nil"/>
              <w:left w:val="nil"/>
              <w:bottom w:val="single" w:color="auto" w:sz="4" w:space="0"/>
              <w:right w:val="single" w:color="auto" w:sz="4" w:space="0"/>
            </w:tcBorders>
            <w:noWrap/>
            <w:vAlign w:val="center"/>
          </w:tcPr>
          <w:p w14:paraId="4F943BEB">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04CB98A4">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11AB7F22">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4520E7D7">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52010EC2">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restart"/>
            <w:tcBorders>
              <w:top w:val="nil"/>
              <w:left w:val="single" w:color="auto" w:sz="4" w:space="0"/>
              <w:bottom w:val="single" w:color="auto" w:sz="4" w:space="0"/>
              <w:right w:val="single" w:color="auto" w:sz="4" w:space="0"/>
            </w:tcBorders>
            <w:noWrap/>
            <w:vAlign w:val="center"/>
          </w:tcPr>
          <w:p w14:paraId="0D9FF73B">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2024年</w:t>
            </w:r>
          </w:p>
        </w:tc>
        <w:tc>
          <w:tcPr>
            <w:tcW w:w="941" w:type="pct"/>
            <w:tcBorders>
              <w:top w:val="nil"/>
              <w:left w:val="nil"/>
              <w:bottom w:val="single" w:color="auto" w:sz="4" w:space="0"/>
              <w:right w:val="single" w:color="auto" w:sz="4" w:space="0"/>
            </w:tcBorders>
            <w:noWrap/>
            <w:vAlign w:val="center"/>
          </w:tcPr>
          <w:p w14:paraId="4CDC423D">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第一季度</w:t>
            </w:r>
          </w:p>
        </w:tc>
        <w:tc>
          <w:tcPr>
            <w:tcW w:w="672" w:type="pct"/>
            <w:tcBorders>
              <w:top w:val="nil"/>
              <w:left w:val="nil"/>
              <w:bottom w:val="single" w:color="auto" w:sz="4" w:space="0"/>
              <w:right w:val="single" w:color="auto" w:sz="4" w:space="0"/>
            </w:tcBorders>
            <w:noWrap/>
            <w:vAlign w:val="center"/>
          </w:tcPr>
          <w:p w14:paraId="38E5F3A7">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68C1312C">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770" w:type="pct"/>
            <w:tcBorders>
              <w:top w:val="nil"/>
              <w:left w:val="nil"/>
              <w:bottom w:val="single" w:color="auto" w:sz="4" w:space="0"/>
              <w:right w:val="single" w:color="auto" w:sz="4" w:space="0"/>
            </w:tcBorders>
            <w:noWrap/>
            <w:vAlign w:val="center"/>
          </w:tcPr>
          <w:p w14:paraId="56884737">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5BBEB86D">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1A6AFB4C">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continue"/>
            <w:tcBorders>
              <w:top w:val="nil"/>
              <w:left w:val="single" w:color="auto" w:sz="4" w:space="0"/>
              <w:bottom w:val="single" w:color="auto" w:sz="4" w:space="0"/>
              <w:right w:val="single" w:color="auto" w:sz="4" w:space="0"/>
            </w:tcBorders>
            <w:vAlign w:val="center"/>
          </w:tcPr>
          <w:p w14:paraId="1537646F">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941" w:type="pct"/>
            <w:tcBorders>
              <w:top w:val="nil"/>
              <w:left w:val="nil"/>
              <w:bottom w:val="single" w:color="auto" w:sz="4" w:space="0"/>
              <w:right w:val="single" w:color="auto" w:sz="4" w:space="0"/>
            </w:tcBorders>
            <w:noWrap/>
            <w:vAlign w:val="center"/>
          </w:tcPr>
          <w:p w14:paraId="0914B74A">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第二季度</w:t>
            </w:r>
          </w:p>
        </w:tc>
        <w:tc>
          <w:tcPr>
            <w:tcW w:w="672" w:type="pct"/>
            <w:tcBorders>
              <w:top w:val="nil"/>
              <w:left w:val="nil"/>
              <w:bottom w:val="single" w:color="auto" w:sz="4" w:space="0"/>
              <w:right w:val="single" w:color="auto" w:sz="4" w:space="0"/>
            </w:tcBorders>
            <w:noWrap/>
            <w:vAlign w:val="center"/>
          </w:tcPr>
          <w:p w14:paraId="7AC857DD">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72DFAC26">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09DC192E">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7B3584CE">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3EB608B6">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continue"/>
            <w:tcBorders>
              <w:top w:val="nil"/>
              <w:left w:val="single" w:color="auto" w:sz="4" w:space="0"/>
              <w:bottom w:val="single" w:color="auto" w:sz="4" w:space="0"/>
              <w:right w:val="single" w:color="auto" w:sz="4" w:space="0"/>
            </w:tcBorders>
            <w:vAlign w:val="center"/>
          </w:tcPr>
          <w:p w14:paraId="68790329">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941" w:type="pct"/>
            <w:tcBorders>
              <w:top w:val="nil"/>
              <w:left w:val="nil"/>
              <w:bottom w:val="single" w:color="auto" w:sz="4" w:space="0"/>
              <w:right w:val="single" w:color="auto" w:sz="4" w:space="0"/>
            </w:tcBorders>
            <w:noWrap/>
            <w:vAlign w:val="center"/>
          </w:tcPr>
          <w:p w14:paraId="057B1BF5">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第三季度</w:t>
            </w:r>
          </w:p>
        </w:tc>
        <w:tc>
          <w:tcPr>
            <w:tcW w:w="672" w:type="pct"/>
            <w:tcBorders>
              <w:top w:val="nil"/>
              <w:left w:val="nil"/>
              <w:bottom w:val="single" w:color="auto" w:sz="4" w:space="0"/>
              <w:right w:val="single" w:color="auto" w:sz="4" w:space="0"/>
            </w:tcBorders>
            <w:noWrap/>
            <w:vAlign w:val="center"/>
          </w:tcPr>
          <w:p w14:paraId="5EEC343C">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269CBE69">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Ⅱ</w:t>
            </w:r>
          </w:p>
        </w:tc>
        <w:tc>
          <w:tcPr>
            <w:tcW w:w="770" w:type="pct"/>
            <w:tcBorders>
              <w:top w:val="nil"/>
              <w:left w:val="nil"/>
              <w:bottom w:val="single" w:color="auto" w:sz="4" w:space="0"/>
              <w:right w:val="single" w:color="auto" w:sz="4" w:space="0"/>
            </w:tcBorders>
            <w:noWrap/>
            <w:vAlign w:val="center"/>
          </w:tcPr>
          <w:p w14:paraId="6641891A">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247A8BC4">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4F34D549">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continue"/>
            <w:tcBorders>
              <w:top w:val="nil"/>
              <w:left w:val="single" w:color="auto" w:sz="4" w:space="0"/>
              <w:bottom w:val="single" w:color="auto" w:sz="4" w:space="0"/>
              <w:right w:val="single" w:color="auto" w:sz="4" w:space="0"/>
            </w:tcBorders>
            <w:vAlign w:val="center"/>
          </w:tcPr>
          <w:p w14:paraId="38E73480">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941" w:type="pct"/>
            <w:tcBorders>
              <w:top w:val="nil"/>
              <w:left w:val="nil"/>
              <w:bottom w:val="single" w:color="auto" w:sz="4" w:space="0"/>
              <w:right w:val="single" w:color="auto" w:sz="4" w:space="0"/>
            </w:tcBorders>
            <w:noWrap/>
            <w:vAlign w:val="center"/>
          </w:tcPr>
          <w:p w14:paraId="18D5EA52">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第四季度</w:t>
            </w:r>
          </w:p>
        </w:tc>
        <w:tc>
          <w:tcPr>
            <w:tcW w:w="672" w:type="pct"/>
            <w:tcBorders>
              <w:top w:val="nil"/>
              <w:left w:val="nil"/>
              <w:bottom w:val="single" w:color="auto" w:sz="4" w:space="0"/>
              <w:right w:val="single" w:color="auto" w:sz="4" w:space="0"/>
            </w:tcBorders>
            <w:noWrap/>
            <w:vAlign w:val="center"/>
          </w:tcPr>
          <w:p w14:paraId="618AFAC4">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2BC32D23">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79A75BD2">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4B4AAD5C">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0C509714">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restart"/>
            <w:tcBorders>
              <w:top w:val="nil"/>
              <w:left w:val="single" w:color="auto" w:sz="4" w:space="0"/>
              <w:bottom w:val="single" w:color="auto" w:sz="4" w:space="0"/>
              <w:right w:val="single" w:color="auto" w:sz="4" w:space="0"/>
            </w:tcBorders>
            <w:noWrap/>
            <w:vAlign w:val="center"/>
          </w:tcPr>
          <w:p w14:paraId="0AC08893">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2025年</w:t>
            </w:r>
          </w:p>
        </w:tc>
        <w:tc>
          <w:tcPr>
            <w:tcW w:w="941" w:type="pct"/>
            <w:tcBorders>
              <w:top w:val="nil"/>
              <w:left w:val="nil"/>
              <w:bottom w:val="single" w:color="auto" w:sz="4" w:space="0"/>
              <w:right w:val="single" w:color="auto" w:sz="4" w:space="0"/>
            </w:tcBorders>
            <w:noWrap/>
            <w:vAlign w:val="center"/>
          </w:tcPr>
          <w:p w14:paraId="17442C9F">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第一季度</w:t>
            </w:r>
          </w:p>
        </w:tc>
        <w:tc>
          <w:tcPr>
            <w:tcW w:w="672" w:type="pct"/>
            <w:tcBorders>
              <w:top w:val="nil"/>
              <w:left w:val="nil"/>
              <w:bottom w:val="single" w:color="auto" w:sz="4" w:space="0"/>
              <w:right w:val="single" w:color="auto" w:sz="4" w:space="0"/>
            </w:tcBorders>
            <w:noWrap/>
            <w:vAlign w:val="center"/>
          </w:tcPr>
          <w:p w14:paraId="2D709299">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52B4D252">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7DF56C5A">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32C70C45">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0AE97539">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continue"/>
            <w:tcBorders>
              <w:top w:val="nil"/>
              <w:left w:val="single" w:color="auto" w:sz="4" w:space="0"/>
              <w:bottom w:val="single" w:color="auto" w:sz="4" w:space="0"/>
              <w:right w:val="single" w:color="auto" w:sz="4" w:space="0"/>
            </w:tcBorders>
            <w:vAlign w:val="center"/>
          </w:tcPr>
          <w:p w14:paraId="3942B42B">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941" w:type="pct"/>
            <w:tcBorders>
              <w:top w:val="nil"/>
              <w:left w:val="nil"/>
              <w:bottom w:val="single" w:color="auto" w:sz="4" w:space="0"/>
              <w:right w:val="single" w:color="auto" w:sz="4" w:space="0"/>
            </w:tcBorders>
            <w:noWrap/>
            <w:vAlign w:val="center"/>
          </w:tcPr>
          <w:p w14:paraId="4F06B2C2">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第二季度</w:t>
            </w:r>
          </w:p>
        </w:tc>
        <w:tc>
          <w:tcPr>
            <w:tcW w:w="672" w:type="pct"/>
            <w:tcBorders>
              <w:top w:val="nil"/>
              <w:left w:val="nil"/>
              <w:bottom w:val="single" w:color="auto" w:sz="4" w:space="0"/>
              <w:right w:val="single" w:color="auto" w:sz="4" w:space="0"/>
            </w:tcBorders>
            <w:noWrap/>
            <w:vAlign w:val="center"/>
          </w:tcPr>
          <w:p w14:paraId="4F048DD9">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7CC2A1B5">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51C2A1D3">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67E7F541">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192E8D22">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continue"/>
            <w:tcBorders>
              <w:top w:val="nil"/>
              <w:left w:val="single" w:color="auto" w:sz="4" w:space="0"/>
              <w:bottom w:val="single" w:color="auto" w:sz="4" w:space="0"/>
              <w:right w:val="single" w:color="auto" w:sz="4" w:space="0"/>
            </w:tcBorders>
            <w:vAlign w:val="center"/>
          </w:tcPr>
          <w:p w14:paraId="29E91191">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941" w:type="pct"/>
            <w:tcBorders>
              <w:top w:val="nil"/>
              <w:left w:val="nil"/>
              <w:bottom w:val="single" w:color="auto" w:sz="4" w:space="0"/>
              <w:right w:val="single" w:color="auto" w:sz="4" w:space="0"/>
            </w:tcBorders>
            <w:noWrap/>
            <w:vAlign w:val="center"/>
          </w:tcPr>
          <w:p w14:paraId="6D53B4B3">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第三季度</w:t>
            </w:r>
          </w:p>
        </w:tc>
        <w:tc>
          <w:tcPr>
            <w:tcW w:w="672" w:type="pct"/>
            <w:tcBorders>
              <w:top w:val="nil"/>
              <w:left w:val="nil"/>
              <w:bottom w:val="single" w:color="auto" w:sz="4" w:space="0"/>
              <w:right w:val="single" w:color="auto" w:sz="4" w:space="0"/>
            </w:tcBorders>
            <w:noWrap/>
            <w:vAlign w:val="center"/>
          </w:tcPr>
          <w:p w14:paraId="3F482CBD">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4EE93649">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63D47060">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1016B323">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48B8AB69">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vMerge w:val="continue"/>
            <w:tcBorders>
              <w:top w:val="nil"/>
              <w:left w:val="single" w:color="auto" w:sz="4" w:space="0"/>
              <w:bottom w:val="single" w:color="auto" w:sz="4" w:space="0"/>
              <w:right w:val="single" w:color="auto" w:sz="4" w:space="0"/>
            </w:tcBorders>
            <w:vAlign w:val="center"/>
          </w:tcPr>
          <w:p w14:paraId="6F94AB17">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941" w:type="pct"/>
            <w:tcBorders>
              <w:top w:val="nil"/>
              <w:left w:val="nil"/>
              <w:bottom w:val="single" w:color="auto" w:sz="4" w:space="0"/>
              <w:right w:val="single" w:color="auto" w:sz="4" w:space="0"/>
            </w:tcBorders>
            <w:noWrap/>
            <w:vAlign w:val="center"/>
          </w:tcPr>
          <w:p w14:paraId="35748A4A">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第四季度</w:t>
            </w:r>
          </w:p>
        </w:tc>
        <w:tc>
          <w:tcPr>
            <w:tcW w:w="672" w:type="pct"/>
            <w:tcBorders>
              <w:top w:val="nil"/>
              <w:left w:val="nil"/>
              <w:bottom w:val="single" w:color="auto" w:sz="4" w:space="0"/>
              <w:right w:val="single" w:color="auto" w:sz="4" w:space="0"/>
            </w:tcBorders>
            <w:noWrap/>
            <w:vAlign w:val="center"/>
          </w:tcPr>
          <w:p w14:paraId="52EA1951">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79DA097F">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3CAB3B82">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1E3F4312">
        <w:tblPrEx>
          <w:tblCellMar>
            <w:top w:w="0" w:type="dxa"/>
            <w:left w:w="108" w:type="dxa"/>
            <w:bottom w:w="0" w:type="dxa"/>
            <w:right w:w="108" w:type="dxa"/>
          </w:tblCellMar>
        </w:tblPrEx>
        <w:trPr>
          <w:trHeight w:val="340" w:hRule="atLeast"/>
        </w:trPr>
        <w:tc>
          <w:tcPr>
            <w:tcW w:w="784" w:type="pct"/>
            <w:vMerge w:val="restart"/>
            <w:tcBorders>
              <w:top w:val="nil"/>
              <w:left w:val="single" w:color="auto" w:sz="4" w:space="0"/>
              <w:bottom w:val="single" w:color="auto" w:sz="4" w:space="0"/>
              <w:right w:val="single" w:color="auto" w:sz="4" w:space="0"/>
            </w:tcBorders>
            <w:noWrap/>
            <w:vAlign w:val="center"/>
          </w:tcPr>
          <w:p w14:paraId="51E2EF13">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大河水库</w:t>
            </w:r>
          </w:p>
        </w:tc>
        <w:tc>
          <w:tcPr>
            <w:tcW w:w="796" w:type="pct"/>
            <w:tcBorders>
              <w:top w:val="nil"/>
              <w:left w:val="nil"/>
              <w:bottom w:val="single" w:color="auto" w:sz="4" w:space="0"/>
              <w:right w:val="single" w:color="auto" w:sz="4" w:space="0"/>
            </w:tcBorders>
            <w:noWrap/>
            <w:vAlign w:val="center"/>
          </w:tcPr>
          <w:p w14:paraId="09FA8FEF">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2024年</w:t>
            </w:r>
          </w:p>
        </w:tc>
        <w:tc>
          <w:tcPr>
            <w:tcW w:w="941" w:type="pct"/>
            <w:tcBorders>
              <w:top w:val="nil"/>
              <w:left w:val="nil"/>
              <w:bottom w:val="single" w:color="auto" w:sz="4" w:space="0"/>
              <w:right w:val="single" w:color="auto" w:sz="4" w:space="0"/>
            </w:tcBorders>
            <w:noWrap/>
            <w:vAlign w:val="center"/>
          </w:tcPr>
          <w:p w14:paraId="6C708A1B">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7月</w:t>
            </w:r>
          </w:p>
        </w:tc>
        <w:tc>
          <w:tcPr>
            <w:tcW w:w="672" w:type="pct"/>
            <w:tcBorders>
              <w:top w:val="nil"/>
              <w:left w:val="nil"/>
              <w:bottom w:val="single" w:color="auto" w:sz="4" w:space="0"/>
              <w:right w:val="single" w:color="auto" w:sz="4" w:space="0"/>
            </w:tcBorders>
            <w:noWrap/>
            <w:vAlign w:val="center"/>
          </w:tcPr>
          <w:p w14:paraId="346F162F">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24B2E3F7">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7DE03ADE">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581BAE7B">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7BFCDD15">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tcBorders>
              <w:top w:val="nil"/>
              <w:left w:val="nil"/>
              <w:bottom w:val="single" w:color="auto" w:sz="4" w:space="0"/>
              <w:right w:val="single" w:color="auto" w:sz="4" w:space="0"/>
            </w:tcBorders>
            <w:noWrap/>
            <w:vAlign w:val="center"/>
          </w:tcPr>
          <w:p w14:paraId="2EBA5CC6">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2025年</w:t>
            </w:r>
          </w:p>
        </w:tc>
        <w:tc>
          <w:tcPr>
            <w:tcW w:w="941" w:type="pct"/>
            <w:tcBorders>
              <w:top w:val="nil"/>
              <w:left w:val="nil"/>
              <w:bottom w:val="single" w:color="auto" w:sz="4" w:space="0"/>
              <w:right w:val="single" w:color="auto" w:sz="4" w:space="0"/>
            </w:tcBorders>
            <w:noWrap/>
            <w:vAlign w:val="center"/>
          </w:tcPr>
          <w:p w14:paraId="3E85F25E">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3月</w:t>
            </w:r>
          </w:p>
        </w:tc>
        <w:tc>
          <w:tcPr>
            <w:tcW w:w="672" w:type="pct"/>
            <w:tcBorders>
              <w:top w:val="nil"/>
              <w:left w:val="nil"/>
              <w:bottom w:val="single" w:color="auto" w:sz="4" w:space="0"/>
              <w:right w:val="single" w:color="auto" w:sz="4" w:space="0"/>
            </w:tcBorders>
            <w:noWrap/>
            <w:vAlign w:val="center"/>
          </w:tcPr>
          <w:p w14:paraId="33AFE334">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7DAC20AC">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4F6E5E12">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1A985E2E">
        <w:tblPrEx>
          <w:tblCellMar>
            <w:top w:w="0" w:type="dxa"/>
            <w:left w:w="108" w:type="dxa"/>
            <w:bottom w:w="0" w:type="dxa"/>
            <w:right w:w="108" w:type="dxa"/>
          </w:tblCellMar>
        </w:tblPrEx>
        <w:trPr>
          <w:trHeight w:val="340" w:hRule="atLeast"/>
        </w:trPr>
        <w:tc>
          <w:tcPr>
            <w:tcW w:w="784" w:type="pct"/>
            <w:vMerge w:val="restart"/>
            <w:tcBorders>
              <w:top w:val="nil"/>
              <w:left w:val="single" w:color="auto" w:sz="4" w:space="0"/>
              <w:bottom w:val="single" w:color="auto" w:sz="4" w:space="0"/>
              <w:right w:val="single" w:color="auto" w:sz="4" w:space="0"/>
            </w:tcBorders>
            <w:noWrap/>
            <w:vAlign w:val="center"/>
          </w:tcPr>
          <w:p w14:paraId="39018BA3">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龙潭水库</w:t>
            </w:r>
          </w:p>
        </w:tc>
        <w:tc>
          <w:tcPr>
            <w:tcW w:w="796" w:type="pct"/>
            <w:tcBorders>
              <w:top w:val="nil"/>
              <w:left w:val="nil"/>
              <w:bottom w:val="single" w:color="auto" w:sz="4" w:space="0"/>
              <w:right w:val="single" w:color="auto" w:sz="4" w:space="0"/>
            </w:tcBorders>
            <w:noWrap/>
            <w:vAlign w:val="center"/>
          </w:tcPr>
          <w:p w14:paraId="0B56B5B9">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2024年</w:t>
            </w:r>
          </w:p>
        </w:tc>
        <w:tc>
          <w:tcPr>
            <w:tcW w:w="941" w:type="pct"/>
            <w:tcBorders>
              <w:top w:val="nil"/>
              <w:left w:val="nil"/>
              <w:bottom w:val="single" w:color="auto" w:sz="4" w:space="0"/>
              <w:right w:val="single" w:color="auto" w:sz="4" w:space="0"/>
            </w:tcBorders>
            <w:noWrap/>
            <w:vAlign w:val="center"/>
          </w:tcPr>
          <w:p w14:paraId="188634F4">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7月</w:t>
            </w:r>
          </w:p>
        </w:tc>
        <w:tc>
          <w:tcPr>
            <w:tcW w:w="672" w:type="pct"/>
            <w:tcBorders>
              <w:top w:val="nil"/>
              <w:left w:val="nil"/>
              <w:bottom w:val="single" w:color="auto" w:sz="4" w:space="0"/>
              <w:right w:val="single" w:color="auto" w:sz="4" w:space="0"/>
            </w:tcBorders>
            <w:noWrap/>
            <w:vAlign w:val="center"/>
          </w:tcPr>
          <w:p w14:paraId="6FAA37B3">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7027BDAB">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3FA43BD6">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r w14:paraId="46D9C2AE">
        <w:tblPrEx>
          <w:tblCellMar>
            <w:top w:w="0" w:type="dxa"/>
            <w:left w:w="108" w:type="dxa"/>
            <w:bottom w:w="0" w:type="dxa"/>
            <w:right w:w="108" w:type="dxa"/>
          </w:tblCellMar>
        </w:tblPrEx>
        <w:trPr>
          <w:trHeight w:val="340" w:hRule="atLeast"/>
        </w:trPr>
        <w:tc>
          <w:tcPr>
            <w:tcW w:w="784" w:type="pct"/>
            <w:vMerge w:val="continue"/>
            <w:tcBorders>
              <w:top w:val="nil"/>
              <w:left w:val="single" w:color="auto" w:sz="4" w:space="0"/>
              <w:bottom w:val="single" w:color="auto" w:sz="4" w:space="0"/>
              <w:right w:val="single" w:color="auto" w:sz="4" w:space="0"/>
            </w:tcBorders>
            <w:vAlign w:val="center"/>
          </w:tcPr>
          <w:p w14:paraId="6261D197">
            <w:pPr>
              <w:widowControl/>
              <w:adjustRightInd/>
              <w:snapToGrid/>
              <w:spacing w:line="240" w:lineRule="auto"/>
              <w:jc w:val="left"/>
              <w:rPr>
                <w:rFonts w:hint="default" w:ascii="Times New Roman" w:hAnsi="Times New Roman" w:cs="Times New Roman"/>
                <w:color w:val="auto"/>
                <w:kern w:val="0"/>
                <w:sz w:val="21"/>
                <w:szCs w:val="21"/>
                <w:highlight w:val="none"/>
              </w:rPr>
            </w:pPr>
          </w:p>
        </w:tc>
        <w:tc>
          <w:tcPr>
            <w:tcW w:w="796" w:type="pct"/>
            <w:tcBorders>
              <w:top w:val="nil"/>
              <w:left w:val="nil"/>
              <w:bottom w:val="single" w:color="auto" w:sz="4" w:space="0"/>
              <w:right w:val="single" w:color="auto" w:sz="4" w:space="0"/>
            </w:tcBorders>
            <w:noWrap/>
            <w:vAlign w:val="center"/>
          </w:tcPr>
          <w:p w14:paraId="5DB2879D">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2025年</w:t>
            </w:r>
          </w:p>
        </w:tc>
        <w:tc>
          <w:tcPr>
            <w:tcW w:w="941" w:type="pct"/>
            <w:tcBorders>
              <w:top w:val="nil"/>
              <w:left w:val="nil"/>
              <w:bottom w:val="single" w:color="auto" w:sz="4" w:space="0"/>
              <w:right w:val="single" w:color="auto" w:sz="4" w:space="0"/>
            </w:tcBorders>
            <w:noWrap/>
            <w:vAlign w:val="center"/>
          </w:tcPr>
          <w:p w14:paraId="2509723F">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3月</w:t>
            </w:r>
          </w:p>
        </w:tc>
        <w:tc>
          <w:tcPr>
            <w:tcW w:w="672" w:type="pct"/>
            <w:tcBorders>
              <w:top w:val="nil"/>
              <w:left w:val="nil"/>
              <w:bottom w:val="single" w:color="auto" w:sz="4" w:space="0"/>
              <w:right w:val="single" w:color="auto" w:sz="4" w:space="0"/>
            </w:tcBorders>
            <w:noWrap/>
            <w:vAlign w:val="center"/>
          </w:tcPr>
          <w:p w14:paraId="7670970D">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1036" w:type="pct"/>
            <w:tcBorders>
              <w:top w:val="nil"/>
              <w:left w:val="nil"/>
              <w:bottom w:val="single" w:color="auto" w:sz="4" w:space="0"/>
              <w:right w:val="single" w:color="auto" w:sz="4" w:space="0"/>
            </w:tcBorders>
            <w:noWrap/>
            <w:vAlign w:val="center"/>
          </w:tcPr>
          <w:p w14:paraId="585FC874">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Ⅲ</w:t>
            </w:r>
          </w:p>
        </w:tc>
        <w:tc>
          <w:tcPr>
            <w:tcW w:w="770" w:type="pct"/>
            <w:tcBorders>
              <w:top w:val="nil"/>
              <w:left w:val="nil"/>
              <w:bottom w:val="single" w:color="auto" w:sz="4" w:space="0"/>
              <w:right w:val="single" w:color="auto" w:sz="4" w:space="0"/>
            </w:tcBorders>
            <w:noWrap/>
            <w:vAlign w:val="center"/>
          </w:tcPr>
          <w:p w14:paraId="6D99F85C">
            <w:pPr>
              <w:widowControl/>
              <w:adjustRightInd/>
              <w:snapToGrid/>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达标</w:t>
            </w:r>
          </w:p>
        </w:tc>
      </w:tr>
    </w:tbl>
    <w:p w14:paraId="2B0E5E5C">
      <w:pPr>
        <w:pStyle w:val="14"/>
        <w:spacing w:before="62" w:beforeLines="20"/>
        <w:ind w:firstLine="42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注：TN作为参考指标，单独评价。</w:t>
      </w:r>
    </w:p>
    <w:p w14:paraId="24D673C1">
      <w:pPr>
        <w:pStyle w:val="3"/>
        <w:numPr>
          <w:ilvl w:val="1"/>
          <w:numId w:val="4"/>
        </w:numPr>
        <w:spacing w:before="374" w:after="249"/>
        <w:rPr>
          <w:rFonts w:hint="default" w:ascii="Times New Roman" w:hAnsi="Times New Roman" w:eastAsia="宋体" w:cs="Times New Roman"/>
          <w:color w:val="auto"/>
          <w:highlight w:val="none"/>
        </w:rPr>
      </w:pPr>
      <w:bookmarkStart w:id="70" w:name="_Toc15339"/>
      <w:r>
        <w:rPr>
          <w:rFonts w:hint="default" w:ascii="Times New Roman" w:hAnsi="Times New Roman" w:eastAsia="宋体" w:cs="Times New Roman"/>
          <w:color w:val="auto"/>
          <w:highlight w:val="none"/>
        </w:rPr>
        <w:t>地下水环境质量现状</w:t>
      </w:r>
      <w:bookmarkEnd w:id="70"/>
    </w:p>
    <w:p w14:paraId="020E41AA">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地下水类型</w:t>
      </w:r>
    </w:p>
    <w:p w14:paraId="1F661F3D">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南盘江（曲靖市境内）流域国土面积 14225km²，</w:t>
      </w:r>
      <w:bookmarkStart w:id="71" w:name="OLE_LINK29"/>
      <w:r>
        <w:rPr>
          <w:rFonts w:hint="default" w:ascii="Times New Roman" w:hAnsi="Times New Roman" w:cs="Times New Roman"/>
          <w:color w:val="auto"/>
          <w:highlight w:val="none"/>
        </w:rPr>
        <w:t>区内碳酸盐岩大面积出露，喀斯特地貌占流域总面积 68% 以上，地表河‑地下暗河交替发育，是典型的滇东岩溶高原流域。流域地下水划分为碳酸盐岩裂隙溶洞水、基岩裂隙水、松散岩类孔隙水三大类型</w:t>
      </w:r>
      <w:bookmarkEnd w:id="71"/>
      <w:r>
        <w:rPr>
          <w:rFonts w:hint="default" w:ascii="Times New Roman" w:hAnsi="Times New Roman" w:cs="Times New Roman"/>
          <w:color w:val="auto"/>
          <w:highlight w:val="none"/>
        </w:rPr>
        <w:t>。</w:t>
      </w:r>
    </w:p>
    <w:p w14:paraId="2BC932FD">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碳酸盐岩裂隙溶洞水（主导类型）：广泛分布流域大部分区域，地下水补给来源以大气降水入渗为主，同时接收南盘江干流及支流河水渗漏补给；地下水沿岩溶管道、裂隙径流，于河谷、断裂构造带出露，以岩溶大泉、地下暗河形式排泄补给南盘江干支流，是河道基流最主要来源。汛期河水倒灌补给含水层，枯水季节地下水向河道排泄，地表水‑地下水水力转换作用十分强烈。</w:t>
      </w:r>
    </w:p>
    <w:p w14:paraId="60B5E6DB">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基岩裂隙水：分布碎屑岩、玄武岩出露区域，富水性中等～贫乏，以分散泉点形式排泄。</w:t>
      </w:r>
    </w:p>
    <w:p w14:paraId="3D663C52">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松散岩类孔隙水：集中分布沾曲坝、陆良坝、罗平坝等断陷冲洪积盆地，赋存于阶地、河漫滩砂砾石层，地下水位受河水位涨落直接控制。</w:t>
      </w:r>
    </w:p>
    <w:p w14:paraId="08766293">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流域地下水水化学类型以HCO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‑Ca、HCO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‑Ca·Mg为主；富源、沾益、麒麟煤矿集中开采区，受历史矿坑排水影响，局部地段地下水硫酸根离子、总硬度偏高，水化学类型向SO</w:t>
      </w:r>
      <w:r>
        <w:rPr>
          <w:rFonts w:hint="default" w:ascii="Times New Roman" w:hAnsi="Times New Roman" w:cs="Times New Roman"/>
          <w:color w:val="auto"/>
          <w:highlight w:val="none"/>
          <w:vertAlign w:val="subscript"/>
        </w:rPr>
        <w:t>4</w:t>
      </w:r>
      <w:r>
        <w:rPr>
          <w:rFonts w:hint="default" w:ascii="Times New Roman" w:hAnsi="Times New Roman" w:cs="Times New Roman"/>
          <w:color w:val="auto"/>
          <w:highlight w:val="none"/>
        </w:rPr>
        <w:t>·HCO</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‑Ca转变。</w:t>
      </w:r>
    </w:p>
    <w:p w14:paraId="11DA098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地下水资源量</w:t>
      </w:r>
    </w:p>
    <w:p w14:paraId="72189750">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曲靖市水资源总量为169.6亿m³，其中地下水资源为35.8亿m³，占全省总量的6%。尽管曲靖市拥有丰富的水资源，但由于水资源时空分布不均、水利基础设施薄弱等因素，全市的水资源开发利用率仅为14%。</w:t>
      </w:r>
      <w:bookmarkStart w:id="72" w:name="OLE_LINK30"/>
      <w:r>
        <w:rPr>
          <w:rFonts w:hint="default" w:ascii="Times New Roman" w:hAnsi="Times New Roman" w:cs="Times New Roman"/>
          <w:color w:val="auto"/>
          <w:highlight w:val="none"/>
        </w:rPr>
        <w:t>区内水资源量较为丰富，但地下水资源开采利用率低，普遍优先利用地表水资源。</w:t>
      </w:r>
      <w:bookmarkEnd w:id="72"/>
    </w:p>
    <w:p w14:paraId="2B878F6A">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依据《南盘江（曲靖市境内）流域综合规划》，流域现状供水以地表水为主，地下水仅作为城乡供水、农村人畜饮水的辅助补充水源，现状地下水及其他工程供水量2747万 m³。流域部分乡镇农村依托岩溶大泉、龙潭地下水作为集中供水水源，分布多处地下水型集中式饮用水水源保护区。</w:t>
      </w:r>
    </w:p>
    <w:p w14:paraId="64B8AC2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地下水水质</w:t>
      </w:r>
    </w:p>
    <w:p w14:paraId="2F8248C5">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本次评价收集曲靖市南盘江流域地下水监测、集中式饮用水源地监测、规划现状调查资料，地下水执行《地下水质量标准》（GB/T14848‑2017）Ⅲ 类标准。</w:t>
      </w:r>
    </w:p>
    <w:p w14:paraId="1D2CC030">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现状评价主要依据曲靖市水资源公报、各县（区）生态环境局饮用水源监测成果、云南省第三次地下水资源评价成果、滇东岩溶矿区相关专题研究成果、曲靖市 </w:t>
      </w:r>
      <w:r>
        <w:rPr>
          <w:rFonts w:hint="default" w:ascii="Times New Roman" w:hAnsi="Times New Roman" w:cs="Times New Roman"/>
          <w:color w:val="auto"/>
          <w:highlight w:val="none"/>
          <w:lang w:eastAsia="zh-CN"/>
        </w:rPr>
        <w:t>“三线一单”生态环境分区管控</w:t>
      </w:r>
      <w:r>
        <w:rPr>
          <w:rFonts w:hint="default" w:ascii="Times New Roman" w:hAnsi="Times New Roman" w:cs="Times New Roman"/>
          <w:color w:val="auto"/>
          <w:highlight w:val="none"/>
        </w:rPr>
        <w:t>成果，以集中式饮用水源监测点、龙潭泉点、部分矿区补充监测为基础，缺少区域浅层孔隙地下水大范围系统监测数据，现状分析存在资料局限性，建议后续重大项目可研、项目环评阶段开展补充采样监测。</w:t>
      </w:r>
    </w:p>
    <w:p w14:paraId="592F3622">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流域部分乡镇、农村以岩溶大泉、龙潭作为集中式地下水饮用水源，县级、千吨万人地下水水源水质总体优良。</w:t>
      </w:r>
    </w:p>
    <w:p w14:paraId="45CD9577">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根据富源县生态环境局 2024 年集中式饮用水源地环境质量状况，富源县东堡龙潭（县级地下水备用/饮用水源），水质类别Ⅱ类，满足饮用水源要求。根据曲靖市麒麟区人民政府2024年千吨万人饮用水水源地水质监测公开信息，麒麟区角家龙潭、枧槽坝龙潭、小白水龙潭（千吨万人地下水水源）地下水水质情况如下：小白水龙潭水质类别为Ⅱ类，角家龙潭、枧槽坝龙潭水质类别为Ⅲ类，3 处地下水水源指标均达标，满足饮用水源水质要求。</w:t>
      </w:r>
    </w:p>
    <w:p w14:paraId="41A321D9">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总体上，纳入官方监测的集中式地下水饮用水水源水质总体较好，满足供水需求。</w:t>
      </w:r>
    </w:p>
    <w:p w14:paraId="7D0914C3">
      <w:pPr>
        <w:pStyle w:val="3"/>
        <w:numPr>
          <w:ilvl w:val="1"/>
          <w:numId w:val="4"/>
        </w:numPr>
        <w:spacing w:before="374" w:after="249"/>
        <w:rPr>
          <w:rFonts w:hint="default" w:ascii="Times New Roman" w:hAnsi="Times New Roman" w:eastAsia="宋体" w:cs="Times New Roman"/>
          <w:color w:val="auto"/>
          <w:highlight w:val="none"/>
        </w:rPr>
      </w:pPr>
      <w:bookmarkStart w:id="73" w:name="_Toc20106"/>
      <w:r>
        <w:rPr>
          <w:rFonts w:hint="default" w:ascii="Times New Roman" w:hAnsi="Times New Roman" w:eastAsia="宋体" w:cs="Times New Roman"/>
          <w:color w:val="auto"/>
          <w:highlight w:val="none"/>
        </w:rPr>
        <w:t>生态环境现状及评价</w:t>
      </w:r>
      <w:bookmarkEnd w:id="73"/>
    </w:p>
    <w:p w14:paraId="0BD5AE9A">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陆生生态</w:t>
      </w:r>
      <w:r>
        <w:rPr>
          <w:rFonts w:hint="default" w:ascii="Times New Roman" w:hAnsi="Times New Roman" w:eastAsia="宋体" w:cs="Times New Roman"/>
          <w:color w:val="auto"/>
          <w:highlight w:val="none"/>
          <w:lang w:val="en-US" w:eastAsia="zh-CN"/>
        </w:rPr>
        <w:t>现状与评价</w:t>
      </w:r>
    </w:p>
    <w:p w14:paraId="0DB99D49">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生态功能区划与</w:t>
      </w:r>
      <w:r>
        <w:rPr>
          <w:rFonts w:hint="default" w:ascii="Times New Roman" w:hAnsi="Times New Roman" w:eastAsia="宋体" w:cs="Times New Roman"/>
          <w:color w:val="auto"/>
          <w:kern w:val="0"/>
          <w:szCs w:val="21"/>
          <w:highlight w:val="none"/>
        </w:rPr>
        <w:t>保护方向</w:t>
      </w:r>
    </w:p>
    <w:p w14:paraId="4885F3DF">
      <w:pPr>
        <w:pStyle w:val="4"/>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highlight w:val="none"/>
          <w:lang w:val="en-US" w:eastAsia="zh-CN"/>
        </w:rPr>
        <w:t>根据《云南省生态功能区划》，</w:t>
      </w:r>
      <w:r>
        <w:rPr>
          <w:rFonts w:hint="default" w:ascii="Times New Roman" w:hAnsi="Times New Roman" w:eastAsia="宋体" w:cs="Times New Roman"/>
          <w:color w:val="auto"/>
          <w:kern w:val="0"/>
          <w:szCs w:val="21"/>
          <w:highlight w:val="none"/>
        </w:rPr>
        <w:t>依据区域生态环境敏感性、生态服务功能重要性、生态环境特征的相似性和差异性而进行的地理空间分区</w:t>
      </w:r>
      <w:r>
        <w:rPr>
          <w:rFonts w:hint="default" w:ascii="Times New Roman" w:hAnsi="Times New Roman" w:eastAsia="宋体" w:cs="Times New Roman"/>
          <w:color w:val="auto"/>
          <w:kern w:val="0"/>
          <w:szCs w:val="21"/>
          <w:highlight w:val="none"/>
          <w:lang w:eastAsia="zh-CN"/>
        </w:rPr>
        <w:t>。</w:t>
      </w:r>
      <w:r>
        <w:rPr>
          <w:rFonts w:hint="default" w:ascii="Times New Roman" w:hAnsi="Times New Roman" w:eastAsia="宋体" w:cs="Times New Roman"/>
          <w:color w:val="auto"/>
          <w:kern w:val="0"/>
          <w:szCs w:val="21"/>
          <w:highlight w:val="none"/>
        </w:rPr>
        <w:t>云南省生态功能区共分一级区（生态区）5个，二级区（生态亚区）19个，三级区（生态功能区）65个。</w:t>
      </w:r>
      <w:r>
        <w:rPr>
          <w:rFonts w:hint="default" w:ascii="Times New Roman" w:hAnsi="Times New Roman" w:eastAsia="宋体" w:cs="Times New Roman"/>
          <w:color w:val="auto"/>
          <w:kern w:val="0"/>
          <w:szCs w:val="21"/>
          <w:highlight w:val="none"/>
          <w:lang w:val="en-US" w:eastAsia="zh-CN"/>
        </w:rPr>
        <w:t>南盘江（曲靖市境内）流域涉及1个生态区，即高原亚热带北部常绿阔叶林生态区，2个生态亚区，即滇中高原谷盆半湿润常绿阔叶林、暖性针叶林生态亚区高原亚热带北部常绿阔叶林生态区，6个生态功能区，分别为：Ⅲ1-10牛栏江上游丘原盆地水源涵养生态功能区、Ⅲ1-11曲靖、陆良山原盆地城镇与农业生态功能区、Ⅲ1-12南盘江、甸溪河岩溶低山水土保持生态功能区、Ⅲ1-13南盘江、清水江下游中山河谷林业生态功能区、Ⅲ1-14富源、罗平岩溶中山水源涵养生态功能区、Ⅲ4-4牛栏江、南盘江上游岩溶山原水源涵养生态功能区。</w:t>
      </w:r>
    </w:p>
    <w:p w14:paraId="7816EA9E">
      <w:pPr>
        <w:pStyle w:val="4"/>
        <w:rPr>
          <w:rFonts w:hint="default" w:ascii="Times New Roman" w:hAnsi="Times New Roman" w:eastAsia="宋体" w:cs="Times New Roman"/>
          <w:color w:val="auto"/>
          <w:kern w:val="0"/>
          <w:szCs w:val="21"/>
          <w:highlight w:val="none"/>
          <w:lang w:val="en-US" w:eastAsia="zh-CN"/>
        </w:rPr>
      </w:pPr>
      <w:r>
        <w:rPr>
          <w:rFonts w:hint="default" w:ascii="Times New Roman" w:hAnsi="Times New Roman" w:eastAsia="宋体" w:cs="Times New Roman"/>
          <w:color w:val="auto"/>
          <w:kern w:val="0"/>
          <w:szCs w:val="21"/>
          <w:highlight w:val="none"/>
          <w:lang w:val="en-US" w:eastAsia="zh-CN"/>
        </w:rPr>
        <w:t>表3.4.1-1  南盘江（曲靖市境内）流域综合规划生态功能区划一览表</w:t>
      </w:r>
    </w:p>
    <w:tbl>
      <w:tblPr>
        <w:tblStyle w:val="22"/>
        <w:tblpPr w:leftFromText="180" w:rightFromText="180" w:vertAnchor="text" w:tblpXSpec="center" w:tblpY="1"/>
        <w:tblOverlap w:val="never"/>
        <w:tblW w:w="8291" w:type="dxa"/>
        <w:tblInd w:w="0" w:type="dxa"/>
        <w:tblLayout w:type="autofit"/>
        <w:tblCellMar>
          <w:top w:w="0" w:type="dxa"/>
          <w:left w:w="0" w:type="dxa"/>
          <w:bottom w:w="0" w:type="dxa"/>
          <w:right w:w="0" w:type="dxa"/>
        </w:tblCellMar>
      </w:tblPr>
      <w:tblGrid>
        <w:gridCol w:w="687"/>
        <w:gridCol w:w="956"/>
        <w:gridCol w:w="1173"/>
        <w:gridCol w:w="2168"/>
        <w:gridCol w:w="873"/>
        <w:gridCol w:w="927"/>
        <w:gridCol w:w="1507"/>
      </w:tblGrid>
      <w:tr w14:paraId="58C2CE28">
        <w:tblPrEx>
          <w:tblCellMar>
            <w:top w:w="0" w:type="dxa"/>
            <w:left w:w="0" w:type="dxa"/>
            <w:bottom w:w="0" w:type="dxa"/>
            <w:right w:w="0" w:type="dxa"/>
          </w:tblCellMar>
        </w:tblPrEx>
        <w:trPr>
          <w:trHeight w:val="0" w:hRule="atLeast"/>
          <w:tblHeader/>
        </w:trPr>
        <w:tc>
          <w:tcPr>
            <w:tcW w:w="2816" w:type="dxa"/>
            <w:gridSpan w:val="3"/>
            <w:tcBorders>
              <w:top w:val="single" w:color="000000" w:sz="8" w:space="0"/>
              <w:left w:val="single" w:color="000000" w:sz="8" w:space="0"/>
              <w:bottom w:val="single" w:color="000000" w:sz="8" w:space="0"/>
              <w:right w:val="single" w:color="000000" w:sz="8" w:space="0"/>
            </w:tcBorders>
            <w:shd w:val="clear" w:color="auto" w:fill="auto"/>
            <w:noWrap w:val="0"/>
            <w:vAlign w:val="center"/>
          </w:tcPr>
          <w:p w14:paraId="36D2C059">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生态功能分区单元</w:t>
            </w:r>
          </w:p>
        </w:tc>
        <w:tc>
          <w:tcPr>
            <w:tcW w:w="2168" w:type="dxa"/>
            <w:vMerge w:val="restart"/>
            <w:tcBorders>
              <w:top w:val="single" w:color="000000" w:sz="8" w:space="0"/>
              <w:left w:val="nil"/>
              <w:bottom w:val="single" w:color="000000" w:sz="8" w:space="0"/>
              <w:right w:val="single" w:color="auto" w:sz="8" w:space="0"/>
            </w:tcBorders>
            <w:shd w:val="clear" w:color="auto" w:fill="auto"/>
            <w:noWrap w:val="0"/>
            <w:tcMar>
              <w:top w:w="0" w:type="dxa"/>
              <w:left w:w="108" w:type="dxa"/>
              <w:bottom w:w="0" w:type="dxa"/>
              <w:right w:w="108" w:type="dxa"/>
            </w:tcMar>
            <w:vAlign w:val="center"/>
          </w:tcPr>
          <w:p w14:paraId="61AC5F56">
            <w:pPr>
              <w:keepNext/>
              <w:widowControl/>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color w:val="auto"/>
                <w:kern w:val="0"/>
                <w:sz w:val="18"/>
                <w:szCs w:val="18"/>
                <w:highlight w:val="none"/>
              </w:rPr>
              <w:t>主要生态特征</w:t>
            </w:r>
          </w:p>
        </w:tc>
        <w:tc>
          <w:tcPr>
            <w:tcW w:w="873" w:type="dxa"/>
            <w:vMerge w:val="restart"/>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9BFCE3C">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生态环境敏感性</w:t>
            </w:r>
          </w:p>
        </w:tc>
        <w:tc>
          <w:tcPr>
            <w:tcW w:w="927" w:type="dxa"/>
            <w:vMerge w:val="restart"/>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BEA1AD7">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主要生态系统服务功能</w:t>
            </w:r>
          </w:p>
        </w:tc>
        <w:tc>
          <w:tcPr>
            <w:tcW w:w="1507" w:type="dxa"/>
            <w:vMerge w:val="restart"/>
            <w:tcBorders>
              <w:top w:val="single" w:color="000000" w:sz="8" w:space="0"/>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3F3FF64">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保护措施与发展方向</w:t>
            </w:r>
          </w:p>
        </w:tc>
      </w:tr>
      <w:tr w14:paraId="2FD1F305">
        <w:tblPrEx>
          <w:tblCellMar>
            <w:top w:w="0" w:type="dxa"/>
            <w:left w:w="0" w:type="dxa"/>
            <w:bottom w:w="0" w:type="dxa"/>
            <w:right w:w="0" w:type="dxa"/>
          </w:tblCellMar>
        </w:tblPrEx>
        <w:trPr>
          <w:trHeight w:val="0" w:hRule="atLeast"/>
          <w:tblHeader/>
        </w:trPr>
        <w:tc>
          <w:tcPr>
            <w:tcW w:w="0" w:type="auto"/>
            <w:tcBorders>
              <w:top w:val="nil"/>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A8211B7">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生态区</w:t>
            </w:r>
          </w:p>
        </w:tc>
        <w:tc>
          <w:tcPr>
            <w:tcW w:w="956"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509197F">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生态亚区</w:t>
            </w:r>
          </w:p>
        </w:tc>
        <w:tc>
          <w:tcPr>
            <w:tcW w:w="11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EFF3DBE">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r>
              <w:rPr>
                <w:rFonts w:hint="default" w:ascii="Times New Roman" w:hAnsi="Times New Roman" w:eastAsia="宋体" w:cs="Times New Roman"/>
                <w:b/>
                <w:snapToGrid w:val="0"/>
                <w:color w:val="auto"/>
                <w:kern w:val="0"/>
                <w:sz w:val="18"/>
                <w:szCs w:val="18"/>
                <w:highlight w:val="none"/>
              </w:rPr>
              <w:t>生态功能区</w:t>
            </w:r>
          </w:p>
        </w:tc>
        <w:tc>
          <w:tcPr>
            <w:tcW w:w="2168" w:type="dxa"/>
            <w:vMerge w:val="continue"/>
            <w:tcBorders>
              <w:top w:val="single" w:color="000000" w:sz="8" w:space="0"/>
              <w:left w:val="nil"/>
              <w:bottom w:val="single" w:color="000000" w:sz="8" w:space="0"/>
              <w:right w:val="single" w:color="auto" w:sz="8" w:space="0"/>
            </w:tcBorders>
            <w:noWrap w:val="0"/>
            <w:vAlign w:val="center"/>
          </w:tcPr>
          <w:p w14:paraId="534DCAF4">
            <w:pPr>
              <w:keepNext/>
              <w:widowControl/>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p>
        </w:tc>
        <w:tc>
          <w:tcPr>
            <w:tcW w:w="873" w:type="dxa"/>
            <w:vMerge w:val="continue"/>
            <w:tcBorders>
              <w:top w:val="single" w:color="000000" w:sz="8" w:space="0"/>
              <w:left w:val="nil"/>
              <w:bottom w:val="single" w:color="000000" w:sz="8" w:space="0"/>
              <w:right w:val="single" w:color="000000" w:sz="8" w:space="0"/>
            </w:tcBorders>
            <w:noWrap w:val="0"/>
            <w:vAlign w:val="center"/>
          </w:tcPr>
          <w:p w14:paraId="0D0236EA">
            <w:pPr>
              <w:keepNext/>
              <w:widowControl/>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p>
        </w:tc>
        <w:tc>
          <w:tcPr>
            <w:tcW w:w="927" w:type="dxa"/>
            <w:vMerge w:val="continue"/>
            <w:tcBorders>
              <w:top w:val="single" w:color="000000" w:sz="8" w:space="0"/>
              <w:left w:val="nil"/>
              <w:bottom w:val="single" w:color="000000" w:sz="8" w:space="0"/>
              <w:right w:val="single" w:color="000000" w:sz="8" w:space="0"/>
            </w:tcBorders>
            <w:noWrap w:val="0"/>
            <w:vAlign w:val="center"/>
          </w:tcPr>
          <w:p w14:paraId="04B7EB66">
            <w:pPr>
              <w:keepNext/>
              <w:widowControl/>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p>
        </w:tc>
        <w:tc>
          <w:tcPr>
            <w:tcW w:w="1507" w:type="dxa"/>
            <w:vMerge w:val="continue"/>
            <w:tcBorders>
              <w:top w:val="single" w:color="000000" w:sz="8" w:space="0"/>
              <w:left w:val="nil"/>
              <w:bottom w:val="single" w:color="000000" w:sz="8" w:space="0"/>
              <w:right w:val="single" w:color="000000" w:sz="8" w:space="0"/>
            </w:tcBorders>
            <w:noWrap w:val="0"/>
            <w:vAlign w:val="center"/>
          </w:tcPr>
          <w:p w14:paraId="72E3A3E9">
            <w:pPr>
              <w:keepNext/>
              <w:widowControl/>
              <w:snapToGrid w:val="0"/>
              <w:spacing w:line="240" w:lineRule="auto"/>
              <w:ind w:left="0" w:leftChars="0" w:right="0" w:rightChars="0" w:firstLine="0" w:firstLineChars="0"/>
              <w:jc w:val="center"/>
              <w:rPr>
                <w:rFonts w:hint="default" w:ascii="Times New Roman" w:hAnsi="Times New Roman" w:eastAsia="宋体" w:cs="Times New Roman"/>
                <w:b/>
                <w:color w:val="auto"/>
                <w:kern w:val="0"/>
                <w:sz w:val="18"/>
                <w:szCs w:val="18"/>
                <w:highlight w:val="none"/>
              </w:rPr>
            </w:pPr>
          </w:p>
        </w:tc>
      </w:tr>
      <w:tr w14:paraId="7BF6306E">
        <w:tblPrEx>
          <w:tblCellMar>
            <w:top w:w="0" w:type="dxa"/>
            <w:left w:w="0" w:type="dxa"/>
            <w:bottom w:w="0" w:type="dxa"/>
            <w:right w:w="0" w:type="dxa"/>
          </w:tblCellMar>
        </w:tblPrEx>
        <w:trPr>
          <w:trHeight w:val="0" w:hRule="atLeast"/>
        </w:trPr>
        <w:tc>
          <w:tcPr>
            <w:tcW w:w="0" w:type="auto"/>
            <w:vMerge w:val="restart"/>
            <w:tcBorders>
              <w:top w:val="nil"/>
              <w:left w:val="single" w:color="000000" w:sz="8" w:space="0"/>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2E77682">
            <w:pPr>
              <w:keepNext/>
              <w:widowControl/>
              <w:topLinePunct/>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w:t>
            </w:r>
            <w:bookmarkStart w:id="74" w:name="OLE_LINK32"/>
            <w:bookmarkStart w:id="75" w:name="OLE_LINK31"/>
            <w:bookmarkStart w:id="76" w:name="OLE_LINK33"/>
            <w:r>
              <w:rPr>
                <w:rFonts w:hint="default" w:ascii="Times New Roman" w:hAnsi="Times New Roman" w:eastAsia="宋体" w:cs="Times New Roman"/>
                <w:snapToGrid w:val="0"/>
                <w:color w:val="auto"/>
                <w:kern w:val="0"/>
                <w:sz w:val="18"/>
                <w:szCs w:val="18"/>
                <w:highlight w:val="none"/>
              </w:rPr>
              <w:t>高原亚热带北部常绿阔叶林</w:t>
            </w:r>
            <w:bookmarkEnd w:id="74"/>
            <w:bookmarkEnd w:id="75"/>
            <w:r>
              <w:rPr>
                <w:rFonts w:hint="default" w:ascii="Times New Roman" w:hAnsi="Times New Roman" w:eastAsia="宋体" w:cs="Times New Roman"/>
                <w:snapToGrid w:val="0"/>
                <w:color w:val="auto"/>
                <w:kern w:val="0"/>
                <w:sz w:val="18"/>
                <w:szCs w:val="18"/>
                <w:highlight w:val="none"/>
              </w:rPr>
              <w:t>生态区</w:t>
            </w:r>
            <w:bookmarkEnd w:id="76"/>
          </w:p>
        </w:tc>
        <w:tc>
          <w:tcPr>
            <w:tcW w:w="956" w:type="dxa"/>
            <w:vMerge w:val="restart"/>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FBC398F">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 滇中高原谷盆半湿润常绿阔叶林、暖性针叶林生态亚区</w:t>
            </w:r>
          </w:p>
          <w:p w14:paraId="30308C7A">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 </w:t>
            </w:r>
          </w:p>
        </w:tc>
        <w:tc>
          <w:tcPr>
            <w:tcW w:w="11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210EBBD">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Ⅲ1-10牛栏江上游丘原盆地水源涵养生态功能区</w:t>
            </w:r>
          </w:p>
        </w:tc>
        <w:tc>
          <w:tcPr>
            <w:tcW w:w="2168"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1B9B99F">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rPr>
              <w:t xml:space="preserve">以石灰岩丘原盆地地貌为主。降雨量1000-1200 </w:t>
            </w:r>
            <w:r>
              <w:rPr>
                <w:rFonts w:hint="default" w:ascii="Times New Roman" w:hAnsi="Times New Roman" w:cs="Times New Roman"/>
                <w:color w:val="auto"/>
                <w:kern w:val="0"/>
                <w:sz w:val="18"/>
                <w:szCs w:val="18"/>
                <w:highlight w:val="none"/>
                <w:lang w:val="en-US" w:eastAsia="zh-CN"/>
              </w:rPr>
              <w:t>mm</w:t>
            </w:r>
            <w:r>
              <w:rPr>
                <w:rFonts w:hint="default" w:ascii="Times New Roman" w:hAnsi="Times New Roman" w:eastAsia="宋体" w:cs="Times New Roman"/>
                <w:color w:val="auto"/>
                <w:kern w:val="0"/>
                <w:sz w:val="18"/>
                <w:szCs w:val="18"/>
                <w:highlight w:val="none"/>
              </w:rPr>
              <w:t>，植被主要为云南松林和半湿润常绿阔叶林，土壤类型主要是红壤</w:t>
            </w:r>
          </w:p>
        </w:tc>
        <w:tc>
          <w:tcPr>
            <w:tcW w:w="8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680D1BC">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石漠化高度及中度敏感</w:t>
            </w:r>
          </w:p>
        </w:tc>
        <w:tc>
          <w:tcPr>
            <w:tcW w:w="92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C564BF4">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牛栏江上游的水源涵养和生态农业建设</w:t>
            </w:r>
          </w:p>
        </w:tc>
        <w:tc>
          <w:tcPr>
            <w:tcW w:w="150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A1D19C8">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山地封山育林，提高森林覆盖</w:t>
            </w:r>
            <w:r>
              <w:rPr>
                <w:rFonts w:hint="eastAsia" w:cs="Times New Roman"/>
                <w:snapToGrid w:val="0"/>
                <w:color w:val="auto"/>
                <w:kern w:val="0"/>
                <w:sz w:val="18"/>
                <w:szCs w:val="18"/>
                <w:highlight w:val="none"/>
                <w:lang w:val="en-US" w:eastAsia="zh-CN"/>
              </w:rPr>
              <w:t>率</w:t>
            </w:r>
            <w:r>
              <w:rPr>
                <w:rFonts w:hint="default" w:ascii="Times New Roman" w:hAnsi="Times New Roman" w:eastAsia="宋体" w:cs="Times New Roman"/>
                <w:snapToGrid w:val="0"/>
                <w:color w:val="auto"/>
                <w:kern w:val="0"/>
                <w:sz w:val="18"/>
                <w:szCs w:val="18"/>
                <w:highlight w:val="none"/>
              </w:rPr>
              <w:t>，谷盆地区调整农业结构，推行清洁生产，保护农田生态环境，防止区域石漠化</w:t>
            </w:r>
          </w:p>
        </w:tc>
      </w:tr>
      <w:tr w14:paraId="2E414E23">
        <w:tblPrEx>
          <w:tblCellMar>
            <w:top w:w="0" w:type="dxa"/>
            <w:left w:w="0" w:type="dxa"/>
            <w:bottom w:w="0" w:type="dxa"/>
            <w:right w:w="0" w:type="dxa"/>
          </w:tblCellMar>
        </w:tblPrEx>
        <w:trPr>
          <w:trHeight w:val="0"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0"/>
            <w:vAlign w:val="center"/>
          </w:tcPr>
          <w:p w14:paraId="2DFBC948">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956" w:type="dxa"/>
            <w:vMerge w:val="continue"/>
            <w:tcBorders>
              <w:top w:val="nil"/>
              <w:left w:val="nil"/>
              <w:bottom w:val="single" w:color="000000" w:sz="8" w:space="0"/>
              <w:right w:val="single" w:color="000000" w:sz="8" w:space="0"/>
            </w:tcBorders>
            <w:shd w:val="clear" w:color="auto" w:fill="auto"/>
            <w:noWrap w:val="0"/>
            <w:vAlign w:val="center"/>
          </w:tcPr>
          <w:p w14:paraId="4E809A27">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p>
        </w:tc>
        <w:tc>
          <w:tcPr>
            <w:tcW w:w="11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7C2D49B">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Ⅲ1-11曲靖、陆良山原盆地城镇与农业生态功能区</w:t>
            </w:r>
          </w:p>
        </w:tc>
        <w:tc>
          <w:tcPr>
            <w:tcW w:w="2168"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741DEF2">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以石灰岩盆地地貌为主，降雨量900</w:t>
            </w:r>
            <w:r>
              <w:rPr>
                <w:rFonts w:hint="default" w:ascii="Times New Roman" w:hAnsi="Times New Roman" w:cs="Times New Roman"/>
                <w:color w:val="auto"/>
                <w:kern w:val="0"/>
                <w:sz w:val="18"/>
                <w:szCs w:val="18"/>
                <w:highlight w:val="none"/>
                <w:lang w:eastAsia="zh-CN"/>
              </w:rPr>
              <w:t>—</w:t>
            </w:r>
            <w:r>
              <w:rPr>
                <w:rFonts w:hint="default" w:ascii="Times New Roman" w:hAnsi="Times New Roman" w:eastAsia="宋体" w:cs="Times New Roman"/>
                <w:color w:val="auto"/>
                <w:kern w:val="0"/>
                <w:sz w:val="18"/>
                <w:szCs w:val="18"/>
                <w:highlight w:val="none"/>
              </w:rPr>
              <w:t>1000</w:t>
            </w:r>
            <w:r>
              <w:rPr>
                <w:rFonts w:hint="default" w:ascii="Times New Roman" w:hAnsi="Times New Roman" w:cs="Times New Roman"/>
                <w:color w:val="auto"/>
                <w:kern w:val="0"/>
                <w:sz w:val="18"/>
                <w:szCs w:val="18"/>
                <w:highlight w:val="none"/>
                <w:lang w:val="en-US" w:eastAsia="zh-CN"/>
              </w:rPr>
              <w:t>mm</w:t>
            </w:r>
            <w:r>
              <w:rPr>
                <w:rFonts w:hint="default" w:ascii="Times New Roman" w:hAnsi="Times New Roman" w:eastAsia="宋体" w:cs="Times New Roman"/>
                <w:color w:val="auto"/>
                <w:kern w:val="0"/>
                <w:sz w:val="18"/>
                <w:szCs w:val="18"/>
                <w:highlight w:val="none"/>
              </w:rPr>
              <w:t>。地带性植被为半湿润常绿阔叶，现存植被主要为云南松林，土壤以红壤为主</w:t>
            </w:r>
          </w:p>
        </w:tc>
        <w:tc>
          <w:tcPr>
            <w:tcW w:w="8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542FED8">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石漠化高中度敏感</w:t>
            </w:r>
          </w:p>
        </w:tc>
        <w:tc>
          <w:tcPr>
            <w:tcW w:w="92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3BBE952E">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以岩溶地貌为主的生态旅游和以粮食生产为主的生态农业</w:t>
            </w:r>
          </w:p>
        </w:tc>
        <w:tc>
          <w:tcPr>
            <w:tcW w:w="150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880F6B0">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开展生态旅游，合理利用土地，推行清洁生产，改善森林的数量，保护岩溶地貌环境和农田生态环境，防止石漠化</w:t>
            </w:r>
          </w:p>
        </w:tc>
      </w:tr>
      <w:tr w14:paraId="358014CD">
        <w:tblPrEx>
          <w:tblCellMar>
            <w:top w:w="0" w:type="dxa"/>
            <w:left w:w="0" w:type="dxa"/>
            <w:bottom w:w="0" w:type="dxa"/>
            <w:right w:w="0" w:type="dxa"/>
          </w:tblCellMar>
        </w:tblPrEx>
        <w:trPr>
          <w:trHeight w:val="0"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0"/>
            <w:vAlign w:val="center"/>
          </w:tcPr>
          <w:p w14:paraId="6469639D">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956" w:type="dxa"/>
            <w:vMerge w:val="continue"/>
            <w:tcBorders>
              <w:top w:val="nil"/>
              <w:left w:val="nil"/>
              <w:bottom w:val="single" w:color="000000" w:sz="8" w:space="0"/>
              <w:right w:val="single" w:color="000000" w:sz="8" w:space="0"/>
            </w:tcBorders>
            <w:shd w:val="clear" w:color="auto" w:fill="auto"/>
            <w:noWrap w:val="0"/>
            <w:vAlign w:val="center"/>
          </w:tcPr>
          <w:p w14:paraId="6BF10D6A">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p>
        </w:tc>
        <w:tc>
          <w:tcPr>
            <w:tcW w:w="11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1A25A03">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Ⅲ1-12南盘江、甸溪河岩溶低山水土保持生态功能区</w:t>
            </w:r>
          </w:p>
        </w:tc>
        <w:tc>
          <w:tcPr>
            <w:tcW w:w="2168"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BBD074F">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以石灰岩低山丘陵地貌为主。大部分地区年降雨量1000</w:t>
            </w:r>
            <w:r>
              <w:rPr>
                <w:rFonts w:hint="default" w:ascii="Times New Roman" w:hAnsi="Times New Roman" w:cs="Times New Roman"/>
                <w:color w:val="auto"/>
                <w:kern w:val="0"/>
                <w:sz w:val="18"/>
                <w:szCs w:val="18"/>
                <w:highlight w:val="none"/>
                <w:lang w:eastAsia="zh-CN"/>
              </w:rPr>
              <w:t>—</w:t>
            </w:r>
            <w:r>
              <w:rPr>
                <w:rFonts w:hint="default" w:ascii="Times New Roman" w:hAnsi="Times New Roman" w:eastAsia="宋体" w:cs="Times New Roman"/>
                <w:color w:val="auto"/>
                <w:kern w:val="0"/>
                <w:sz w:val="18"/>
                <w:szCs w:val="18"/>
                <w:highlight w:val="none"/>
              </w:rPr>
              <w:t>1200</w:t>
            </w:r>
            <w:r>
              <w:rPr>
                <w:rFonts w:hint="default" w:ascii="Times New Roman" w:hAnsi="Times New Roman" w:cs="Times New Roman"/>
                <w:color w:val="auto"/>
                <w:kern w:val="0"/>
                <w:sz w:val="18"/>
                <w:szCs w:val="18"/>
                <w:highlight w:val="none"/>
                <w:lang w:val="en-US" w:eastAsia="zh-CN"/>
              </w:rPr>
              <w:t>mm，</w:t>
            </w:r>
            <w:r>
              <w:rPr>
                <w:rFonts w:hint="default" w:ascii="Times New Roman" w:hAnsi="Times New Roman" w:eastAsia="宋体" w:cs="Times New Roman"/>
                <w:color w:val="auto"/>
                <w:kern w:val="0"/>
                <w:sz w:val="18"/>
                <w:szCs w:val="18"/>
                <w:highlight w:val="none"/>
              </w:rPr>
              <w:t xml:space="preserve"> 东部局部地区达到1500</w:t>
            </w:r>
            <w:r>
              <w:rPr>
                <w:rFonts w:hint="default" w:ascii="Times New Roman" w:hAnsi="Times New Roman" w:cs="Times New Roman"/>
                <w:color w:val="auto"/>
                <w:kern w:val="0"/>
                <w:sz w:val="18"/>
                <w:szCs w:val="18"/>
                <w:highlight w:val="none"/>
                <w:lang w:eastAsia="zh-CN"/>
              </w:rPr>
              <w:t>—</w:t>
            </w:r>
            <w:r>
              <w:rPr>
                <w:rFonts w:hint="default" w:ascii="Times New Roman" w:hAnsi="Times New Roman" w:eastAsia="宋体" w:cs="Times New Roman"/>
                <w:color w:val="auto"/>
                <w:kern w:val="0"/>
                <w:sz w:val="18"/>
                <w:szCs w:val="18"/>
                <w:highlight w:val="none"/>
              </w:rPr>
              <w:t>2000</w:t>
            </w:r>
            <w:r>
              <w:rPr>
                <w:rFonts w:hint="default" w:ascii="Times New Roman" w:hAnsi="Times New Roman" w:cs="Times New Roman"/>
                <w:color w:val="auto"/>
                <w:kern w:val="0"/>
                <w:sz w:val="18"/>
                <w:szCs w:val="18"/>
                <w:highlight w:val="none"/>
                <w:lang w:val="en-US" w:eastAsia="zh-CN"/>
              </w:rPr>
              <w:t>mm</w:t>
            </w:r>
            <w:r>
              <w:rPr>
                <w:rFonts w:hint="default" w:ascii="Times New Roman" w:hAnsi="Times New Roman" w:eastAsia="宋体" w:cs="Times New Roman"/>
                <w:color w:val="auto"/>
                <w:kern w:val="0"/>
                <w:sz w:val="18"/>
                <w:szCs w:val="18"/>
                <w:highlight w:val="none"/>
              </w:rPr>
              <w:t>。主要属南盘江水系。主要植被类型为云南松林和灌木林。土壤类型主要是黄红壤和石灰土</w:t>
            </w:r>
          </w:p>
        </w:tc>
        <w:tc>
          <w:tcPr>
            <w:tcW w:w="8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3F410EC">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石漠化高中度敏感</w:t>
            </w:r>
          </w:p>
        </w:tc>
        <w:tc>
          <w:tcPr>
            <w:tcW w:w="92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71407D59">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岩溶地区的生态农业建设</w:t>
            </w:r>
          </w:p>
        </w:tc>
        <w:tc>
          <w:tcPr>
            <w:tcW w:w="150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4B524CCF">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发展以亚热带经济林木为主的生态林业，降低土地利用强度，开展多种经营和清洁生产，防止石漠化</w:t>
            </w:r>
          </w:p>
        </w:tc>
      </w:tr>
      <w:tr w14:paraId="0462789F">
        <w:tblPrEx>
          <w:tblCellMar>
            <w:top w:w="0" w:type="dxa"/>
            <w:left w:w="0" w:type="dxa"/>
            <w:bottom w:w="0" w:type="dxa"/>
            <w:right w:w="0" w:type="dxa"/>
          </w:tblCellMar>
        </w:tblPrEx>
        <w:trPr>
          <w:trHeight w:val="0"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0"/>
            <w:vAlign w:val="center"/>
          </w:tcPr>
          <w:p w14:paraId="69C18026">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956" w:type="dxa"/>
            <w:vMerge w:val="continue"/>
            <w:tcBorders>
              <w:top w:val="nil"/>
              <w:left w:val="nil"/>
              <w:bottom w:val="single" w:color="000000" w:sz="8" w:space="0"/>
              <w:right w:val="single" w:color="000000" w:sz="8" w:space="0"/>
            </w:tcBorders>
            <w:shd w:val="clear" w:color="auto" w:fill="auto"/>
            <w:noWrap w:val="0"/>
            <w:vAlign w:val="center"/>
          </w:tcPr>
          <w:p w14:paraId="527E7A1A">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p>
        </w:tc>
        <w:tc>
          <w:tcPr>
            <w:tcW w:w="11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0200D759">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Ⅲ1-13南盘江、清水江下游中山河谷林业生态功能区</w:t>
            </w:r>
          </w:p>
        </w:tc>
        <w:tc>
          <w:tcPr>
            <w:tcW w:w="2168"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CA55827">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以中山河谷地貌为主。年降雨量为1200</w:t>
            </w:r>
            <w:r>
              <w:rPr>
                <w:rFonts w:hint="default" w:ascii="Times New Roman" w:hAnsi="Times New Roman" w:cs="Times New Roman"/>
                <w:color w:val="auto"/>
                <w:kern w:val="0"/>
                <w:sz w:val="18"/>
                <w:szCs w:val="18"/>
                <w:highlight w:val="none"/>
                <w:lang w:eastAsia="zh-CN"/>
              </w:rPr>
              <w:t>—</w:t>
            </w:r>
            <w:r>
              <w:rPr>
                <w:rFonts w:hint="default" w:ascii="Times New Roman" w:hAnsi="Times New Roman" w:eastAsia="宋体" w:cs="Times New Roman"/>
                <w:color w:val="auto"/>
                <w:kern w:val="0"/>
                <w:sz w:val="18"/>
                <w:szCs w:val="18"/>
                <w:highlight w:val="none"/>
              </w:rPr>
              <w:t>1500</w:t>
            </w:r>
            <w:r>
              <w:rPr>
                <w:rFonts w:hint="default" w:ascii="Times New Roman" w:hAnsi="Times New Roman" w:cs="Times New Roman"/>
                <w:color w:val="auto"/>
                <w:kern w:val="0"/>
                <w:sz w:val="18"/>
                <w:szCs w:val="18"/>
                <w:highlight w:val="none"/>
                <w:lang w:val="en-US" w:eastAsia="zh-CN"/>
              </w:rPr>
              <w:t>mm</w:t>
            </w:r>
            <w:r>
              <w:rPr>
                <w:rFonts w:hint="default" w:ascii="Times New Roman" w:hAnsi="Times New Roman" w:eastAsia="宋体" w:cs="Times New Roman"/>
                <w:color w:val="auto"/>
                <w:kern w:val="0"/>
                <w:sz w:val="18"/>
                <w:szCs w:val="18"/>
                <w:highlight w:val="none"/>
              </w:rPr>
              <w:t>，主要植被类型是云南松林，在低海拔河谷地带分布有季风常绿阔叶林。土壤以黄红壤黄壤和石灰土为主</w:t>
            </w:r>
          </w:p>
        </w:tc>
        <w:tc>
          <w:tcPr>
            <w:tcW w:w="8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2CCF2C4">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土壤侵蚀中、高度敏感</w:t>
            </w:r>
          </w:p>
        </w:tc>
        <w:tc>
          <w:tcPr>
            <w:tcW w:w="92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5A52308">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南盘江、清水江下游的水土保持</w:t>
            </w:r>
          </w:p>
        </w:tc>
        <w:tc>
          <w:tcPr>
            <w:tcW w:w="150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4979B44">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严格封山育林，发展经济林木，改变农田耕作方式，调整农业结构，提高森林质量，严防水土流失</w:t>
            </w:r>
          </w:p>
        </w:tc>
      </w:tr>
      <w:tr w14:paraId="75B12CE4">
        <w:tblPrEx>
          <w:tblCellMar>
            <w:top w:w="0" w:type="dxa"/>
            <w:left w:w="0" w:type="dxa"/>
            <w:bottom w:w="0" w:type="dxa"/>
            <w:right w:w="0" w:type="dxa"/>
          </w:tblCellMar>
        </w:tblPrEx>
        <w:trPr>
          <w:trHeight w:val="0"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0"/>
            <w:vAlign w:val="center"/>
          </w:tcPr>
          <w:p w14:paraId="5AF68764">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956" w:type="dxa"/>
            <w:vMerge w:val="continue"/>
            <w:tcBorders>
              <w:top w:val="nil"/>
              <w:left w:val="nil"/>
              <w:bottom w:val="single" w:color="000000" w:sz="8" w:space="0"/>
              <w:right w:val="single" w:color="000000" w:sz="8" w:space="0"/>
            </w:tcBorders>
            <w:shd w:val="clear" w:color="auto" w:fill="auto"/>
            <w:noWrap w:val="0"/>
            <w:vAlign w:val="center"/>
          </w:tcPr>
          <w:p w14:paraId="430945DA">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p>
        </w:tc>
        <w:tc>
          <w:tcPr>
            <w:tcW w:w="11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5990A80">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Ⅲ1-14富源、罗平岩溶中山水源涵养生态功能区</w:t>
            </w:r>
          </w:p>
        </w:tc>
        <w:tc>
          <w:tcPr>
            <w:tcW w:w="2168"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010C7C6">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以岩溶中山地貌为主。大部分地区年降雨量1500</w:t>
            </w:r>
            <w:r>
              <w:rPr>
                <w:rFonts w:hint="default" w:ascii="Times New Roman" w:hAnsi="Times New Roman" w:cs="Times New Roman"/>
                <w:color w:val="auto"/>
                <w:kern w:val="0"/>
                <w:sz w:val="18"/>
                <w:szCs w:val="18"/>
                <w:highlight w:val="none"/>
                <w:lang w:eastAsia="zh-CN"/>
              </w:rPr>
              <w:t>—</w:t>
            </w:r>
            <w:r>
              <w:rPr>
                <w:rFonts w:hint="default" w:ascii="Times New Roman" w:hAnsi="Times New Roman" w:eastAsia="宋体" w:cs="Times New Roman"/>
                <w:color w:val="auto"/>
                <w:kern w:val="0"/>
                <w:sz w:val="18"/>
                <w:szCs w:val="18"/>
                <w:highlight w:val="none"/>
              </w:rPr>
              <w:t>2000</w:t>
            </w:r>
            <w:r>
              <w:rPr>
                <w:rFonts w:hint="default" w:ascii="Times New Roman" w:hAnsi="Times New Roman" w:cs="Times New Roman"/>
                <w:color w:val="auto"/>
                <w:kern w:val="0"/>
                <w:sz w:val="18"/>
                <w:szCs w:val="18"/>
                <w:highlight w:val="none"/>
                <w:lang w:val="en-US" w:eastAsia="zh-CN"/>
              </w:rPr>
              <w:t>mm</w:t>
            </w:r>
            <w:r>
              <w:rPr>
                <w:rFonts w:hint="default" w:ascii="Times New Roman" w:hAnsi="Times New Roman" w:eastAsia="宋体" w:cs="Times New Roman"/>
                <w:color w:val="auto"/>
                <w:kern w:val="0"/>
                <w:sz w:val="18"/>
                <w:szCs w:val="18"/>
                <w:highlight w:val="none"/>
              </w:rPr>
              <w:t>，主要植被类型是云南松林，土壤以黄壤和黄棕壤为主</w:t>
            </w:r>
          </w:p>
        </w:tc>
        <w:tc>
          <w:tcPr>
            <w:tcW w:w="8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F67D68E">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石漠化中度敏感</w:t>
            </w:r>
          </w:p>
        </w:tc>
        <w:tc>
          <w:tcPr>
            <w:tcW w:w="92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19D86E1">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云南东部岩溶中山的水源涵养</w:t>
            </w:r>
          </w:p>
        </w:tc>
        <w:tc>
          <w:tcPr>
            <w:tcW w:w="150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2EF77B03">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严格执行封山育林、人工造林和退耕还林；做好煤矿开采的生态恢复，提高区域的水源涵养效益</w:t>
            </w:r>
          </w:p>
        </w:tc>
      </w:tr>
      <w:tr w14:paraId="31647DA8">
        <w:tblPrEx>
          <w:tblCellMar>
            <w:top w:w="0" w:type="dxa"/>
            <w:left w:w="0" w:type="dxa"/>
            <w:bottom w:w="0" w:type="dxa"/>
            <w:right w:w="0" w:type="dxa"/>
          </w:tblCellMar>
        </w:tblPrEx>
        <w:trPr>
          <w:trHeight w:val="0" w:hRule="atLeast"/>
        </w:trPr>
        <w:tc>
          <w:tcPr>
            <w:tcW w:w="0" w:type="auto"/>
            <w:vMerge w:val="continue"/>
            <w:tcBorders>
              <w:top w:val="nil"/>
              <w:left w:val="single" w:color="000000" w:sz="8" w:space="0"/>
              <w:bottom w:val="single" w:color="000000" w:sz="8" w:space="0"/>
              <w:right w:val="single" w:color="000000" w:sz="8" w:space="0"/>
            </w:tcBorders>
            <w:shd w:val="clear" w:color="auto" w:fill="auto"/>
            <w:noWrap w:val="0"/>
            <w:vAlign w:val="center"/>
          </w:tcPr>
          <w:p w14:paraId="5F326797">
            <w:pPr>
              <w:keepNext/>
              <w:widowControl/>
              <w:snapToGrid w:val="0"/>
              <w:spacing w:line="240" w:lineRule="auto"/>
              <w:ind w:left="0" w:leftChars="0" w:right="0" w:rightChars="0" w:firstLine="0" w:firstLineChars="0"/>
              <w:jc w:val="center"/>
              <w:rPr>
                <w:rFonts w:hint="default" w:ascii="Times New Roman" w:hAnsi="Times New Roman" w:eastAsia="宋体" w:cs="Times New Roman"/>
                <w:color w:val="auto"/>
                <w:kern w:val="0"/>
                <w:sz w:val="18"/>
                <w:szCs w:val="18"/>
                <w:highlight w:val="none"/>
              </w:rPr>
            </w:pPr>
          </w:p>
        </w:tc>
        <w:tc>
          <w:tcPr>
            <w:tcW w:w="956"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54D4AF0">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snapToGrid w:val="0"/>
                <w:color w:val="auto"/>
                <w:kern w:val="0"/>
                <w:sz w:val="18"/>
                <w:szCs w:val="18"/>
                <w:highlight w:val="none"/>
              </w:rPr>
              <w:t>Ⅲ4高原亚热带北部常绿阔叶林生态区</w:t>
            </w:r>
          </w:p>
          <w:p w14:paraId="45A3C359">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rPr>
            </w:pPr>
            <w:r>
              <w:rPr>
                <w:rFonts w:hint="default" w:ascii="Times New Roman" w:hAnsi="Times New Roman" w:eastAsia="宋体" w:cs="Times New Roman"/>
                <w:color w:val="auto"/>
                <w:kern w:val="0"/>
                <w:sz w:val="18"/>
                <w:szCs w:val="18"/>
                <w:highlight w:val="none"/>
              </w:rPr>
              <w:t> </w:t>
            </w:r>
          </w:p>
        </w:tc>
        <w:tc>
          <w:tcPr>
            <w:tcW w:w="11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A22EB01">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Ⅲ4-4牛栏江、南盘江上游岩溶山原水源涵养生态功能区</w:t>
            </w:r>
          </w:p>
        </w:tc>
        <w:tc>
          <w:tcPr>
            <w:tcW w:w="2168"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197A5CAF">
            <w:pPr>
              <w:keepNext/>
              <w:widowControl/>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color w:val="auto"/>
                <w:kern w:val="0"/>
                <w:sz w:val="18"/>
                <w:szCs w:val="18"/>
                <w:highlight w:val="none"/>
              </w:rPr>
              <w:t>地貌以石灰岩山原为主，大部分地区的年降雨量在1000</w:t>
            </w:r>
            <w:r>
              <w:rPr>
                <w:rFonts w:hint="default" w:ascii="Times New Roman" w:hAnsi="Times New Roman" w:cs="Times New Roman"/>
                <w:color w:val="auto"/>
                <w:kern w:val="0"/>
                <w:sz w:val="18"/>
                <w:szCs w:val="18"/>
                <w:highlight w:val="none"/>
                <w:lang w:eastAsia="zh-CN"/>
              </w:rPr>
              <w:t>—</w:t>
            </w:r>
            <w:r>
              <w:rPr>
                <w:rFonts w:hint="default" w:ascii="Times New Roman" w:hAnsi="Times New Roman" w:eastAsia="宋体" w:cs="Times New Roman"/>
                <w:color w:val="auto"/>
                <w:kern w:val="0"/>
                <w:sz w:val="18"/>
                <w:szCs w:val="18"/>
                <w:highlight w:val="none"/>
              </w:rPr>
              <w:t>1200</w:t>
            </w:r>
            <w:r>
              <w:rPr>
                <w:rFonts w:hint="default" w:ascii="Times New Roman" w:hAnsi="Times New Roman" w:cs="Times New Roman"/>
                <w:color w:val="auto"/>
                <w:kern w:val="0"/>
                <w:sz w:val="18"/>
                <w:szCs w:val="18"/>
                <w:highlight w:val="none"/>
                <w:lang w:val="en-US" w:eastAsia="zh-CN"/>
              </w:rPr>
              <w:t>mm</w:t>
            </w:r>
            <w:r>
              <w:rPr>
                <w:rFonts w:hint="default" w:ascii="Times New Roman" w:hAnsi="Times New Roman" w:eastAsia="宋体" w:cs="Times New Roman"/>
                <w:color w:val="auto"/>
                <w:kern w:val="0"/>
                <w:sz w:val="18"/>
                <w:szCs w:val="18"/>
                <w:highlight w:val="none"/>
              </w:rPr>
              <w:t>，主要植被类型为云南松林，生长较差。主要土壤类型为黄棕壤和红壤</w:t>
            </w:r>
          </w:p>
        </w:tc>
        <w:tc>
          <w:tcPr>
            <w:tcW w:w="873"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F4E2B36">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石漠化高中度敏感、土壤侵蚀中度敏感</w:t>
            </w:r>
          </w:p>
        </w:tc>
        <w:tc>
          <w:tcPr>
            <w:tcW w:w="92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50D959CA">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牛栏江、南盘江上游岩溶地区的水源涵养</w:t>
            </w:r>
          </w:p>
        </w:tc>
        <w:tc>
          <w:tcPr>
            <w:tcW w:w="1507" w:type="dxa"/>
            <w:tcBorders>
              <w:top w:val="nil"/>
              <w:left w:val="nil"/>
              <w:bottom w:val="single" w:color="000000" w:sz="8" w:space="0"/>
              <w:right w:val="single" w:color="000000" w:sz="8" w:space="0"/>
            </w:tcBorders>
            <w:shd w:val="clear" w:color="auto" w:fill="auto"/>
            <w:noWrap w:val="0"/>
            <w:tcMar>
              <w:top w:w="0" w:type="dxa"/>
              <w:left w:w="108" w:type="dxa"/>
              <w:bottom w:w="0" w:type="dxa"/>
              <w:right w:w="108" w:type="dxa"/>
            </w:tcMar>
            <w:vAlign w:val="center"/>
          </w:tcPr>
          <w:p w14:paraId="65537262">
            <w:pPr>
              <w:keepNext/>
              <w:widowControl/>
              <w:topLinePunct/>
              <w:snapToGrid w:val="0"/>
              <w:spacing w:line="240" w:lineRule="auto"/>
              <w:ind w:left="0" w:leftChars="0" w:right="0" w:rightChars="0" w:firstLine="0" w:firstLineChars="0"/>
              <w:jc w:val="left"/>
              <w:rPr>
                <w:rFonts w:hint="default" w:ascii="Times New Roman" w:hAnsi="Times New Roman" w:eastAsia="宋体" w:cs="Times New Roman"/>
                <w:color w:val="auto"/>
                <w:kern w:val="0"/>
                <w:sz w:val="18"/>
                <w:szCs w:val="18"/>
                <w:highlight w:val="none"/>
                <w:lang w:val="en-US" w:eastAsia="zh-CN" w:bidi="ar-SA"/>
              </w:rPr>
            </w:pPr>
            <w:r>
              <w:rPr>
                <w:rFonts w:hint="default" w:ascii="Times New Roman" w:hAnsi="Times New Roman" w:eastAsia="宋体" w:cs="Times New Roman"/>
                <w:snapToGrid w:val="0"/>
                <w:color w:val="auto"/>
                <w:kern w:val="0"/>
                <w:sz w:val="18"/>
                <w:szCs w:val="18"/>
                <w:highlight w:val="none"/>
              </w:rPr>
              <w:t>严格退耕还林，加大封山育林的力度，调整产业结构，提高森林的数量和质量</w:t>
            </w:r>
          </w:p>
        </w:tc>
      </w:tr>
    </w:tbl>
    <w:p w14:paraId="1D7A2342">
      <w:pPr>
        <w:pStyle w:val="4"/>
        <w:rPr>
          <w:rFonts w:hint="default" w:ascii="Times New Roman" w:hAnsi="Times New Roman" w:eastAsia="宋体" w:cs="Times New Roman"/>
          <w:color w:val="auto"/>
          <w:highlight w:val="none"/>
          <w:lang w:val="en-US" w:eastAsia="zh-CN"/>
        </w:rPr>
      </w:pPr>
    </w:p>
    <w:p w14:paraId="4FEB8C6F">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植被现状</w:t>
      </w:r>
    </w:p>
    <w:p w14:paraId="57B59232">
      <w:pPr>
        <w:pStyle w:val="7"/>
        <w:numPr>
          <w:ilvl w:val="4"/>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植被分类系统</w:t>
      </w:r>
      <w:r>
        <w:rPr>
          <w:rFonts w:hint="default" w:ascii="Times New Roman" w:hAnsi="Times New Roman" w:cs="Times New Roman"/>
          <w:color w:val="auto"/>
          <w:highlight w:val="none"/>
          <w:lang w:val="en-US" w:eastAsia="zh-CN"/>
        </w:rPr>
        <w:t>及植被</w:t>
      </w:r>
      <w:r>
        <w:rPr>
          <w:rFonts w:hint="default" w:ascii="Times New Roman" w:hAnsi="Times New Roman" w:eastAsia="宋体" w:cs="Times New Roman"/>
          <w:color w:val="auto"/>
          <w:highlight w:val="none"/>
          <w:lang w:val="en-US" w:eastAsia="zh-CN"/>
        </w:rPr>
        <w:t>组成</w:t>
      </w:r>
    </w:p>
    <w:p w14:paraId="2ECECE05">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按中国植被区划，</w:t>
      </w:r>
      <w:r>
        <w:rPr>
          <w:rFonts w:hint="default" w:ascii="Times New Roman" w:hAnsi="Times New Roman" w:eastAsia="宋体" w:cs="Times New Roman"/>
          <w:color w:val="auto"/>
          <w:sz w:val="24"/>
          <w:szCs w:val="24"/>
          <w:highlight w:val="none"/>
          <w:lang w:val="en-US" w:eastAsia="zh-CN"/>
        </w:rPr>
        <w:t>评价区</w:t>
      </w:r>
      <w:r>
        <w:rPr>
          <w:rFonts w:hint="default" w:ascii="Times New Roman" w:hAnsi="Times New Roman" w:eastAsia="宋体" w:cs="Times New Roman"/>
          <w:color w:val="auto"/>
          <w:sz w:val="24"/>
          <w:szCs w:val="24"/>
          <w:highlight w:val="none"/>
        </w:rPr>
        <w:t>属亚热带常绿阔叶林区的西部（半湿润）常绿阔叶林区——中亚热带常绿阔叶林带，在云南植被区划中隶属于</w:t>
      </w:r>
      <w:r>
        <w:rPr>
          <w:rFonts w:hint="default" w:ascii="Times New Roman" w:hAnsi="Times New Roman" w:eastAsia="宋体" w:cs="Times New Roman"/>
          <w:color w:val="auto"/>
          <w:sz w:val="24"/>
          <w:szCs w:val="24"/>
          <w:highlight w:val="none"/>
          <w:lang w:val="en-US" w:eastAsia="zh-CN"/>
        </w:rPr>
        <w:t>高原亚热带北部常绿阔叶林地带——</w:t>
      </w:r>
      <w:r>
        <w:rPr>
          <w:rFonts w:hint="default" w:ascii="Times New Roman" w:hAnsi="Times New Roman" w:eastAsia="宋体" w:cs="Times New Roman"/>
          <w:color w:val="auto"/>
          <w:sz w:val="24"/>
          <w:szCs w:val="24"/>
          <w:highlight w:val="none"/>
        </w:rPr>
        <w:t>滇中、滇东高原半湿润常绿阔叶林、云南松林区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根据资料收集及现场调查，规划评价区植被可分为自然植被和人工植被，其中自然植被可划分为8个植被类型、11个植被亚型，46个群系。人工植被划分为耕地植被、园地植被和人工林植被。</w:t>
      </w:r>
      <w:r>
        <w:rPr>
          <w:rFonts w:hint="default" w:ascii="Times New Roman" w:hAnsi="Times New Roman" w:eastAsia="宋体" w:cs="Times New Roman"/>
          <w:color w:val="auto"/>
          <w:kern w:val="0"/>
          <w:szCs w:val="21"/>
          <w:highlight w:val="none"/>
          <w:lang w:val="en-US" w:eastAsia="zh-CN"/>
        </w:rPr>
        <w:t>植被分类系统如下：</w:t>
      </w:r>
    </w:p>
    <w:p w14:paraId="051D5891">
      <w:pPr>
        <w:spacing w:line="360" w:lineRule="auto"/>
        <w:ind w:firstLine="720" w:firstLineChars="3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Cs w:val="21"/>
          <w:highlight w:val="none"/>
        </w:rPr>
        <w:t>Ⅰ</w:t>
      </w:r>
      <w:r>
        <w:rPr>
          <w:rFonts w:hint="default" w:ascii="Times New Roman" w:hAnsi="Times New Roman" w:eastAsia="宋体" w:cs="Times New Roman"/>
          <w:color w:val="auto"/>
          <w:szCs w:val="21"/>
          <w:highlight w:val="none"/>
          <w:lang w:val="en-US" w:eastAsia="zh-CN"/>
        </w:rPr>
        <w:t xml:space="preserve"> </w:t>
      </w:r>
      <w:r>
        <w:rPr>
          <w:rFonts w:hint="default" w:ascii="Times New Roman" w:hAnsi="Times New Roman" w:eastAsia="宋体" w:cs="Times New Roman"/>
          <w:color w:val="auto"/>
          <w:sz w:val="24"/>
          <w:highlight w:val="none"/>
        </w:rPr>
        <w:t>常绿阔叶林Evergreen Broad</w:t>
      </w:r>
      <w:r>
        <w:rPr>
          <w:rFonts w:hint="default" w:ascii="Times New Roman" w:hAnsi="Times New Roman" w:eastAsia="宋体" w:cs="Times New Roman"/>
          <w:color w:val="auto"/>
          <w:sz w:val="24"/>
          <w:highlight w:val="none"/>
          <w:lang w:val="en-US" w:eastAsia="zh-CN"/>
        </w:rPr>
        <w:t>-</w:t>
      </w:r>
      <w:r>
        <w:rPr>
          <w:rFonts w:hint="default" w:ascii="Times New Roman" w:hAnsi="Times New Roman" w:eastAsia="宋体" w:cs="Times New Roman"/>
          <w:color w:val="auto"/>
          <w:sz w:val="24"/>
          <w:highlight w:val="none"/>
        </w:rPr>
        <w:t>leavs Forest</w:t>
      </w:r>
    </w:p>
    <w:p w14:paraId="5DFC1AA4">
      <w:pPr>
        <w:spacing w:line="360" w:lineRule="auto"/>
        <w:ind w:firstLine="1132" w:firstLineChars="47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一、半湿润常绿阔叶林 Half-wetness Evergreen Broadleavs Forest</w:t>
      </w:r>
    </w:p>
    <w:p w14:paraId="2EF066C5">
      <w:pPr>
        <w:spacing w:line="360" w:lineRule="auto"/>
        <w:ind w:firstLine="1680" w:firstLineChars="7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 黄毛青冈林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Cyclobalanopsis deavayi</w:t>
      </w:r>
      <w:r>
        <w:rPr>
          <w:rFonts w:hint="default" w:ascii="Times New Roman" w:hAnsi="Times New Roman" w:cs="Times New Roman"/>
          <w:i/>
          <w:color w:val="auto"/>
          <w:sz w:val="24"/>
          <w:highlight w:val="none"/>
          <w:lang w:eastAsia="zh-CN"/>
        </w:rPr>
        <w:t>）</w:t>
      </w:r>
    </w:p>
    <w:p w14:paraId="69E2F561">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 滇青冈林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Cyclobalanopsis</w:t>
      </w:r>
      <w:r>
        <w:rPr>
          <w:rFonts w:hint="default" w:ascii="Times New Roman" w:hAnsi="Times New Roman" w:eastAsia="宋体" w:cs="Times New Roman"/>
          <w:color w:val="auto"/>
          <w:sz w:val="24"/>
          <w:highlight w:val="none"/>
        </w:rPr>
        <w:t xml:space="preserve"> </w:t>
      </w:r>
      <w:r>
        <w:rPr>
          <w:rFonts w:hint="default" w:ascii="Times New Roman" w:hAnsi="Times New Roman" w:eastAsia="宋体" w:cs="Times New Roman"/>
          <w:i/>
          <w:iCs/>
          <w:color w:val="auto"/>
          <w:sz w:val="24"/>
          <w:highlight w:val="none"/>
        </w:rPr>
        <w:t>glaucoides</w:t>
      </w:r>
      <w:r>
        <w:rPr>
          <w:rFonts w:hint="default" w:ascii="Times New Roman" w:hAnsi="Times New Roman" w:cs="Times New Roman"/>
          <w:i/>
          <w:iCs/>
          <w:color w:val="auto"/>
          <w:sz w:val="24"/>
          <w:highlight w:val="none"/>
          <w:lang w:eastAsia="zh-CN"/>
        </w:rPr>
        <w:t>）</w:t>
      </w:r>
    </w:p>
    <w:p w14:paraId="65FD2233">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 滇石栎林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Lithocarpus dealbatus</w:t>
      </w:r>
      <w:r>
        <w:rPr>
          <w:rFonts w:hint="default" w:ascii="Times New Roman" w:hAnsi="Times New Roman" w:cs="Times New Roman"/>
          <w:i/>
          <w:color w:val="auto"/>
          <w:sz w:val="24"/>
          <w:highlight w:val="none"/>
          <w:lang w:eastAsia="zh-CN"/>
        </w:rPr>
        <w:t>）</w:t>
      </w:r>
    </w:p>
    <w:p w14:paraId="7DED20AF">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 光叶石栎林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Lithocarpus mairei</w:t>
      </w:r>
      <w:r>
        <w:rPr>
          <w:rFonts w:hint="default" w:ascii="Times New Roman" w:hAnsi="Times New Roman" w:cs="Times New Roman"/>
          <w:i/>
          <w:color w:val="auto"/>
          <w:sz w:val="24"/>
          <w:highlight w:val="none"/>
          <w:lang w:eastAsia="zh-CN"/>
        </w:rPr>
        <w:t>）</w:t>
      </w:r>
    </w:p>
    <w:p w14:paraId="449BAC43">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5 .</w:t>
      </w:r>
      <w:r>
        <w:rPr>
          <w:rFonts w:hint="default"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元江栲林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Castanopsis orthacantha</w:t>
      </w:r>
      <w:r>
        <w:rPr>
          <w:rFonts w:hint="default" w:ascii="Times New Roman" w:hAnsi="Times New Roman" w:cs="Times New Roman"/>
          <w:i/>
          <w:color w:val="auto"/>
          <w:sz w:val="24"/>
          <w:highlight w:val="none"/>
          <w:lang w:eastAsia="zh-CN"/>
        </w:rPr>
        <w:t>）</w:t>
      </w:r>
    </w:p>
    <w:p w14:paraId="70EE0A1E">
      <w:pPr>
        <w:spacing w:line="360" w:lineRule="auto"/>
        <w:ind w:firstLine="1132" w:firstLineChars="47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二、中山湿性常绿阔叶林Wetness Evergreen Broadleavs Forest</w:t>
      </w:r>
    </w:p>
    <w:p w14:paraId="757E4EBB">
      <w:pPr>
        <w:spacing w:line="360" w:lineRule="auto"/>
        <w:ind w:firstLine="1680" w:firstLineChars="7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6. 多变石栎林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Lithocarpus variolosus</w:t>
      </w:r>
      <w:r>
        <w:rPr>
          <w:rFonts w:hint="default" w:ascii="Times New Roman" w:hAnsi="Times New Roman" w:cs="Times New Roman"/>
          <w:i/>
          <w:color w:val="auto"/>
          <w:sz w:val="24"/>
          <w:highlight w:val="none"/>
          <w:lang w:eastAsia="zh-CN"/>
        </w:rPr>
        <w:t>）</w:t>
      </w:r>
    </w:p>
    <w:p w14:paraId="4B3AD580">
      <w:pPr>
        <w:spacing w:line="360" w:lineRule="auto"/>
        <w:ind w:firstLine="1680" w:firstLineChars="7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 xml:space="preserve">7. </w:t>
      </w:r>
      <w:r>
        <w:rPr>
          <w:rFonts w:hint="default" w:ascii="Times New Roman" w:hAnsi="Times New Roman" w:eastAsia="宋体" w:cs="Times New Roman"/>
          <w:color w:val="auto"/>
          <w:sz w:val="24"/>
          <w:highlight w:val="none"/>
        </w:rPr>
        <w:t xml:space="preserve">厚叶石栎林 (Form. </w:t>
      </w:r>
      <w:r>
        <w:rPr>
          <w:rFonts w:hint="default" w:ascii="Times New Roman" w:hAnsi="Times New Roman" w:eastAsia="宋体" w:cs="Times New Roman"/>
          <w:i/>
          <w:iCs/>
          <w:color w:val="auto"/>
          <w:sz w:val="24"/>
          <w:highlight w:val="none"/>
        </w:rPr>
        <w:t>Lithocarpus pachyphyllus</w:t>
      </w:r>
      <w:r>
        <w:rPr>
          <w:rFonts w:hint="default" w:ascii="Times New Roman" w:hAnsi="Times New Roman" w:eastAsia="宋体" w:cs="Times New Roman"/>
          <w:color w:val="auto"/>
          <w:sz w:val="24"/>
          <w:highlight w:val="none"/>
        </w:rPr>
        <w:t>)</w:t>
      </w:r>
    </w:p>
    <w:p w14:paraId="5CA2041C">
      <w:pPr>
        <w:spacing w:line="360" w:lineRule="auto"/>
        <w:ind w:firstLine="1680" w:firstLineChars="7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 xml:space="preserve">8. </w:t>
      </w:r>
      <w:r>
        <w:rPr>
          <w:rFonts w:hint="default" w:ascii="Times New Roman" w:hAnsi="Times New Roman" w:eastAsia="宋体" w:cs="Times New Roman"/>
          <w:color w:val="auto"/>
          <w:sz w:val="24"/>
          <w:highlight w:val="none"/>
        </w:rPr>
        <w:t xml:space="preserve">瓦山栲林 (Form. </w:t>
      </w:r>
      <w:r>
        <w:rPr>
          <w:rFonts w:hint="default" w:ascii="Times New Roman" w:hAnsi="Times New Roman" w:eastAsia="宋体" w:cs="Times New Roman"/>
          <w:i/>
          <w:iCs/>
          <w:color w:val="auto"/>
          <w:sz w:val="24"/>
          <w:highlight w:val="none"/>
        </w:rPr>
        <w:t>Castanopsis ceratacantha</w:t>
      </w:r>
      <w:r>
        <w:rPr>
          <w:rFonts w:hint="default" w:ascii="Times New Roman" w:hAnsi="Times New Roman" w:eastAsia="宋体" w:cs="Times New Roman"/>
          <w:color w:val="auto"/>
          <w:sz w:val="24"/>
          <w:highlight w:val="none"/>
        </w:rPr>
        <w:t>)</w:t>
      </w:r>
    </w:p>
    <w:p w14:paraId="3D45F5A4">
      <w:pPr>
        <w:spacing w:line="360" w:lineRule="auto"/>
        <w:ind w:firstLine="1132" w:firstLineChars="47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三、山顶苔藓矮林Mossy Dwarf Forest</w:t>
      </w:r>
    </w:p>
    <w:p w14:paraId="77D66FC4">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9</w:t>
      </w:r>
      <w:r>
        <w:rPr>
          <w:rFonts w:hint="default" w:ascii="Times New Roman" w:hAnsi="Times New Roman" w:eastAsia="宋体" w:cs="Times New Roman"/>
          <w:color w:val="auto"/>
          <w:sz w:val="24"/>
          <w:highlight w:val="none"/>
        </w:rPr>
        <w:t>. 马缨花杜鹃林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Rhododendron delavayi</w:t>
      </w:r>
      <w:r>
        <w:rPr>
          <w:rFonts w:hint="default" w:ascii="Times New Roman" w:hAnsi="Times New Roman" w:cs="Times New Roman"/>
          <w:i/>
          <w:color w:val="auto"/>
          <w:sz w:val="24"/>
          <w:highlight w:val="none"/>
          <w:lang w:eastAsia="zh-CN"/>
        </w:rPr>
        <w:t>）</w:t>
      </w:r>
    </w:p>
    <w:p w14:paraId="29857928">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10</w:t>
      </w:r>
      <w:r>
        <w:rPr>
          <w:rFonts w:hint="default" w:ascii="Times New Roman" w:hAnsi="Times New Roman" w:eastAsia="宋体" w:cs="Times New Roman"/>
          <w:color w:val="auto"/>
          <w:sz w:val="24"/>
          <w:highlight w:val="none"/>
        </w:rPr>
        <w:t>. 大白花杜鹃林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Rhododendrondecorum</w:t>
      </w:r>
      <w:r>
        <w:rPr>
          <w:rFonts w:hint="default" w:ascii="Times New Roman" w:hAnsi="Times New Roman" w:cs="Times New Roman"/>
          <w:i/>
          <w:color w:val="auto"/>
          <w:sz w:val="24"/>
          <w:highlight w:val="none"/>
          <w:lang w:eastAsia="zh-CN"/>
        </w:rPr>
        <w:t>）</w:t>
      </w:r>
    </w:p>
    <w:p w14:paraId="6966DAC0">
      <w:pPr>
        <w:spacing w:line="360" w:lineRule="auto"/>
        <w:ind w:firstLine="708" w:firstLineChars="295"/>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Ⅱ</w:t>
      </w:r>
      <w:r>
        <w:rPr>
          <w:rFonts w:hint="default"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硬叶常绿阔叶林Sclerophyllous Evergreen Broadleaved Forest</w:t>
      </w:r>
    </w:p>
    <w:p w14:paraId="1E1E8B40">
      <w:pPr>
        <w:spacing w:line="360" w:lineRule="auto"/>
        <w:ind w:firstLine="1132" w:firstLineChars="47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一、寒温山地硬叶常绿阔叶林Cold-temperate Sclerophyllous Evergreen Broadleaved Forest</w:t>
      </w:r>
    </w:p>
    <w:p w14:paraId="0B75555D">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11</w:t>
      </w:r>
      <w:r>
        <w:rPr>
          <w:rFonts w:hint="default" w:ascii="Times New Roman" w:hAnsi="Times New Roman" w:eastAsia="宋体" w:cs="Times New Roman"/>
          <w:color w:val="auto"/>
          <w:sz w:val="24"/>
          <w:highlight w:val="none"/>
        </w:rPr>
        <w:t>. 灰背栎林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Quercus senescens</w:t>
      </w:r>
      <w:r>
        <w:rPr>
          <w:rFonts w:hint="default" w:ascii="Times New Roman" w:hAnsi="Times New Roman" w:cs="Times New Roman"/>
          <w:i/>
          <w:color w:val="auto"/>
          <w:sz w:val="24"/>
          <w:highlight w:val="none"/>
          <w:lang w:eastAsia="zh-CN"/>
        </w:rPr>
        <w:t>）</w:t>
      </w:r>
    </w:p>
    <w:p w14:paraId="692603FC">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2</w:t>
      </w:r>
      <w:r>
        <w:rPr>
          <w:rFonts w:hint="default" w:ascii="Times New Roman" w:hAnsi="Times New Roman" w:eastAsia="宋体" w:cs="Times New Roman"/>
          <w:color w:val="auto"/>
          <w:sz w:val="24"/>
          <w:highlight w:val="none"/>
        </w:rPr>
        <w:t>. 长穗栎林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Quercus longispica</w:t>
      </w:r>
      <w:r>
        <w:rPr>
          <w:rFonts w:hint="default" w:ascii="Times New Roman" w:hAnsi="Times New Roman" w:cs="Times New Roman"/>
          <w:i/>
          <w:color w:val="auto"/>
          <w:sz w:val="24"/>
          <w:highlight w:val="none"/>
          <w:lang w:eastAsia="zh-CN"/>
        </w:rPr>
        <w:t>）</w:t>
      </w:r>
    </w:p>
    <w:p w14:paraId="7D3CA3A4">
      <w:pPr>
        <w:spacing w:line="360" w:lineRule="auto"/>
        <w:ind w:firstLine="708" w:firstLineChars="295"/>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Ⅲ</w:t>
      </w:r>
      <w:r>
        <w:rPr>
          <w:rFonts w:hint="default"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 xml:space="preserve">落叶阔叶林Deciduous Broadleavs Forest </w:t>
      </w:r>
    </w:p>
    <w:p w14:paraId="5E5022BF">
      <w:pPr>
        <w:spacing w:line="360" w:lineRule="auto"/>
        <w:ind w:firstLine="1132" w:firstLineChars="47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一、暖性落叶阔叶林Warm Deciduous Broadleavs Forest</w:t>
      </w:r>
    </w:p>
    <w:p w14:paraId="624C3585">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3</w:t>
      </w:r>
      <w:r>
        <w:rPr>
          <w:rFonts w:hint="default" w:ascii="Times New Roman" w:hAnsi="Times New Roman" w:eastAsia="宋体" w:cs="Times New Roman"/>
          <w:color w:val="auto"/>
          <w:sz w:val="24"/>
          <w:highlight w:val="none"/>
        </w:rPr>
        <w:t>. 栓皮栎林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Quercus variabilis</w:t>
      </w:r>
      <w:r>
        <w:rPr>
          <w:rFonts w:hint="default" w:ascii="Times New Roman" w:hAnsi="Times New Roman" w:cs="Times New Roman"/>
          <w:i/>
          <w:color w:val="auto"/>
          <w:sz w:val="24"/>
          <w:highlight w:val="none"/>
          <w:lang w:eastAsia="zh-CN"/>
        </w:rPr>
        <w:t>）</w:t>
      </w:r>
    </w:p>
    <w:p w14:paraId="45C314AF">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 旱冬瓜林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Alnus repalensis</w:t>
      </w:r>
      <w:r>
        <w:rPr>
          <w:rFonts w:hint="default" w:ascii="Times New Roman" w:hAnsi="Times New Roman" w:cs="Times New Roman"/>
          <w:i/>
          <w:color w:val="auto"/>
          <w:sz w:val="24"/>
          <w:highlight w:val="none"/>
          <w:lang w:eastAsia="zh-CN"/>
        </w:rPr>
        <w:t>）</w:t>
      </w:r>
    </w:p>
    <w:p w14:paraId="0D40590A">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 圆叶杨林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 xml:space="preserve">Populus davidiana </w:t>
      </w:r>
      <w:r>
        <w:rPr>
          <w:rFonts w:hint="default" w:ascii="Times New Roman" w:hAnsi="Times New Roman" w:eastAsia="宋体" w:cs="Times New Roman"/>
          <w:color w:val="auto"/>
          <w:sz w:val="24"/>
          <w:highlight w:val="none"/>
        </w:rPr>
        <w:t xml:space="preserve">var. </w:t>
      </w:r>
      <w:r>
        <w:rPr>
          <w:rFonts w:hint="default" w:ascii="Times New Roman" w:hAnsi="Times New Roman" w:eastAsia="宋体" w:cs="Times New Roman"/>
          <w:i/>
          <w:color w:val="auto"/>
          <w:sz w:val="24"/>
          <w:highlight w:val="none"/>
        </w:rPr>
        <w:t>bonati</w:t>
      </w:r>
      <w:r>
        <w:rPr>
          <w:rFonts w:hint="default" w:ascii="Times New Roman" w:hAnsi="Times New Roman" w:cs="Times New Roman"/>
          <w:i/>
          <w:color w:val="auto"/>
          <w:sz w:val="24"/>
          <w:highlight w:val="none"/>
          <w:lang w:eastAsia="zh-CN"/>
        </w:rPr>
        <w:t>）</w:t>
      </w:r>
    </w:p>
    <w:p w14:paraId="39EF1627">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 xml:space="preserve">16. </w:t>
      </w:r>
      <w:r>
        <w:rPr>
          <w:rFonts w:hint="default" w:ascii="Times New Roman" w:hAnsi="Times New Roman" w:eastAsia="宋体" w:cs="Times New Roman"/>
          <w:color w:val="auto"/>
          <w:sz w:val="24"/>
          <w:highlight w:val="none"/>
        </w:rPr>
        <w:t>枫杨林 (Form.</w:t>
      </w:r>
      <w:r>
        <w:rPr>
          <w:rFonts w:hint="default" w:ascii="Times New Roman" w:hAnsi="Times New Roman" w:eastAsia="宋体" w:cs="Times New Roman"/>
          <w:i/>
          <w:iCs/>
          <w:color w:val="auto"/>
          <w:sz w:val="24"/>
          <w:highlight w:val="none"/>
        </w:rPr>
        <w:t xml:space="preserve"> Pterocarya stenoptera</w:t>
      </w:r>
      <w:r>
        <w:rPr>
          <w:rFonts w:hint="default" w:ascii="Times New Roman" w:hAnsi="Times New Roman" w:eastAsia="宋体" w:cs="Times New Roman"/>
          <w:color w:val="auto"/>
          <w:sz w:val="24"/>
          <w:highlight w:val="none"/>
        </w:rPr>
        <w:t>)</w:t>
      </w:r>
    </w:p>
    <w:p w14:paraId="7A88834C">
      <w:pPr>
        <w:spacing w:line="360" w:lineRule="auto"/>
        <w:ind w:firstLine="708" w:firstLineChars="295"/>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Ⅳ</w:t>
      </w:r>
      <w:r>
        <w:rPr>
          <w:rFonts w:hint="default" w:ascii="Times New Roman" w:hAnsi="Times New Roman" w:eastAsia="宋体" w:cs="Times New Roman"/>
          <w:color w:val="auto"/>
          <w:sz w:val="24"/>
          <w:highlight w:val="none"/>
          <w:lang w:val="en-US" w:eastAsia="zh-CN"/>
        </w:rPr>
        <w:t xml:space="preserve"> </w:t>
      </w:r>
      <w:r>
        <w:rPr>
          <w:rFonts w:hint="default" w:ascii="Times New Roman" w:hAnsi="Times New Roman" w:eastAsia="宋体" w:cs="Times New Roman"/>
          <w:color w:val="auto"/>
          <w:sz w:val="24"/>
          <w:highlight w:val="none"/>
        </w:rPr>
        <w:t>暖性针叶林Warm Coniferous Forest</w:t>
      </w:r>
    </w:p>
    <w:p w14:paraId="69FD7F76">
      <w:pPr>
        <w:spacing w:line="360" w:lineRule="auto"/>
        <w:ind w:firstLine="1132" w:firstLineChars="47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一、暖温性针叶林Warm Coniferous Forest</w:t>
      </w:r>
    </w:p>
    <w:p w14:paraId="3E680FBC">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7</w:t>
      </w:r>
      <w:r>
        <w:rPr>
          <w:rFonts w:hint="default" w:ascii="Times New Roman" w:hAnsi="Times New Roman" w:eastAsia="宋体" w:cs="Times New Roman"/>
          <w:color w:val="auto"/>
          <w:sz w:val="24"/>
          <w:highlight w:val="none"/>
        </w:rPr>
        <w:t>. 云南松林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Pinus yunnanensis</w:t>
      </w:r>
      <w:r>
        <w:rPr>
          <w:rFonts w:hint="default" w:ascii="Times New Roman" w:hAnsi="Times New Roman" w:cs="Times New Roman"/>
          <w:i/>
          <w:color w:val="auto"/>
          <w:sz w:val="24"/>
          <w:highlight w:val="none"/>
          <w:lang w:eastAsia="zh-CN"/>
        </w:rPr>
        <w:t>）</w:t>
      </w:r>
    </w:p>
    <w:p w14:paraId="5856DB8D">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8</w:t>
      </w:r>
      <w:r>
        <w:rPr>
          <w:rFonts w:hint="default" w:ascii="Times New Roman" w:hAnsi="Times New Roman" w:eastAsia="宋体" w:cs="Times New Roman"/>
          <w:color w:val="auto"/>
          <w:sz w:val="24"/>
          <w:highlight w:val="none"/>
        </w:rPr>
        <w:t>. 滇油杉林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Keteleeria evelyniana</w:t>
      </w:r>
      <w:r>
        <w:rPr>
          <w:rFonts w:hint="default" w:ascii="Times New Roman" w:hAnsi="Times New Roman" w:cs="Times New Roman"/>
          <w:i/>
          <w:color w:val="auto"/>
          <w:sz w:val="24"/>
          <w:highlight w:val="none"/>
          <w:lang w:eastAsia="zh-CN"/>
        </w:rPr>
        <w:t>）</w:t>
      </w:r>
    </w:p>
    <w:p w14:paraId="381562E2">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w:t>
      </w:r>
      <w:r>
        <w:rPr>
          <w:rFonts w:hint="default" w:ascii="Times New Roman" w:hAnsi="Times New Roman" w:eastAsia="宋体" w:cs="Times New Roman"/>
          <w:color w:val="auto"/>
          <w:sz w:val="24"/>
          <w:highlight w:val="none"/>
          <w:lang w:val="en-US" w:eastAsia="zh-CN"/>
        </w:rPr>
        <w:t>9</w:t>
      </w:r>
      <w:r>
        <w:rPr>
          <w:rFonts w:hint="default" w:ascii="Times New Roman" w:hAnsi="Times New Roman" w:eastAsia="宋体" w:cs="Times New Roman"/>
          <w:color w:val="auto"/>
          <w:sz w:val="24"/>
          <w:highlight w:val="none"/>
        </w:rPr>
        <w:t>. 黄杉林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Pseudotsuga sinensis</w:t>
      </w:r>
      <w:r>
        <w:rPr>
          <w:rFonts w:hint="default" w:ascii="Times New Roman" w:hAnsi="Times New Roman" w:cs="Times New Roman"/>
          <w:i/>
          <w:color w:val="auto"/>
          <w:sz w:val="24"/>
          <w:highlight w:val="none"/>
          <w:lang w:eastAsia="zh-CN"/>
        </w:rPr>
        <w:t>）</w:t>
      </w:r>
    </w:p>
    <w:p w14:paraId="7FDD1B79">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20</w:t>
      </w:r>
      <w:r>
        <w:rPr>
          <w:rFonts w:hint="default" w:ascii="Times New Roman" w:hAnsi="Times New Roman" w:eastAsia="宋体" w:cs="Times New Roman"/>
          <w:color w:val="auto"/>
          <w:sz w:val="24"/>
          <w:highlight w:val="none"/>
        </w:rPr>
        <w:t>. 华山松林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Pinus armandii</w:t>
      </w:r>
      <w:r>
        <w:rPr>
          <w:rFonts w:hint="default" w:ascii="Times New Roman" w:hAnsi="Times New Roman" w:cs="Times New Roman"/>
          <w:i/>
          <w:color w:val="auto"/>
          <w:sz w:val="24"/>
          <w:highlight w:val="none"/>
          <w:lang w:eastAsia="zh-CN"/>
        </w:rPr>
        <w:t>）</w:t>
      </w:r>
    </w:p>
    <w:p w14:paraId="4F7E4617">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21</w:t>
      </w:r>
      <w:r>
        <w:rPr>
          <w:rFonts w:hint="default" w:ascii="Times New Roman" w:hAnsi="Times New Roman" w:eastAsia="宋体" w:cs="Times New Roman"/>
          <w:color w:val="auto"/>
          <w:sz w:val="24"/>
          <w:highlight w:val="none"/>
        </w:rPr>
        <w:t xml:space="preserve">. </w:t>
      </w:r>
      <w:r>
        <w:rPr>
          <w:rFonts w:hint="default" w:ascii="Times New Roman" w:hAnsi="Times New Roman" w:eastAsia="宋体" w:cs="Times New Roman"/>
          <w:color w:val="auto"/>
          <w:sz w:val="24"/>
          <w:highlight w:val="none"/>
          <w:lang w:val="en-US" w:eastAsia="zh-CN"/>
        </w:rPr>
        <w:t>刺柏</w:t>
      </w:r>
      <w:r>
        <w:rPr>
          <w:rFonts w:hint="default" w:ascii="Times New Roman" w:hAnsi="Times New Roman" w:eastAsia="宋体" w:cs="Times New Roman"/>
          <w:color w:val="auto"/>
          <w:sz w:val="24"/>
          <w:highlight w:val="none"/>
        </w:rPr>
        <w:t>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Juniperus formosana</w:t>
      </w:r>
      <w:r>
        <w:rPr>
          <w:rFonts w:hint="default" w:ascii="Times New Roman" w:hAnsi="Times New Roman" w:cs="Times New Roman"/>
          <w:i/>
          <w:color w:val="auto"/>
          <w:sz w:val="24"/>
          <w:highlight w:val="none"/>
          <w:lang w:eastAsia="zh-CN"/>
        </w:rPr>
        <w:t>）</w:t>
      </w:r>
    </w:p>
    <w:p w14:paraId="7A3CD1CF">
      <w:pPr>
        <w:spacing w:line="360" w:lineRule="auto"/>
        <w:ind w:firstLine="1699" w:firstLineChars="708"/>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22. 杉木林 (Form. Cunninghamia lanceolata)</w:t>
      </w:r>
    </w:p>
    <w:p w14:paraId="55E16C45">
      <w:pPr>
        <w:spacing w:line="360" w:lineRule="auto"/>
        <w:ind w:firstLine="708" w:firstLineChars="295"/>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Ⅴ灌丛Shrub</w:t>
      </w:r>
    </w:p>
    <w:p w14:paraId="6D599805">
      <w:pPr>
        <w:spacing w:line="360" w:lineRule="auto"/>
        <w:ind w:firstLine="1132" w:firstLineChars="47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一、暖温性灌丛Warm Limestone Shrub</w:t>
      </w:r>
    </w:p>
    <w:p w14:paraId="012D8FAA">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23.</w:t>
      </w:r>
      <w:r>
        <w:rPr>
          <w:rFonts w:hint="default" w:ascii="Times New Roman" w:hAnsi="Times New Roman" w:eastAsia="宋体" w:cs="Times New Roman"/>
          <w:color w:val="auto"/>
          <w:sz w:val="24"/>
          <w:highlight w:val="none"/>
        </w:rPr>
        <w:t xml:space="preserve"> 滇石栎萌生灌丛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Lithocarpus dealbatus</w:t>
      </w:r>
      <w:r>
        <w:rPr>
          <w:rFonts w:hint="default" w:ascii="Times New Roman" w:hAnsi="Times New Roman" w:cs="Times New Roman"/>
          <w:i/>
          <w:color w:val="auto"/>
          <w:sz w:val="24"/>
          <w:highlight w:val="none"/>
          <w:lang w:eastAsia="zh-CN"/>
        </w:rPr>
        <w:t>）</w:t>
      </w:r>
    </w:p>
    <w:p w14:paraId="32A14118">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 元江栲萌生灌丛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Castanopsis orthacantha</w:t>
      </w:r>
      <w:r>
        <w:rPr>
          <w:rFonts w:hint="default" w:ascii="Times New Roman" w:hAnsi="Times New Roman" w:cs="Times New Roman"/>
          <w:i/>
          <w:color w:val="auto"/>
          <w:sz w:val="24"/>
          <w:highlight w:val="none"/>
          <w:lang w:eastAsia="zh-CN"/>
        </w:rPr>
        <w:t>）</w:t>
      </w:r>
    </w:p>
    <w:p w14:paraId="5E6909D3">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 长穗栎萌生灌丛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Quercus longispica</w:t>
      </w:r>
      <w:r>
        <w:rPr>
          <w:rFonts w:hint="default" w:ascii="Times New Roman" w:hAnsi="Times New Roman" w:cs="Times New Roman"/>
          <w:i/>
          <w:color w:val="auto"/>
          <w:sz w:val="24"/>
          <w:highlight w:val="none"/>
          <w:lang w:eastAsia="zh-CN"/>
        </w:rPr>
        <w:t>）</w:t>
      </w:r>
    </w:p>
    <w:p w14:paraId="7F0F190E">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 灰背栎萌生灌丛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Quercussenescens</w:t>
      </w:r>
      <w:r>
        <w:rPr>
          <w:rFonts w:hint="default" w:ascii="Times New Roman" w:hAnsi="Times New Roman" w:cs="Times New Roman"/>
          <w:i/>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1F19D215">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lang w:val="en-US" w:eastAsia="zh-CN"/>
        </w:rPr>
        <w:t>7</w:t>
      </w:r>
      <w:r>
        <w:rPr>
          <w:rFonts w:hint="default" w:ascii="Times New Roman" w:hAnsi="Times New Roman" w:eastAsia="宋体" w:cs="Times New Roman"/>
          <w:color w:val="auto"/>
          <w:sz w:val="24"/>
          <w:highlight w:val="none"/>
        </w:rPr>
        <w:t>. 滇榛灌丛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Corylus yunnanensis</w:t>
      </w:r>
      <w:r>
        <w:rPr>
          <w:rFonts w:hint="default" w:ascii="Times New Roman" w:hAnsi="Times New Roman" w:cs="Times New Roman"/>
          <w:i/>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2C0163E1">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lang w:val="en-US" w:eastAsia="zh-CN"/>
        </w:rPr>
        <w:t>8</w:t>
      </w:r>
      <w:r>
        <w:rPr>
          <w:rFonts w:hint="default" w:ascii="Times New Roman" w:hAnsi="Times New Roman" w:eastAsia="宋体" w:cs="Times New Roman"/>
          <w:color w:val="auto"/>
          <w:sz w:val="24"/>
          <w:highlight w:val="none"/>
        </w:rPr>
        <w:t>. 矮杨梅灌丛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Myrica nana</w:t>
      </w:r>
      <w:r>
        <w:rPr>
          <w:rFonts w:hint="default" w:ascii="Times New Roman" w:hAnsi="Times New Roman" w:cs="Times New Roman"/>
          <w:i/>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580AB9F7">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w:t>
      </w:r>
      <w:r>
        <w:rPr>
          <w:rFonts w:hint="default" w:ascii="Times New Roman" w:hAnsi="Times New Roman" w:eastAsia="宋体" w:cs="Times New Roman"/>
          <w:color w:val="auto"/>
          <w:sz w:val="24"/>
          <w:highlight w:val="none"/>
          <w:lang w:val="en-US" w:eastAsia="zh-CN"/>
        </w:rPr>
        <w:t>9</w:t>
      </w:r>
      <w:r>
        <w:rPr>
          <w:rFonts w:hint="default" w:ascii="Times New Roman" w:hAnsi="Times New Roman" w:eastAsia="宋体" w:cs="Times New Roman"/>
          <w:color w:val="auto"/>
          <w:sz w:val="24"/>
          <w:highlight w:val="none"/>
        </w:rPr>
        <w:t>. 地盘松灌丛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 xml:space="preserve">Pinus yunnanensis </w:t>
      </w:r>
      <w:r>
        <w:rPr>
          <w:rFonts w:hint="default" w:ascii="Times New Roman" w:hAnsi="Times New Roman" w:eastAsia="宋体" w:cs="Times New Roman"/>
          <w:color w:val="auto"/>
          <w:sz w:val="24"/>
          <w:highlight w:val="none"/>
        </w:rPr>
        <w:t xml:space="preserve">var. </w:t>
      </w:r>
      <w:r>
        <w:rPr>
          <w:rFonts w:hint="default" w:ascii="Times New Roman" w:hAnsi="Times New Roman" w:eastAsia="宋体" w:cs="Times New Roman"/>
          <w:i/>
          <w:color w:val="auto"/>
          <w:sz w:val="24"/>
          <w:highlight w:val="none"/>
        </w:rPr>
        <w:t>pygmea</w:t>
      </w:r>
      <w:r>
        <w:rPr>
          <w:rFonts w:hint="default" w:ascii="Times New Roman" w:hAnsi="Times New Roman" w:cs="Times New Roman"/>
          <w:i/>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07735FBB">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30</w:t>
      </w:r>
      <w:r>
        <w:rPr>
          <w:rFonts w:hint="default" w:ascii="Times New Roman" w:hAnsi="Times New Roman" w:eastAsia="宋体" w:cs="Times New Roman"/>
          <w:color w:val="auto"/>
          <w:sz w:val="24"/>
          <w:highlight w:val="none"/>
        </w:rPr>
        <w:t>. 铺地蜈蚣灌丛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Cotoneaster adpressus</w:t>
      </w:r>
      <w:r>
        <w:rPr>
          <w:rFonts w:hint="default" w:ascii="Times New Roman" w:hAnsi="Times New Roman" w:cs="Times New Roman"/>
          <w:i/>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153B7F2D">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31</w:t>
      </w:r>
      <w:r>
        <w:rPr>
          <w:rFonts w:hint="default" w:ascii="Times New Roman" w:hAnsi="Times New Roman" w:eastAsia="宋体" w:cs="Times New Roman"/>
          <w:color w:val="auto"/>
          <w:sz w:val="24"/>
          <w:highlight w:val="none"/>
        </w:rPr>
        <w:t>. 矮</w:t>
      </w:r>
      <w:r>
        <w:rPr>
          <w:rFonts w:hint="default" w:ascii="Times New Roman" w:hAnsi="Times New Roman" w:eastAsia="宋体" w:cs="Times New Roman"/>
          <w:color w:val="auto"/>
          <w:sz w:val="24"/>
          <w:highlight w:val="none"/>
          <w:lang w:val="en-US" w:eastAsia="zh-CN"/>
        </w:rPr>
        <w:t>高山</w:t>
      </w:r>
      <w:r>
        <w:rPr>
          <w:rFonts w:hint="default" w:ascii="Times New Roman" w:hAnsi="Times New Roman" w:eastAsia="宋体" w:cs="Times New Roman"/>
          <w:color w:val="auto"/>
          <w:sz w:val="24"/>
          <w:highlight w:val="none"/>
        </w:rPr>
        <w:t>栎灌丛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Form.</w:t>
      </w:r>
      <w:r>
        <w:rPr>
          <w:rFonts w:hint="default" w:ascii="Times New Roman" w:hAnsi="Times New Roman" w:eastAsia="宋体" w:cs="Times New Roman"/>
          <w:i/>
          <w:iCs/>
          <w:color w:val="auto"/>
          <w:sz w:val="24"/>
          <w:highlight w:val="none"/>
        </w:rPr>
        <w:t>Quercus monimotricha</w:t>
      </w:r>
      <w:r>
        <w:rPr>
          <w:rFonts w:hint="default" w:ascii="Times New Roman" w:hAnsi="Times New Roman" w:eastAsia="宋体" w:cs="Times New Roman"/>
          <w:color w:val="auto"/>
          <w:sz w:val="24"/>
          <w:highlight w:val="none"/>
        </w:rPr>
        <w:t>‌</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41C7D5DD">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32</w:t>
      </w:r>
      <w:r>
        <w:rPr>
          <w:rFonts w:hint="default" w:ascii="Times New Roman" w:hAnsi="Times New Roman" w:eastAsia="宋体" w:cs="Times New Roman"/>
          <w:color w:val="auto"/>
          <w:sz w:val="24"/>
          <w:highlight w:val="none"/>
        </w:rPr>
        <w:t>. 山柳灌丛</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Salix inamoena</w:t>
      </w:r>
      <w:r>
        <w:rPr>
          <w:rFonts w:hint="default" w:ascii="Times New Roman" w:hAnsi="Times New Roman" w:cs="Times New Roman"/>
          <w:i/>
          <w:color w:val="auto"/>
          <w:sz w:val="24"/>
          <w:highlight w:val="none"/>
          <w:lang w:eastAsia="zh-CN"/>
        </w:rPr>
        <w:t>）</w:t>
      </w:r>
    </w:p>
    <w:p w14:paraId="5A47FDDB">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 xml:space="preserve">33. </w:t>
      </w:r>
      <w:r>
        <w:rPr>
          <w:rFonts w:hint="default" w:ascii="Times New Roman" w:hAnsi="Times New Roman" w:eastAsia="宋体" w:cs="Times New Roman"/>
          <w:color w:val="auto"/>
          <w:sz w:val="24"/>
          <w:highlight w:val="none"/>
        </w:rPr>
        <w:t xml:space="preserve">马桑灌丛 (Form. </w:t>
      </w:r>
      <w:r>
        <w:rPr>
          <w:rFonts w:hint="default" w:ascii="Times New Roman" w:hAnsi="Times New Roman" w:eastAsia="宋体" w:cs="Times New Roman"/>
          <w:i/>
          <w:iCs/>
          <w:color w:val="auto"/>
          <w:sz w:val="24"/>
          <w:highlight w:val="none"/>
        </w:rPr>
        <w:t>Coriaria nepalensis</w:t>
      </w:r>
      <w:r>
        <w:rPr>
          <w:rFonts w:hint="default" w:ascii="Times New Roman" w:hAnsi="Times New Roman" w:eastAsia="宋体" w:cs="Times New Roman"/>
          <w:color w:val="auto"/>
          <w:sz w:val="24"/>
          <w:highlight w:val="none"/>
        </w:rPr>
        <w:t>)</w:t>
      </w:r>
    </w:p>
    <w:p w14:paraId="60CFAA6C">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 xml:space="preserve">34. </w:t>
      </w:r>
      <w:r>
        <w:rPr>
          <w:rFonts w:hint="default" w:ascii="Times New Roman" w:hAnsi="Times New Roman" w:eastAsia="宋体" w:cs="Times New Roman"/>
          <w:color w:val="auto"/>
          <w:sz w:val="24"/>
          <w:highlight w:val="none"/>
        </w:rPr>
        <w:t xml:space="preserve">小果蔷薇灌丛 (Form. </w:t>
      </w:r>
      <w:r>
        <w:rPr>
          <w:rFonts w:hint="default" w:ascii="Times New Roman" w:hAnsi="Times New Roman" w:eastAsia="宋体" w:cs="Times New Roman"/>
          <w:i/>
          <w:iCs/>
          <w:color w:val="auto"/>
          <w:sz w:val="24"/>
          <w:highlight w:val="none"/>
        </w:rPr>
        <w:t>Rosa cymosa</w:t>
      </w:r>
      <w:r>
        <w:rPr>
          <w:rFonts w:hint="default" w:ascii="Times New Roman" w:hAnsi="Times New Roman" w:eastAsia="宋体" w:cs="Times New Roman"/>
          <w:color w:val="auto"/>
          <w:sz w:val="24"/>
          <w:highlight w:val="none"/>
        </w:rPr>
        <w:t>)</w:t>
      </w:r>
    </w:p>
    <w:p w14:paraId="7839B76F">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 xml:space="preserve">35. </w:t>
      </w:r>
      <w:r>
        <w:rPr>
          <w:rFonts w:hint="default" w:ascii="Times New Roman" w:hAnsi="Times New Roman" w:eastAsia="宋体" w:cs="Times New Roman"/>
          <w:color w:val="auto"/>
          <w:sz w:val="24"/>
          <w:highlight w:val="none"/>
        </w:rPr>
        <w:t xml:space="preserve">火棘灌丛 (Form. </w:t>
      </w:r>
      <w:r>
        <w:rPr>
          <w:rFonts w:hint="default" w:ascii="Times New Roman" w:hAnsi="Times New Roman" w:eastAsia="宋体" w:cs="Times New Roman"/>
          <w:i/>
          <w:iCs/>
          <w:color w:val="auto"/>
          <w:sz w:val="24"/>
          <w:highlight w:val="none"/>
        </w:rPr>
        <w:t>Pyracantha fortuneana</w:t>
      </w:r>
      <w:r>
        <w:rPr>
          <w:rFonts w:hint="default" w:ascii="Times New Roman" w:hAnsi="Times New Roman" w:eastAsia="宋体" w:cs="Times New Roman"/>
          <w:color w:val="auto"/>
          <w:sz w:val="24"/>
          <w:highlight w:val="none"/>
        </w:rPr>
        <w:t>)</w:t>
      </w:r>
    </w:p>
    <w:p w14:paraId="4C9E5906">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二、干热河谷灌丛 Dry-hot Valley Shrubland</w:t>
      </w:r>
    </w:p>
    <w:p w14:paraId="5B7C94D6">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 xml:space="preserve">36. </w:t>
      </w:r>
      <w:r>
        <w:rPr>
          <w:rFonts w:hint="default" w:ascii="Times New Roman" w:hAnsi="Times New Roman" w:eastAsia="宋体" w:cs="Times New Roman"/>
          <w:color w:val="auto"/>
          <w:sz w:val="24"/>
          <w:highlight w:val="none"/>
        </w:rPr>
        <w:t>余甘子灌丛 (Form. Phyllanthus emblica)</w:t>
      </w:r>
    </w:p>
    <w:p w14:paraId="05A21A6C">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 xml:space="preserve">37. </w:t>
      </w:r>
      <w:r>
        <w:rPr>
          <w:rFonts w:hint="default" w:ascii="Times New Roman" w:hAnsi="Times New Roman" w:eastAsia="宋体" w:cs="Times New Roman"/>
          <w:color w:val="auto"/>
          <w:sz w:val="24"/>
          <w:highlight w:val="none"/>
        </w:rPr>
        <w:t>车桑子灌丛 (Form. Dodonaea viscosa)</w:t>
      </w:r>
    </w:p>
    <w:p w14:paraId="5A82462F">
      <w:pPr>
        <w:spacing w:line="360" w:lineRule="auto"/>
        <w:ind w:firstLine="708" w:firstLineChars="295"/>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Ⅵ稀树灌木草丛Savanna Shrub and Grass</w:t>
      </w:r>
    </w:p>
    <w:p w14:paraId="23E274D0">
      <w:pPr>
        <w:spacing w:line="360" w:lineRule="auto"/>
        <w:ind w:firstLine="1132" w:firstLineChars="472"/>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一、暖温性稀树灌木草丛Warm-temperate Savanna Shrub and Grass</w:t>
      </w:r>
    </w:p>
    <w:p w14:paraId="0E855C1A">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38</w:t>
      </w:r>
      <w:r>
        <w:rPr>
          <w:rFonts w:hint="default" w:ascii="Times New Roman" w:hAnsi="Times New Roman" w:eastAsia="宋体" w:cs="Times New Roman"/>
          <w:color w:val="auto"/>
          <w:sz w:val="24"/>
          <w:highlight w:val="none"/>
        </w:rPr>
        <w:t>. 白茅草地</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Imperata cylindrica</w:t>
      </w:r>
      <w:r>
        <w:rPr>
          <w:rFonts w:hint="default" w:ascii="Times New Roman" w:hAnsi="Times New Roman" w:cs="Times New Roman"/>
          <w:i/>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2E04FF06">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w:t>
      </w:r>
      <w:r>
        <w:rPr>
          <w:rFonts w:hint="default" w:ascii="Times New Roman" w:hAnsi="Times New Roman" w:eastAsia="宋体" w:cs="Times New Roman"/>
          <w:color w:val="auto"/>
          <w:sz w:val="24"/>
          <w:highlight w:val="none"/>
          <w:lang w:val="en-US" w:eastAsia="zh-CN"/>
        </w:rPr>
        <w:t>9</w:t>
      </w:r>
      <w:r>
        <w:rPr>
          <w:rFonts w:hint="default" w:ascii="Times New Roman" w:hAnsi="Times New Roman" w:eastAsia="宋体" w:cs="Times New Roman"/>
          <w:color w:val="auto"/>
          <w:sz w:val="24"/>
          <w:highlight w:val="none"/>
        </w:rPr>
        <w:t>. 蕨菜草地</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Pteridium revolutum</w:t>
      </w:r>
      <w:r>
        <w:rPr>
          <w:rFonts w:hint="default" w:ascii="Times New Roman" w:hAnsi="Times New Roman" w:cs="Times New Roman"/>
          <w:i/>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584C5138">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40</w:t>
      </w:r>
      <w:r>
        <w:rPr>
          <w:rFonts w:hint="default" w:ascii="Times New Roman" w:hAnsi="Times New Roman" w:eastAsia="宋体" w:cs="Times New Roman"/>
          <w:color w:val="auto"/>
          <w:sz w:val="24"/>
          <w:highlight w:val="none"/>
        </w:rPr>
        <w:t>. 香青草地</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Anaphalis</w:t>
      </w:r>
      <w:r>
        <w:rPr>
          <w:rFonts w:hint="default" w:ascii="Times New Roman" w:hAnsi="Times New Roman" w:eastAsia="宋体" w:cs="Times New Roman"/>
          <w:color w:val="auto"/>
          <w:sz w:val="24"/>
          <w:highlight w:val="none"/>
        </w:rPr>
        <w:t xml:space="preserve"> sp.</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66CE40E1">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41</w:t>
      </w:r>
      <w:r>
        <w:rPr>
          <w:rFonts w:hint="default" w:ascii="Times New Roman" w:hAnsi="Times New Roman" w:eastAsia="宋体" w:cs="Times New Roman"/>
          <w:color w:val="auto"/>
          <w:sz w:val="24"/>
          <w:highlight w:val="none"/>
        </w:rPr>
        <w:t>. 茵陈蒿草地</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Artemisia capillaris</w:t>
      </w:r>
      <w:r>
        <w:rPr>
          <w:rFonts w:hint="default" w:ascii="Times New Roman" w:hAnsi="Times New Roman" w:cs="Times New Roman"/>
          <w:i/>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19CA00C8">
      <w:pPr>
        <w:spacing w:line="360" w:lineRule="auto"/>
        <w:ind w:firstLine="1699" w:firstLineChars="708"/>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 xml:space="preserve">42. 野古草草丛 (Form. </w:t>
      </w:r>
      <w:r>
        <w:rPr>
          <w:rFonts w:hint="default" w:ascii="Times New Roman" w:hAnsi="Times New Roman" w:eastAsia="宋体" w:cs="Times New Roman"/>
          <w:i/>
          <w:iCs/>
          <w:color w:val="auto"/>
          <w:sz w:val="24"/>
          <w:highlight w:val="none"/>
          <w:lang w:val="en-US" w:eastAsia="zh-CN"/>
        </w:rPr>
        <w:t>Arundinella nepalensis</w:t>
      </w:r>
      <w:r>
        <w:rPr>
          <w:rFonts w:hint="default" w:ascii="Times New Roman" w:hAnsi="Times New Roman" w:eastAsia="宋体" w:cs="Times New Roman"/>
          <w:color w:val="auto"/>
          <w:sz w:val="24"/>
          <w:highlight w:val="none"/>
          <w:lang w:val="en-US" w:eastAsia="zh-CN"/>
        </w:rPr>
        <w:t>)</w:t>
      </w:r>
    </w:p>
    <w:p w14:paraId="60D9F6A2">
      <w:pPr>
        <w:spacing w:line="360" w:lineRule="auto"/>
        <w:ind w:firstLine="720" w:firstLineChars="3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Ⅶ竹林Bamboo Forest</w:t>
      </w:r>
    </w:p>
    <w:p w14:paraId="2293DABB">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3. 金竹林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Phyllostachysnigra</w:t>
      </w:r>
      <w:r>
        <w:rPr>
          <w:rFonts w:hint="default" w:ascii="Times New Roman" w:hAnsi="Times New Roman" w:eastAsia="宋体" w:cs="Times New Roman"/>
          <w:color w:val="auto"/>
          <w:sz w:val="24"/>
          <w:highlight w:val="none"/>
        </w:rPr>
        <w:t xml:space="preserve"> var. </w:t>
      </w:r>
      <w:r>
        <w:rPr>
          <w:rFonts w:hint="default" w:ascii="Times New Roman" w:hAnsi="Times New Roman" w:eastAsia="宋体" w:cs="Times New Roman"/>
          <w:i/>
          <w:color w:val="auto"/>
          <w:sz w:val="24"/>
          <w:highlight w:val="none"/>
        </w:rPr>
        <w:t>henonis</w:t>
      </w:r>
      <w:r>
        <w:rPr>
          <w:rFonts w:hint="default" w:ascii="Times New Roman" w:hAnsi="Times New Roman" w:cs="Times New Roman"/>
          <w:i/>
          <w:color w:val="auto"/>
          <w:sz w:val="24"/>
          <w:highlight w:val="none"/>
          <w:lang w:eastAsia="zh-CN"/>
        </w:rPr>
        <w:t>）</w:t>
      </w:r>
    </w:p>
    <w:p w14:paraId="1C09678D">
      <w:pPr>
        <w:spacing w:line="360" w:lineRule="auto"/>
        <w:ind w:firstLine="1699" w:firstLineChars="708"/>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4. 箭竹林</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Form. </w:t>
      </w:r>
      <w:r>
        <w:rPr>
          <w:rFonts w:hint="default" w:ascii="Times New Roman" w:hAnsi="Times New Roman" w:eastAsia="宋体" w:cs="Times New Roman"/>
          <w:i/>
          <w:color w:val="auto"/>
          <w:sz w:val="24"/>
          <w:highlight w:val="none"/>
        </w:rPr>
        <w:t>Fargesia</w:t>
      </w:r>
      <w:r>
        <w:rPr>
          <w:rFonts w:hint="default" w:ascii="Times New Roman" w:hAnsi="Times New Roman" w:eastAsia="宋体" w:cs="Times New Roman"/>
          <w:color w:val="auto"/>
          <w:sz w:val="24"/>
          <w:highlight w:val="none"/>
        </w:rPr>
        <w:t xml:space="preserve"> sp.</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 xml:space="preserve"> </w:t>
      </w:r>
    </w:p>
    <w:p w14:paraId="77A8B430">
      <w:pPr>
        <w:spacing w:line="360" w:lineRule="auto"/>
        <w:ind w:firstLine="1699" w:firstLineChars="708"/>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 xml:space="preserve">45. 慈竹林 (Form. </w:t>
      </w:r>
      <w:r>
        <w:rPr>
          <w:rFonts w:hint="default" w:ascii="Times New Roman" w:hAnsi="Times New Roman" w:eastAsia="宋体" w:cs="Times New Roman"/>
          <w:i/>
          <w:iCs/>
          <w:color w:val="auto"/>
          <w:sz w:val="24"/>
          <w:highlight w:val="none"/>
          <w:lang w:val="en-US" w:eastAsia="zh-CN"/>
        </w:rPr>
        <w:t>Bambusa oxylepis</w:t>
      </w:r>
      <w:r>
        <w:rPr>
          <w:rFonts w:hint="default" w:ascii="Times New Roman" w:hAnsi="Times New Roman" w:eastAsia="宋体" w:cs="Times New Roman"/>
          <w:color w:val="auto"/>
          <w:sz w:val="24"/>
          <w:highlight w:val="none"/>
          <w:lang w:val="en-US" w:eastAsia="zh-CN"/>
        </w:rPr>
        <w:t>)</w:t>
      </w:r>
    </w:p>
    <w:p w14:paraId="377FE6C5">
      <w:pPr>
        <w:spacing w:line="360" w:lineRule="auto"/>
        <w:ind w:firstLine="720" w:firstLineChars="3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Ⅷ 草甸 Meadow</w:t>
      </w:r>
    </w:p>
    <w:p w14:paraId="6A4FBA89">
      <w:pPr>
        <w:spacing w:line="360" w:lineRule="auto"/>
        <w:ind w:left="0" w:leftChars="0" w:firstLine="960" w:firstLineChars="4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一、山地杂类草草甸 Montane Herb Meadow</w:t>
      </w:r>
    </w:p>
    <w:p w14:paraId="008D74C7">
      <w:pPr>
        <w:spacing w:line="360" w:lineRule="auto"/>
        <w:ind w:firstLine="1699" w:firstLineChars="708"/>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46. 西南委陵草草甸 (Form. Potentilla fulgens)</w:t>
      </w:r>
    </w:p>
    <w:p w14:paraId="34271C25">
      <w:pPr>
        <w:spacing w:line="360" w:lineRule="auto"/>
        <w:ind w:firstLine="720" w:firstLineChars="3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Ⅸ人工植被Artificial Vegetation</w:t>
      </w:r>
    </w:p>
    <w:p w14:paraId="0A3BD768">
      <w:pPr>
        <w:spacing w:line="360" w:lineRule="auto"/>
        <w:ind w:firstLine="1200" w:firstLineChars="5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一、</w:t>
      </w:r>
      <w:r>
        <w:rPr>
          <w:rFonts w:hint="default" w:ascii="Times New Roman" w:hAnsi="Times New Roman" w:eastAsia="宋体" w:cs="Times New Roman"/>
          <w:color w:val="auto"/>
          <w:sz w:val="24"/>
          <w:highlight w:val="none"/>
          <w:lang w:val="en-US" w:eastAsia="zh-CN"/>
        </w:rPr>
        <w:t>耕地植被</w:t>
      </w:r>
    </w:p>
    <w:p w14:paraId="7892C8CA">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1.水田植被</w:t>
      </w:r>
      <w:r>
        <w:rPr>
          <w:rFonts w:hint="default" w:ascii="Times New Roman" w:hAnsi="Times New Roman" w:cs="Times New Roman"/>
          <w:color w:val="auto"/>
          <w:sz w:val="24"/>
          <w:highlight w:val="none"/>
          <w:lang w:val="en-US" w:eastAsia="zh-CN"/>
        </w:rPr>
        <w:t>（以</w:t>
      </w:r>
      <w:r>
        <w:rPr>
          <w:rFonts w:hint="default" w:ascii="Times New Roman" w:hAnsi="Times New Roman" w:eastAsia="宋体" w:cs="Times New Roman"/>
          <w:color w:val="auto"/>
          <w:sz w:val="24"/>
          <w:highlight w:val="none"/>
          <w:lang w:val="en-US" w:eastAsia="zh-CN"/>
        </w:rPr>
        <w:t>水稻为主，轮作蚕豆、油菜）</w:t>
      </w:r>
    </w:p>
    <w:p w14:paraId="250182E9">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2.旱地植被（玉米、马铃薯、烤烟、小麦、荞麦；烤烟作物）</w:t>
      </w:r>
    </w:p>
    <w:p w14:paraId="52C82AD7">
      <w:pPr>
        <w:spacing w:line="360" w:lineRule="auto"/>
        <w:ind w:firstLine="1200" w:firstLineChars="5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二、园地植被</w:t>
      </w:r>
    </w:p>
    <w:p w14:paraId="0296ECE0">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3.果园植被（梨、桃、苹果、柑橘、石榴、枇杷、核桃等）</w:t>
      </w:r>
    </w:p>
    <w:p w14:paraId="6472336F">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4.茶园植被</w:t>
      </w:r>
    </w:p>
    <w:p w14:paraId="22011B5D">
      <w:pPr>
        <w:spacing w:line="360" w:lineRule="auto"/>
        <w:ind w:firstLine="1200" w:firstLineChars="5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lang w:val="en-US" w:eastAsia="zh-CN"/>
        </w:rPr>
        <w:t>三、</w:t>
      </w:r>
      <w:r>
        <w:rPr>
          <w:rFonts w:hint="default" w:ascii="Times New Roman" w:hAnsi="Times New Roman" w:eastAsia="宋体" w:cs="Times New Roman"/>
          <w:color w:val="auto"/>
          <w:sz w:val="24"/>
          <w:highlight w:val="none"/>
        </w:rPr>
        <w:t>人工林植被</w:t>
      </w:r>
    </w:p>
    <w:p w14:paraId="1772D033">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 xml:space="preserve">5. 云南松人工林 (Form. </w:t>
      </w:r>
      <w:r>
        <w:rPr>
          <w:rFonts w:hint="default" w:ascii="Times New Roman" w:hAnsi="Times New Roman" w:eastAsia="宋体" w:cs="Times New Roman"/>
          <w:i/>
          <w:iCs/>
          <w:color w:val="auto"/>
          <w:sz w:val="24"/>
          <w:highlight w:val="none"/>
          <w:lang w:val="en-US" w:eastAsia="zh-CN"/>
        </w:rPr>
        <w:t>Pinus yunnanensis</w:t>
      </w:r>
      <w:r>
        <w:rPr>
          <w:rFonts w:hint="default" w:ascii="Times New Roman" w:hAnsi="Times New Roman" w:eastAsia="宋体" w:cs="Times New Roman"/>
          <w:color w:val="auto"/>
          <w:sz w:val="24"/>
          <w:highlight w:val="none"/>
          <w:lang w:val="en-US" w:eastAsia="zh-CN"/>
        </w:rPr>
        <w:t xml:space="preserve">) </w:t>
      </w:r>
    </w:p>
    <w:p w14:paraId="2617A778">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 xml:space="preserve">6. 杉木人工林 (Form. </w:t>
      </w:r>
      <w:r>
        <w:rPr>
          <w:rFonts w:hint="default" w:ascii="Times New Roman" w:hAnsi="Times New Roman" w:eastAsia="宋体" w:cs="Times New Roman"/>
          <w:i/>
          <w:iCs/>
          <w:color w:val="auto"/>
          <w:sz w:val="24"/>
          <w:highlight w:val="none"/>
          <w:lang w:val="en-US" w:eastAsia="zh-CN"/>
        </w:rPr>
        <w:t>Cunninghamia lanceolata</w:t>
      </w:r>
      <w:r>
        <w:rPr>
          <w:rFonts w:hint="default" w:ascii="Times New Roman" w:hAnsi="Times New Roman" w:eastAsia="宋体" w:cs="Times New Roman"/>
          <w:color w:val="auto"/>
          <w:sz w:val="24"/>
          <w:highlight w:val="none"/>
          <w:lang w:val="en-US" w:eastAsia="zh-CN"/>
        </w:rPr>
        <w:t xml:space="preserve">) </w:t>
      </w:r>
    </w:p>
    <w:p w14:paraId="35F8D4F0">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7. 华山松人工林 (Form.</w:t>
      </w:r>
      <w:r>
        <w:rPr>
          <w:rFonts w:hint="default" w:ascii="Times New Roman" w:hAnsi="Times New Roman" w:eastAsia="宋体" w:cs="Times New Roman"/>
          <w:i/>
          <w:iCs/>
          <w:color w:val="auto"/>
          <w:sz w:val="24"/>
          <w:highlight w:val="none"/>
          <w:lang w:val="en-US" w:eastAsia="zh-CN"/>
        </w:rPr>
        <w:t xml:space="preserve"> Pinus armandii</w:t>
      </w:r>
      <w:r>
        <w:rPr>
          <w:rFonts w:hint="default" w:ascii="Times New Roman" w:hAnsi="Times New Roman" w:eastAsia="宋体" w:cs="Times New Roman"/>
          <w:color w:val="auto"/>
          <w:sz w:val="24"/>
          <w:highlight w:val="none"/>
          <w:lang w:val="en-US" w:eastAsia="zh-CN"/>
        </w:rPr>
        <w:t>)</w:t>
      </w:r>
    </w:p>
    <w:p w14:paraId="29AC744A">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 xml:space="preserve">8. 桉树人工林 (Form. </w:t>
      </w:r>
      <w:r>
        <w:rPr>
          <w:rFonts w:hint="default" w:ascii="Times New Roman" w:hAnsi="Times New Roman" w:eastAsia="宋体" w:cs="Times New Roman"/>
          <w:i/>
          <w:iCs/>
          <w:color w:val="auto"/>
          <w:sz w:val="24"/>
          <w:highlight w:val="none"/>
          <w:lang w:val="en-US" w:eastAsia="zh-CN"/>
        </w:rPr>
        <w:t xml:space="preserve">Eucalyptus </w:t>
      </w:r>
      <w:r>
        <w:rPr>
          <w:rFonts w:hint="default" w:ascii="Times New Roman" w:hAnsi="Times New Roman" w:eastAsia="宋体" w:cs="Times New Roman"/>
          <w:i w:val="0"/>
          <w:iCs w:val="0"/>
          <w:color w:val="auto"/>
          <w:sz w:val="24"/>
          <w:highlight w:val="none"/>
          <w:lang w:val="en-US" w:eastAsia="zh-CN"/>
        </w:rPr>
        <w:t>spp.</w:t>
      </w:r>
      <w:r>
        <w:rPr>
          <w:rFonts w:hint="default" w:ascii="Times New Roman" w:hAnsi="Times New Roman" w:eastAsia="宋体" w:cs="Times New Roman"/>
          <w:color w:val="auto"/>
          <w:sz w:val="24"/>
          <w:highlight w:val="none"/>
          <w:lang w:val="en-US" w:eastAsia="zh-CN"/>
        </w:rPr>
        <w:t>)</w:t>
      </w:r>
    </w:p>
    <w:p w14:paraId="2F543A90">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 xml:space="preserve">9. 桤木人工林 (Form. </w:t>
      </w:r>
      <w:r>
        <w:rPr>
          <w:rFonts w:hint="default" w:ascii="Times New Roman" w:hAnsi="Times New Roman" w:eastAsia="宋体" w:cs="Times New Roman"/>
          <w:i/>
          <w:iCs/>
          <w:color w:val="auto"/>
          <w:sz w:val="24"/>
          <w:highlight w:val="none"/>
          <w:lang w:val="en-US" w:eastAsia="zh-CN"/>
        </w:rPr>
        <w:t>Alnus cremastogyne</w:t>
      </w:r>
      <w:r>
        <w:rPr>
          <w:rFonts w:hint="default" w:ascii="Times New Roman" w:hAnsi="Times New Roman" w:eastAsia="宋体" w:cs="Times New Roman"/>
          <w:color w:val="auto"/>
          <w:sz w:val="24"/>
          <w:highlight w:val="none"/>
          <w:lang w:val="en-US" w:eastAsia="zh-CN"/>
        </w:rPr>
        <w:t xml:space="preserve">) </w:t>
      </w:r>
    </w:p>
    <w:p w14:paraId="30FA80CA">
      <w:pPr>
        <w:spacing w:line="360" w:lineRule="auto"/>
        <w:ind w:left="0" w:leftChars="0" w:firstLine="1680" w:firstLineChars="700"/>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10. 杨树人工林 (Form.</w:t>
      </w:r>
      <w:r>
        <w:rPr>
          <w:rFonts w:hint="default" w:ascii="Times New Roman" w:hAnsi="Times New Roman" w:eastAsia="宋体" w:cs="Times New Roman"/>
          <w:i/>
          <w:iCs/>
          <w:color w:val="auto"/>
          <w:sz w:val="24"/>
          <w:highlight w:val="none"/>
          <w:lang w:val="en-US" w:eastAsia="zh-CN"/>
        </w:rPr>
        <w:t xml:space="preserve"> Populus </w:t>
      </w:r>
      <w:r>
        <w:rPr>
          <w:rFonts w:hint="default" w:ascii="Times New Roman" w:hAnsi="Times New Roman" w:eastAsia="宋体" w:cs="Times New Roman"/>
          <w:i w:val="0"/>
          <w:iCs w:val="0"/>
          <w:color w:val="auto"/>
          <w:sz w:val="24"/>
          <w:highlight w:val="none"/>
          <w:lang w:val="en-US" w:eastAsia="zh-CN"/>
        </w:rPr>
        <w:t>spp.</w:t>
      </w:r>
      <w:r>
        <w:rPr>
          <w:rFonts w:hint="default" w:ascii="Times New Roman" w:hAnsi="Times New Roman" w:eastAsia="宋体" w:cs="Times New Roman"/>
          <w:color w:val="auto"/>
          <w:sz w:val="24"/>
          <w:highlight w:val="none"/>
          <w:lang w:val="en-US" w:eastAsia="zh-CN"/>
        </w:rPr>
        <w:t>)</w:t>
      </w:r>
    </w:p>
    <w:p w14:paraId="231AAFC0">
      <w:pPr>
        <w:spacing w:line="32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说明：植被型编码Ⅰ；Ⅱ；……</w:t>
      </w:r>
    </w:p>
    <w:p w14:paraId="700E75FA">
      <w:pPr>
        <w:spacing w:line="32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植被亚型编码一；二；……</w:t>
      </w:r>
    </w:p>
    <w:p w14:paraId="521780B3">
      <w:pPr>
        <w:spacing w:line="320" w:lineRule="exact"/>
        <w:ind w:firstLine="480" w:firstLineChars="200"/>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群系编码1；2；……</w:t>
      </w:r>
    </w:p>
    <w:p w14:paraId="24A62BE4">
      <w:pPr>
        <w:pStyle w:val="7"/>
        <w:numPr>
          <w:ilvl w:val="4"/>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植被分布特征</w:t>
      </w:r>
    </w:p>
    <w:p w14:paraId="3C3340BF">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南盘江（曲靖市境内）流域地处滇东喀斯特高原，整体海拔落差达 2026.9m（722m</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2748.9m），受地貌类型、水热条件、纬度地带性、喀斯特发育程度及人为干扰共同影响，植被分布呈现出显著的水平地域分异与垂直梯度分异特征，具体如下：</w:t>
      </w:r>
    </w:p>
    <w:p w14:paraId="7D1964CE">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一、植被水平分布特征</w:t>
      </w:r>
    </w:p>
    <w:p w14:paraId="0413AA1E">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流域植被的水平分异核心受东西向湿度差异、南北向热量差异与喀斯特地貌发育程度共同控制，整体形成四大特征鲜明的水平植被分布区，各区域的植被类型、群落结构与生态功能差异显著。</w:t>
      </w:r>
    </w:p>
    <w:p w14:paraId="581EC76A">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北部高海拔山地寒温性植被区，海拔范围 2000～2748.9m，主要覆盖富源县营盘山及周边区域，该区域气候冷凉，人为干扰相对较轻，植被以耐寒、耐旱的寒温性类型为主，核心植被包括硬叶常绿阔叶林、寒温性灌丛、山地草甸及山顶苔藓矮林，群落结构相对简单，物种多样性偏低，原生植被保存完好。</w:t>
      </w:r>
    </w:p>
    <w:p w14:paraId="023275E2">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中部喀斯特高原半湿润植被区，海拔范围 1500～2200m，覆盖麒麟、马龙、陆良、富源中部区域，是流域内面积最广、地带性植被最完整的区域。该区域喀斯特地貌广泛发育，水热条件适中，同时也是流域内人口最密集、人为干扰最强的区域，原生半湿润常绿阔叶林多退化为次生灌丛、稀树灌木草丛，仅在偏远山区残存斑块状原生林，核心植被以半湿润常绿阔叶林、暖性针叶林、石灰岩灌丛为主，是珠江源水源涵养林的核心保护区域，也是喀斯特石漠化防控的核心区域。</w:t>
      </w:r>
    </w:p>
    <w:p w14:paraId="431860A4">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南部干热河谷植被区，海拔范围 722～1500m，是流域内海拔最低、热量条件最优的区域，主要覆盖罗平、师宗、陆良南部的南盘江干流河谷地带，受河谷焚风效应影响，区域内气候干热，季节性干旱特征显著，发育了流域内特有的干热河谷植被类型，核心植被包括干热河谷灌丛、暖性针叶林、河谷竹林及河岸落叶阔叶林，植被以耐旱、耐贫瘠的物种为主，群落结构简单，同时该区域也是流域内水土流失与石漠化最严重的区域。</w:t>
      </w:r>
    </w:p>
    <w:p w14:paraId="3D686D80">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东部中山湿性植被区，海拔范围 1800～2400m，主要覆盖富源东部、罗平北部的中山地带，该区域受东南季风影响显著，降水充沛，相对湿度大，是流域内湿性植被的集中分布区，核心植被包括中山湿性常绿阔叶林、山顶苔藓矮林、暖性针叶林，云雾线附近树干附生苔藓发育旺盛，群落物种丰富度高，原生植被保存相对完好，也是珍稀濒危动植物的核心栖息地。</w:t>
      </w:r>
    </w:p>
    <w:p w14:paraId="3AF4FDD9">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二、植被垂直分布特征</w:t>
      </w:r>
    </w:p>
    <w:p w14:paraId="5FE7D394">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流域内海拔落差悬殊，从低海拔河谷到高海拔山顶，水热条件随海拔升高呈现显著的梯度变化，植被形成了完整的垂直带谱，依次可划分为 4 个垂直植被带，各带的植被类型、群落结构与生态功能差异显著。</w:t>
      </w:r>
    </w:p>
    <w:p w14:paraId="46EE9C6A">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河谷低山干热带，海拔范围 722～1500m，主要分布于南盘江干流及支流河谷地带。该区域热量充足，降水偏少，季节性干旱特征明显，植被以耐旱、耐贫瘠的物种为主，优势植被包括以余甘子、车桑子为建群种的干热河谷灌丛，云南松、滇油杉为主的暖温性针叶林，以及河谷竹林、河岸落叶阔叶林，群落结构简单，植被覆盖率整体偏低，是流域内石漠化高发区域，核心生态功能为水土保持与河谷生态系统稳定维护。</w:t>
      </w:r>
    </w:p>
    <w:p w14:paraId="1C7BA672">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低山丘陵半湿润带，海拔范围 1500～2000m，广泛分布于流域中部的喀斯特高原面与低山丘陵区域。该区域水热条件适中，是流域地带性植被的核心分布带，原生植被以黄毛青冈、滇青冈为建群种的半湿润常绿阔叶林为主，受人为干扰影响，现存植被多为以云南松、华山松为主的次生暖性针叶林，以及石灰岩灌丛、稀树灌木草丛，是流域内农业生产与人口聚居的核心区域，核心生态功能为水源涵养与喀斯特石漠化防控。</w:t>
      </w:r>
    </w:p>
    <w:p w14:paraId="11C9B586">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中山温凉湿润带，海拔范围 2000～2400m，主要分布于流域东部、北部的中山上部地带。该区域气候温凉，降水充沛，相对湿度大，云雾天气频发，树干附生苔藓发育旺盛，优势植被包括以多变石栎、厚叶石栎为建群种的中山湿性常绿阔叶林，灰背栎、长穗栎为建群种的硬叶常绿阔叶林，以及华山松为主的暖性针叶林，群落物种丰富度高，原生植被保存完好，是珠江源核心水源涵养林区，核心生态功能为水源涵养、生物多样性保护与水土保持。</w:t>
      </w:r>
    </w:p>
    <w:p w14:paraId="33AFA8F4">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亚高山冷凉苔藓带，海拔范围 2400～2748.9m，集中分布于流域北部、东部的山顶与山脊地带，是流域内海拔最高的植被带。该区域气候冷凉，风力强劲，土层浅薄，乔木普遍出现矮曲化特征，枝干密被苔藓，优势植被包括以杜鹃为建群种的山顶苔藓矮林，以及山地草甸，群落结构简单，物种以耐寒、耐贫瘠的高山特有种类为主，是流域内珍稀濒危动植物的核心栖息地，核心生态功能为生物多样性保护、水源涵养与高山生态系统稳定维护。</w:t>
      </w:r>
    </w:p>
    <w:p w14:paraId="0EE7E31F">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整体来看，植被分布水平上受喀斯特地貌与水热条件控制形成了四个植被区，垂直上随海拔梯度形成了完整的四带植被谱，二者共同构成了流域内复杂多样的植被生态系统，也决定了不同区域的生态保护优先级与修复方向。</w:t>
      </w:r>
    </w:p>
    <w:p w14:paraId="600B7B96">
      <w:pPr>
        <w:pStyle w:val="4"/>
        <w:ind w:firstLine="1044"/>
        <w:rPr>
          <w:rFonts w:hint="default" w:ascii="Times New Roman" w:hAnsi="Times New Roman" w:eastAsia="宋体" w:cs="Times New Roman"/>
          <w:color w:val="auto"/>
          <w:sz w:val="24"/>
          <w:szCs w:val="24"/>
          <w:highlight w:val="none"/>
          <w:lang w:val="en-US" w:eastAsia="zh-CN"/>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color w:val="auto"/>
          <w:sz w:val="24"/>
          <w:szCs w:val="24"/>
          <w:highlight w:val="none"/>
          <w:lang w:val="en-US" w:eastAsia="zh-CN"/>
        </w:rPr>
        <w:t>各类自然植被分布情况及群系特征</w:t>
      </w:r>
      <w:r>
        <w:rPr>
          <w:rFonts w:hint="default" w:ascii="Times New Roman" w:hAnsi="Times New Roman" w:cs="Times New Roman"/>
          <w:color w:val="auto"/>
          <w:sz w:val="24"/>
          <w:szCs w:val="24"/>
          <w:highlight w:val="none"/>
          <w:lang w:val="en-US" w:eastAsia="zh-CN"/>
        </w:rPr>
        <w:t>见下</w:t>
      </w:r>
      <w:r>
        <w:rPr>
          <w:rFonts w:hint="default" w:ascii="Times New Roman" w:hAnsi="Times New Roman" w:eastAsia="宋体" w:cs="Times New Roman"/>
          <w:color w:val="auto"/>
          <w:sz w:val="24"/>
          <w:szCs w:val="24"/>
          <w:highlight w:val="none"/>
          <w:lang w:val="en-US" w:eastAsia="zh-CN"/>
        </w:rPr>
        <w:t>表。</w:t>
      </w:r>
    </w:p>
    <w:p w14:paraId="4643E3D0">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表3.4.1-1  规划评价区植被分布及特征一览表</w:t>
      </w:r>
    </w:p>
    <w:tbl>
      <w:tblPr>
        <w:tblStyle w:val="22"/>
        <w:tblW w:w="14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74"/>
        <w:gridCol w:w="1265"/>
        <w:gridCol w:w="1573"/>
        <w:gridCol w:w="3647"/>
        <w:gridCol w:w="6512"/>
      </w:tblGrid>
      <w:tr w14:paraId="798FF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1174" w:type="dxa"/>
            <w:shd w:val="clear" w:color="auto" w:fill="auto"/>
            <w:noWrap/>
            <w:vAlign w:val="center"/>
          </w:tcPr>
          <w:p w14:paraId="72BE808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植被类型</w:t>
            </w:r>
          </w:p>
        </w:tc>
        <w:tc>
          <w:tcPr>
            <w:tcW w:w="1265" w:type="dxa"/>
            <w:shd w:val="clear" w:color="auto" w:fill="auto"/>
            <w:noWrap/>
            <w:vAlign w:val="center"/>
          </w:tcPr>
          <w:p w14:paraId="5245D1C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植被亚型</w:t>
            </w:r>
          </w:p>
        </w:tc>
        <w:tc>
          <w:tcPr>
            <w:tcW w:w="1573" w:type="dxa"/>
            <w:shd w:val="clear" w:color="auto" w:fill="auto"/>
            <w:noWrap/>
            <w:vAlign w:val="center"/>
          </w:tcPr>
          <w:p w14:paraId="20581B3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群系</w:t>
            </w:r>
          </w:p>
        </w:tc>
        <w:tc>
          <w:tcPr>
            <w:tcW w:w="3647" w:type="dxa"/>
            <w:shd w:val="clear" w:color="auto" w:fill="auto"/>
            <w:noWrap/>
            <w:vAlign w:val="center"/>
          </w:tcPr>
          <w:p w14:paraId="3A04BB9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分布</w:t>
            </w:r>
          </w:p>
        </w:tc>
        <w:tc>
          <w:tcPr>
            <w:tcW w:w="6512" w:type="dxa"/>
            <w:shd w:val="clear" w:color="auto" w:fill="auto"/>
            <w:noWrap/>
            <w:vAlign w:val="center"/>
          </w:tcPr>
          <w:p w14:paraId="21F287E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kern w:val="0"/>
                <w:sz w:val="21"/>
                <w:szCs w:val="21"/>
                <w:highlight w:val="none"/>
                <w:u w:val="none"/>
                <w:lang w:val="en-US" w:eastAsia="zh-CN" w:bidi="ar"/>
              </w:rPr>
            </w:pPr>
            <w:r>
              <w:rPr>
                <w:rFonts w:hint="default" w:ascii="Times New Roman" w:hAnsi="Times New Roman" w:eastAsia="宋体" w:cs="Times New Roman"/>
                <w:b/>
                <w:i w:val="0"/>
                <w:iCs w:val="0"/>
                <w:color w:val="auto"/>
                <w:kern w:val="0"/>
                <w:sz w:val="21"/>
                <w:szCs w:val="21"/>
                <w:highlight w:val="none"/>
                <w:u w:val="none"/>
                <w:lang w:val="en-US" w:eastAsia="zh-CN" w:bidi="ar"/>
              </w:rPr>
              <w:t>群系特征</w:t>
            </w:r>
          </w:p>
        </w:tc>
      </w:tr>
      <w:tr w14:paraId="25CE6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58" w:hRule="atLeast"/>
          <w:jc w:val="center"/>
        </w:trPr>
        <w:tc>
          <w:tcPr>
            <w:tcW w:w="1174" w:type="dxa"/>
            <w:vMerge w:val="restart"/>
            <w:shd w:val="clear" w:color="auto" w:fill="auto"/>
            <w:noWrap/>
            <w:vAlign w:val="center"/>
          </w:tcPr>
          <w:p w14:paraId="5B1A8CB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Ⅰ</w:t>
            </w:r>
            <w:r>
              <w:rPr>
                <w:rFonts w:hint="default" w:ascii="Times New Roman" w:hAnsi="Times New Roman" w:eastAsia="宋体" w:cs="Times New Roman"/>
                <w:color w:val="auto"/>
                <w:sz w:val="21"/>
                <w:szCs w:val="21"/>
                <w:highlight w:val="none"/>
                <w:lang w:val="en-US" w:eastAsia="zh-CN" w:bidi="ar"/>
              </w:rPr>
              <w:t xml:space="preserve"> 常绿阔叶林</w:t>
            </w:r>
          </w:p>
        </w:tc>
        <w:tc>
          <w:tcPr>
            <w:tcW w:w="1265" w:type="dxa"/>
            <w:vMerge w:val="restart"/>
            <w:shd w:val="clear" w:color="auto" w:fill="auto"/>
            <w:noWrap/>
            <w:vAlign w:val="center"/>
          </w:tcPr>
          <w:p w14:paraId="08EE03D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一、半湿润常绿阔叶林</w:t>
            </w:r>
            <w:r>
              <w:rPr>
                <w:rFonts w:hint="default" w:ascii="Times New Roman" w:hAnsi="Times New Roman" w:eastAsia="宋体" w:cs="Times New Roman"/>
                <w:color w:val="auto"/>
                <w:sz w:val="21"/>
                <w:szCs w:val="21"/>
                <w:highlight w:val="none"/>
                <w:lang w:val="en-US" w:eastAsia="zh-CN" w:bidi="ar"/>
              </w:rPr>
              <w:t xml:space="preserve"> </w:t>
            </w:r>
          </w:p>
        </w:tc>
        <w:tc>
          <w:tcPr>
            <w:tcW w:w="1573" w:type="dxa"/>
            <w:shd w:val="clear" w:color="auto" w:fill="auto"/>
            <w:noWrap/>
            <w:vAlign w:val="center"/>
          </w:tcPr>
          <w:p w14:paraId="3FF5271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 </w:t>
            </w:r>
            <w:r>
              <w:rPr>
                <w:rFonts w:hint="default" w:ascii="Times New Roman" w:hAnsi="Times New Roman" w:eastAsia="宋体" w:cs="Times New Roman"/>
                <w:color w:val="auto"/>
                <w:sz w:val="21"/>
                <w:szCs w:val="21"/>
                <w:highlight w:val="none"/>
                <w:lang w:val="en-US" w:eastAsia="zh-CN" w:bidi="ar"/>
              </w:rPr>
              <w:t>黄毛青冈林</w:t>
            </w:r>
          </w:p>
        </w:tc>
        <w:tc>
          <w:tcPr>
            <w:tcW w:w="3647" w:type="dxa"/>
            <w:shd w:val="clear" w:color="auto" w:fill="auto"/>
            <w:vAlign w:val="center"/>
          </w:tcPr>
          <w:p w14:paraId="6C99830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海拔1500～2100m；分布于马龙、麒麟、陆良、师宗、富源</w:t>
            </w:r>
          </w:p>
        </w:tc>
        <w:tc>
          <w:tcPr>
            <w:tcW w:w="6512" w:type="dxa"/>
            <w:shd w:val="clear" w:color="auto" w:fill="auto"/>
            <w:vAlign w:val="center"/>
          </w:tcPr>
          <w:p w14:paraId="1CCF1D21">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石灰岩山地代表性常绿阔叶林；乔木层以黄毛青冈占优势，伴生滇青冈、滇石栎；林下杜鹃、滇榛发育；人为破坏后极易退化为萌生灌丛</w:t>
            </w:r>
          </w:p>
        </w:tc>
      </w:tr>
      <w:tr w14:paraId="57081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06388EF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4D938BE7">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30608EE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 </w:t>
            </w:r>
            <w:r>
              <w:rPr>
                <w:rFonts w:hint="default" w:ascii="Times New Roman" w:hAnsi="Times New Roman" w:eastAsia="宋体" w:cs="Times New Roman"/>
                <w:color w:val="auto"/>
                <w:sz w:val="21"/>
                <w:szCs w:val="21"/>
                <w:highlight w:val="none"/>
                <w:lang w:val="en-US" w:eastAsia="zh-CN" w:bidi="ar"/>
              </w:rPr>
              <w:t xml:space="preserve">滇青冈林 </w:t>
            </w:r>
          </w:p>
        </w:tc>
        <w:tc>
          <w:tcPr>
            <w:tcW w:w="3647" w:type="dxa"/>
            <w:shd w:val="clear" w:color="auto" w:fill="auto"/>
            <w:vAlign w:val="center"/>
          </w:tcPr>
          <w:p w14:paraId="1B7B88A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海拔1450～2050m；分布于陆良、马龙、麒麟、罗平北部</w:t>
            </w:r>
          </w:p>
        </w:tc>
        <w:tc>
          <w:tcPr>
            <w:tcW w:w="6512" w:type="dxa"/>
            <w:shd w:val="clear" w:color="auto" w:fill="auto"/>
            <w:vAlign w:val="center"/>
          </w:tcPr>
          <w:p w14:paraId="6E7B25E0">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滇东高原典型半湿润常绿阔叶林；喜土层较厚喀斯特坡地；群落郁闭度较高；原生保存面积不多，多呈斑块残存</w:t>
            </w:r>
          </w:p>
        </w:tc>
      </w:tr>
      <w:tr w14:paraId="640D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504266C5">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675C1630">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494009C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 </w:t>
            </w:r>
            <w:r>
              <w:rPr>
                <w:rFonts w:hint="default" w:ascii="Times New Roman" w:hAnsi="Times New Roman" w:eastAsia="宋体" w:cs="Times New Roman"/>
                <w:color w:val="auto"/>
                <w:sz w:val="21"/>
                <w:szCs w:val="21"/>
                <w:highlight w:val="none"/>
                <w:lang w:val="en-US" w:eastAsia="zh-CN" w:bidi="ar"/>
              </w:rPr>
              <w:t>滇石栎林</w:t>
            </w:r>
          </w:p>
        </w:tc>
        <w:tc>
          <w:tcPr>
            <w:tcW w:w="3647" w:type="dxa"/>
            <w:shd w:val="clear" w:color="auto" w:fill="auto"/>
            <w:vAlign w:val="center"/>
          </w:tcPr>
          <w:p w14:paraId="267C1BC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海拔1500～2150m；广泛分布，以富源、师宗、马龙居多</w:t>
            </w:r>
          </w:p>
        </w:tc>
        <w:tc>
          <w:tcPr>
            <w:tcW w:w="6512" w:type="dxa"/>
            <w:shd w:val="clear" w:color="auto" w:fill="auto"/>
            <w:vAlign w:val="center"/>
          </w:tcPr>
          <w:p w14:paraId="42FBD580">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适应性强，酸性土、石灰岩土壤均可生长；原生林破坏后常形成大面积滇石栎萌生灌丛；伴生元江栲、黄毛青冈</w:t>
            </w:r>
          </w:p>
        </w:tc>
      </w:tr>
      <w:tr w14:paraId="683F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56403EA9">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3BF0ED8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5ED5BDE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 </w:t>
            </w:r>
            <w:r>
              <w:rPr>
                <w:rFonts w:hint="default" w:ascii="Times New Roman" w:hAnsi="Times New Roman" w:eastAsia="宋体" w:cs="Times New Roman"/>
                <w:color w:val="auto"/>
                <w:sz w:val="21"/>
                <w:szCs w:val="21"/>
                <w:highlight w:val="none"/>
                <w:lang w:val="en-US" w:eastAsia="zh-CN" w:bidi="ar"/>
              </w:rPr>
              <w:t>光叶石栎林</w:t>
            </w:r>
          </w:p>
        </w:tc>
        <w:tc>
          <w:tcPr>
            <w:tcW w:w="3647" w:type="dxa"/>
            <w:shd w:val="clear" w:color="auto" w:fill="auto"/>
            <w:vAlign w:val="center"/>
          </w:tcPr>
          <w:p w14:paraId="1293DFF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海拔1600～2200m；分布于富源、师宗、罗平中山上部</w:t>
            </w:r>
          </w:p>
        </w:tc>
        <w:tc>
          <w:tcPr>
            <w:tcW w:w="6512" w:type="dxa"/>
            <w:shd w:val="clear" w:color="auto" w:fill="auto"/>
            <w:vAlign w:val="center"/>
          </w:tcPr>
          <w:p w14:paraId="0573C9AB">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偏好湿度稍高山地坡脊；乔木层树冠整齐，林下苔藓较发育；常向中山湿性常绿阔叶林过渡</w:t>
            </w:r>
          </w:p>
        </w:tc>
      </w:tr>
      <w:tr w14:paraId="2C951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02A0AB91">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5A52FBB6">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2B065F1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5 .</w:t>
            </w:r>
            <w:r>
              <w:rPr>
                <w:rFonts w:hint="default" w:ascii="Times New Roman" w:hAnsi="Times New Roman" w:eastAsia="宋体" w:cs="Times New Roman"/>
                <w:color w:val="auto"/>
                <w:sz w:val="21"/>
                <w:szCs w:val="21"/>
                <w:highlight w:val="none"/>
                <w:lang w:val="en-US" w:eastAsia="zh-CN" w:bidi="ar"/>
              </w:rPr>
              <w:t xml:space="preserve"> 元江栲林</w:t>
            </w:r>
          </w:p>
        </w:tc>
        <w:tc>
          <w:tcPr>
            <w:tcW w:w="3647" w:type="dxa"/>
            <w:shd w:val="clear" w:color="auto" w:fill="auto"/>
            <w:vAlign w:val="center"/>
          </w:tcPr>
          <w:p w14:paraId="0D94F0D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海拔1550～2100m；分布于马龙、富源、师宗、罗平</w:t>
            </w:r>
          </w:p>
        </w:tc>
        <w:tc>
          <w:tcPr>
            <w:tcW w:w="6512" w:type="dxa"/>
            <w:shd w:val="clear" w:color="auto" w:fill="auto"/>
            <w:vAlign w:val="center"/>
          </w:tcPr>
          <w:p w14:paraId="1E45D920">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多分布于沟谷、阴坡水湿条件较好地段；生长速度优于青冈类；遭受砍伐后极易发育元江栲萌生灌丛</w:t>
            </w:r>
          </w:p>
        </w:tc>
      </w:tr>
      <w:tr w14:paraId="49DBE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5E78DB03">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restart"/>
            <w:shd w:val="clear" w:color="auto" w:fill="auto"/>
            <w:noWrap/>
            <w:vAlign w:val="center"/>
          </w:tcPr>
          <w:p w14:paraId="3AF8315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二、中山湿性常绿阔叶林</w:t>
            </w:r>
          </w:p>
        </w:tc>
        <w:tc>
          <w:tcPr>
            <w:tcW w:w="1573" w:type="dxa"/>
            <w:shd w:val="clear" w:color="auto" w:fill="auto"/>
            <w:noWrap/>
            <w:vAlign w:val="center"/>
          </w:tcPr>
          <w:p w14:paraId="4258D20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 </w:t>
            </w:r>
            <w:r>
              <w:rPr>
                <w:rFonts w:hint="default" w:ascii="Times New Roman" w:hAnsi="Times New Roman" w:eastAsia="宋体" w:cs="Times New Roman"/>
                <w:color w:val="auto"/>
                <w:sz w:val="21"/>
                <w:szCs w:val="21"/>
                <w:highlight w:val="none"/>
                <w:lang w:val="en-US" w:eastAsia="zh-CN" w:bidi="ar"/>
              </w:rPr>
              <w:t>多变石栎林</w:t>
            </w:r>
          </w:p>
        </w:tc>
        <w:tc>
          <w:tcPr>
            <w:tcW w:w="3647" w:type="dxa"/>
            <w:shd w:val="clear" w:color="auto" w:fill="auto"/>
            <w:vAlign w:val="center"/>
          </w:tcPr>
          <w:p w14:paraId="500C17D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海拔1900～2400m；分布于富源、师宗、罗平较高山地</w:t>
            </w:r>
          </w:p>
        </w:tc>
        <w:tc>
          <w:tcPr>
            <w:tcW w:w="6512" w:type="dxa"/>
            <w:shd w:val="clear" w:color="auto" w:fill="auto"/>
            <w:vAlign w:val="center"/>
          </w:tcPr>
          <w:p w14:paraId="1D514AAC">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中山云雾线附近优势群落；常年湿度较高，树干附生苔藓发达；乔木层次分明，人为干扰相对较轻</w:t>
            </w:r>
          </w:p>
        </w:tc>
      </w:tr>
      <w:tr w14:paraId="1D983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4E1CF38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260A53E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5AE92A6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 </w:t>
            </w:r>
            <w:r>
              <w:rPr>
                <w:rFonts w:hint="default" w:ascii="Times New Roman" w:hAnsi="Times New Roman" w:eastAsia="宋体" w:cs="Times New Roman"/>
                <w:color w:val="auto"/>
                <w:sz w:val="21"/>
                <w:szCs w:val="21"/>
                <w:highlight w:val="none"/>
                <w:lang w:val="en-US" w:eastAsia="zh-CN" w:bidi="ar"/>
              </w:rPr>
              <w:t xml:space="preserve">厚叶石栎林 </w:t>
            </w:r>
          </w:p>
        </w:tc>
        <w:tc>
          <w:tcPr>
            <w:tcW w:w="3647" w:type="dxa"/>
            <w:shd w:val="clear" w:color="auto" w:fill="auto"/>
            <w:vAlign w:val="center"/>
          </w:tcPr>
          <w:p w14:paraId="3BC41B3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海拔2000～2450m；分布于富源东部、罗平北部中山上部</w:t>
            </w:r>
          </w:p>
        </w:tc>
        <w:tc>
          <w:tcPr>
            <w:tcW w:w="6512" w:type="dxa"/>
            <w:shd w:val="clear" w:color="auto" w:fill="auto"/>
            <w:vAlign w:val="center"/>
          </w:tcPr>
          <w:p w14:paraId="4E64CDB6">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山体迎风坡面集中分布；叶片厚革质耐旱耐寒，常与多变石栎交错分布</w:t>
            </w:r>
          </w:p>
        </w:tc>
      </w:tr>
      <w:tr w14:paraId="23E9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5687E676">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485394BA">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036AB1F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 </w:t>
            </w:r>
            <w:r>
              <w:rPr>
                <w:rFonts w:hint="default" w:ascii="Times New Roman" w:hAnsi="Times New Roman" w:eastAsia="宋体" w:cs="Times New Roman"/>
                <w:color w:val="auto"/>
                <w:sz w:val="21"/>
                <w:szCs w:val="21"/>
                <w:highlight w:val="none"/>
                <w:lang w:val="en-US" w:eastAsia="zh-CN" w:bidi="ar"/>
              </w:rPr>
              <w:t xml:space="preserve">瓦山栲林 </w:t>
            </w:r>
          </w:p>
        </w:tc>
        <w:tc>
          <w:tcPr>
            <w:tcW w:w="3647" w:type="dxa"/>
            <w:shd w:val="clear" w:color="auto" w:fill="auto"/>
            <w:vAlign w:val="center"/>
          </w:tcPr>
          <w:p w14:paraId="71DFE96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海拔1850～2300m；分布于师宗、罗平山体阴湿沟谷</w:t>
            </w:r>
          </w:p>
        </w:tc>
        <w:tc>
          <w:tcPr>
            <w:tcW w:w="6512" w:type="dxa"/>
            <w:shd w:val="clear" w:color="auto" w:fill="auto"/>
            <w:vAlign w:val="center"/>
          </w:tcPr>
          <w:p w14:paraId="0904C91B">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局限于湿润箐沟地段，斑块状分布；群落物种丰富度较高</w:t>
            </w:r>
          </w:p>
        </w:tc>
      </w:tr>
      <w:tr w14:paraId="2449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2C3322F6">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restart"/>
            <w:shd w:val="clear" w:color="auto" w:fill="auto"/>
            <w:noWrap/>
            <w:vAlign w:val="center"/>
          </w:tcPr>
          <w:p w14:paraId="6533D16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三、山顶苔藓矮林</w:t>
            </w:r>
          </w:p>
        </w:tc>
        <w:tc>
          <w:tcPr>
            <w:tcW w:w="1573" w:type="dxa"/>
            <w:shd w:val="clear" w:color="auto" w:fill="auto"/>
            <w:noWrap/>
            <w:vAlign w:val="center"/>
          </w:tcPr>
          <w:p w14:paraId="62957E2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r>
              <w:rPr>
                <w:rFonts w:hint="default" w:ascii="Times New Roman" w:hAnsi="Times New Roman" w:eastAsia="宋体" w:cs="Times New Roman"/>
                <w:color w:val="auto"/>
                <w:sz w:val="21"/>
                <w:szCs w:val="21"/>
                <w:highlight w:val="none"/>
                <w:lang w:val="en-US" w:eastAsia="zh-CN" w:bidi="ar"/>
              </w:rPr>
              <w:t>. 马缨花杜鹃林</w:t>
            </w:r>
          </w:p>
        </w:tc>
        <w:tc>
          <w:tcPr>
            <w:tcW w:w="3647" w:type="dxa"/>
            <w:shd w:val="clear" w:color="auto" w:fill="auto"/>
            <w:vAlign w:val="center"/>
          </w:tcPr>
          <w:p w14:paraId="11AE157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海拔2000～2500m；主要分布于富源、师宗、罗平山顶山脊</w:t>
            </w:r>
          </w:p>
        </w:tc>
        <w:tc>
          <w:tcPr>
            <w:tcW w:w="6512" w:type="dxa"/>
            <w:shd w:val="clear" w:color="auto" w:fill="auto"/>
            <w:vAlign w:val="center"/>
          </w:tcPr>
          <w:p w14:paraId="0B4F4ED3">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植株矮曲、枝干多苔藓；土层浅薄、风力强劲；常沿山脊呈狭带状分布，开花季景观显著</w:t>
            </w:r>
          </w:p>
        </w:tc>
      </w:tr>
      <w:tr w14:paraId="48433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38CD0C8B">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11618591">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5053CFE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r>
              <w:rPr>
                <w:rFonts w:hint="default" w:ascii="Times New Roman" w:hAnsi="Times New Roman" w:eastAsia="宋体" w:cs="Times New Roman"/>
                <w:color w:val="auto"/>
                <w:sz w:val="21"/>
                <w:szCs w:val="21"/>
                <w:highlight w:val="none"/>
                <w:lang w:val="en-US" w:eastAsia="zh-CN" w:bidi="ar"/>
              </w:rPr>
              <w:t>. 大白花杜鹃林</w:t>
            </w:r>
          </w:p>
        </w:tc>
        <w:tc>
          <w:tcPr>
            <w:tcW w:w="3647" w:type="dxa"/>
            <w:shd w:val="clear" w:color="auto" w:fill="auto"/>
            <w:vAlign w:val="center"/>
          </w:tcPr>
          <w:p w14:paraId="4CBB262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海拔1950～2400m；中高山山脊普遍出现</w:t>
            </w:r>
          </w:p>
        </w:tc>
        <w:tc>
          <w:tcPr>
            <w:tcW w:w="6512" w:type="dxa"/>
            <w:shd w:val="clear" w:color="auto" w:fill="auto"/>
            <w:vAlign w:val="center"/>
          </w:tcPr>
          <w:p w14:paraId="45D52B3C">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相比马缨花杜鹃更耐适度湿润生境；常与多种杜鹃混生，形成杜鹃矮林复合体</w:t>
            </w:r>
          </w:p>
        </w:tc>
      </w:tr>
      <w:tr w14:paraId="49FB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restart"/>
            <w:shd w:val="clear" w:color="auto" w:fill="auto"/>
            <w:noWrap/>
            <w:vAlign w:val="center"/>
          </w:tcPr>
          <w:p w14:paraId="7CF15CA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Ⅱ</w:t>
            </w:r>
            <w:r>
              <w:rPr>
                <w:rFonts w:hint="default" w:ascii="Times New Roman" w:hAnsi="Times New Roman" w:eastAsia="宋体" w:cs="Times New Roman"/>
                <w:color w:val="auto"/>
                <w:sz w:val="21"/>
                <w:szCs w:val="21"/>
                <w:highlight w:val="none"/>
                <w:lang w:val="en-US" w:eastAsia="zh-CN" w:bidi="ar"/>
              </w:rPr>
              <w:t xml:space="preserve"> 硬叶常绿阔叶林</w:t>
            </w:r>
          </w:p>
        </w:tc>
        <w:tc>
          <w:tcPr>
            <w:tcW w:w="1265" w:type="dxa"/>
            <w:vMerge w:val="restart"/>
            <w:shd w:val="clear" w:color="auto" w:fill="auto"/>
            <w:noWrap/>
            <w:vAlign w:val="center"/>
          </w:tcPr>
          <w:p w14:paraId="00E0283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一、寒温山地硬叶常绿阔叶林</w:t>
            </w:r>
          </w:p>
        </w:tc>
        <w:tc>
          <w:tcPr>
            <w:tcW w:w="1573" w:type="dxa"/>
            <w:shd w:val="clear" w:color="auto" w:fill="auto"/>
            <w:noWrap/>
            <w:vAlign w:val="center"/>
          </w:tcPr>
          <w:p w14:paraId="5A767DB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r>
              <w:rPr>
                <w:rFonts w:hint="default" w:ascii="Times New Roman" w:hAnsi="Times New Roman" w:eastAsia="宋体" w:cs="Times New Roman"/>
                <w:color w:val="auto"/>
                <w:sz w:val="21"/>
                <w:szCs w:val="21"/>
                <w:highlight w:val="none"/>
                <w:lang w:val="en-US" w:eastAsia="zh-CN" w:bidi="ar"/>
              </w:rPr>
              <w:t>. 灰背栎林</w:t>
            </w:r>
          </w:p>
        </w:tc>
        <w:tc>
          <w:tcPr>
            <w:tcW w:w="3647" w:type="dxa"/>
            <w:shd w:val="clear" w:color="auto" w:fill="auto"/>
            <w:vAlign w:val="center"/>
          </w:tcPr>
          <w:p w14:paraId="4C7B744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海拔1800～2450m；分布于富源北部</w:t>
            </w:r>
          </w:p>
        </w:tc>
        <w:tc>
          <w:tcPr>
            <w:tcW w:w="6512" w:type="dxa"/>
            <w:shd w:val="clear" w:color="auto" w:fill="auto"/>
            <w:vAlign w:val="center"/>
          </w:tcPr>
          <w:p w14:paraId="3BCA7DD0">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耐寒耐旱，适应偏酸性山地土壤；原生林破坏后形成灰背栎萌生灌丛</w:t>
            </w:r>
          </w:p>
        </w:tc>
      </w:tr>
      <w:tr w14:paraId="2C8BF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51C362E3">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4EC74A93">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5B75266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color w:val="auto"/>
                <w:sz w:val="21"/>
                <w:szCs w:val="21"/>
                <w:highlight w:val="none"/>
                <w:lang w:val="en-US" w:eastAsia="zh-CN" w:bidi="ar"/>
              </w:rPr>
              <w:t>2. 长穗栎林</w:t>
            </w:r>
          </w:p>
        </w:tc>
        <w:tc>
          <w:tcPr>
            <w:tcW w:w="3647" w:type="dxa"/>
            <w:shd w:val="clear" w:color="auto" w:fill="auto"/>
            <w:vAlign w:val="center"/>
          </w:tcPr>
          <w:p w14:paraId="6F97AC8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海拔1750～2350m；分布于马龙北部、富源</w:t>
            </w:r>
          </w:p>
        </w:tc>
        <w:tc>
          <w:tcPr>
            <w:tcW w:w="6512" w:type="dxa"/>
            <w:shd w:val="clear" w:color="auto" w:fill="auto"/>
            <w:vAlign w:val="center"/>
          </w:tcPr>
          <w:p w14:paraId="377AAD98">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滇东高原山地常见硬叶栎类，石灰岩、砂页岩山地均能生长；萌生能力极强</w:t>
            </w:r>
          </w:p>
        </w:tc>
      </w:tr>
      <w:tr w14:paraId="60C5B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restart"/>
            <w:shd w:val="clear" w:color="auto" w:fill="auto"/>
            <w:noWrap/>
            <w:vAlign w:val="center"/>
          </w:tcPr>
          <w:p w14:paraId="1981BF4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Ⅲ</w:t>
            </w:r>
            <w:r>
              <w:rPr>
                <w:rFonts w:hint="default" w:ascii="Times New Roman" w:hAnsi="Times New Roman" w:eastAsia="宋体" w:cs="Times New Roman"/>
                <w:color w:val="auto"/>
                <w:sz w:val="21"/>
                <w:szCs w:val="21"/>
                <w:highlight w:val="none"/>
                <w:lang w:val="en-US" w:eastAsia="zh-CN" w:bidi="ar"/>
              </w:rPr>
              <w:t xml:space="preserve"> 落叶阔叶林</w:t>
            </w:r>
          </w:p>
        </w:tc>
        <w:tc>
          <w:tcPr>
            <w:tcW w:w="1265" w:type="dxa"/>
            <w:vMerge w:val="restart"/>
            <w:shd w:val="clear" w:color="auto" w:fill="auto"/>
            <w:noWrap/>
            <w:vAlign w:val="center"/>
          </w:tcPr>
          <w:p w14:paraId="20BE339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一、暖性落叶阔叶林</w:t>
            </w:r>
          </w:p>
        </w:tc>
        <w:tc>
          <w:tcPr>
            <w:tcW w:w="1573" w:type="dxa"/>
            <w:shd w:val="clear" w:color="auto" w:fill="auto"/>
            <w:noWrap/>
            <w:vAlign w:val="center"/>
          </w:tcPr>
          <w:p w14:paraId="3EA20A9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color w:val="auto"/>
                <w:sz w:val="21"/>
                <w:szCs w:val="21"/>
                <w:highlight w:val="none"/>
                <w:lang w:val="en-US" w:eastAsia="zh-CN" w:bidi="ar"/>
              </w:rPr>
              <w:t>3. 栓皮栎林</w:t>
            </w:r>
          </w:p>
        </w:tc>
        <w:tc>
          <w:tcPr>
            <w:tcW w:w="3647" w:type="dxa"/>
            <w:shd w:val="clear" w:color="auto" w:fill="auto"/>
            <w:vAlign w:val="center"/>
          </w:tcPr>
          <w:p w14:paraId="3DBE927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海拔1400～2000m；分布于马龙、陆良、富源、师宗</w:t>
            </w:r>
          </w:p>
        </w:tc>
        <w:tc>
          <w:tcPr>
            <w:tcW w:w="6512" w:type="dxa"/>
            <w:shd w:val="clear" w:color="auto" w:fill="auto"/>
            <w:vAlign w:val="center"/>
          </w:tcPr>
          <w:p w14:paraId="02536E17">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喜向阳干燥山坡；耐火、萌生能力强；多为次生林，原生群落少见</w:t>
            </w:r>
          </w:p>
        </w:tc>
      </w:tr>
      <w:tr w14:paraId="66E9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1D4B0DD6">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5BF21E10">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773D2EC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color w:val="auto"/>
                <w:sz w:val="21"/>
                <w:szCs w:val="21"/>
                <w:highlight w:val="none"/>
                <w:lang w:val="en-US" w:eastAsia="zh-CN" w:bidi="ar"/>
              </w:rPr>
              <w:t>4. 旱冬瓜林</w:t>
            </w:r>
          </w:p>
        </w:tc>
        <w:tc>
          <w:tcPr>
            <w:tcW w:w="3647" w:type="dxa"/>
            <w:shd w:val="clear" w:color="auto" w:fill="auto"/>
            <w:vAlign w:val="center"/>
          </w:tcPr>
          <w:p w14:paraId="1E397B2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海拔1300～2200m；广泛分布</w:t>
            </w:r>
          </w:p>
        </w:tc>
        <w:tc>
          <w:tcPr>
            <w:tcW w:w="6512" w:type="dxa"/>
            <w:shd w:val="clear" w:color="auto" w:fill="auto"/>
            <w:vAlign w:val="center"/>
          </w:tcPr>
          <w:p w14:paraId="4D04453A">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先锋树种，常在弃耕地、火烧迹地、滑坡体率先定居；可固氮改良土壤，常与云南松形成针阔混交林</w:t>
            </w:r>
          </w:p>
        </w:tc>
      </w:tr>
      <w:tr w14:paraId="3BD83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07A061F7">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238CC490">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779FE33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color w:val="auto"/>
                <w:sz w:val="21"/>
                <w:szCs w:val="21"/>
                <w:highlight w:val="none"/>
                <w:lang w:val="en-US" w:eastAsia="zh-CN" w:bidi="ar"/>
              </w:rPr>
              <w:t>5. 圆叶杨林</w:t>
            </w:r>
          </w:p>
        </w:tc>
        <w:tc>
          <w:tcPr>
            <w:tcW w:w="3647" w:type="dxa"/>
            <w:shd w:val="clear" w:color="auto" w:fill="auto"/>
            <w:vAlign w:val="center"/>
          </w:tcPr>
          <w:p w14:paraId="4DED84A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海拔1700～2300m；分布于富源、马龙较高山地</w:t>
            </w:r>
          </w:p>
        </w:tc>
        <w:tc>
          <w:tcPr>
            <w:tcW w:w="6512" w:type="dxa"/>
            <w:shd w:val="clear" w:color="auto" w:fill="auto"/>
            <w:vAlign w:val="center"/>
          </w:tcPr>
          <w:p w14:paraId="655449EC">
            <w:pPr>
              <w:keepNext w:val="0"/>
              <w:keepLines w:val="0"/>
              <w:pageBreakBefore w:val="0"/>
              <w:widowControl/>
              <w:suppressLineNumbers w:val="0"/>
              <w:kinsoku/>
              <w:wordWrap/>
              <w:overflowPunct/>
              <w:topLinePunct w:val="0"/>
              <w:autoSpaceDE/>
              <w:autoSpaceDN/>
              <w:bidi w:val="0"/>
              <w:snapToGrid w:val="0"/>
              <w:spacing w:line="240" w:lineRule="auto"/>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喜光耐寒次生落叶林，多见于采伐迹地、山坡空地，成片面积一般不大</w:t>
            </w:r>
          </w:p>
        </w:tc>
      </w:tr>
      <w:tr w14:paraId="6A055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396208E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21AF8D6B">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107C4CA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 </w:t>
            </w:r>
            <w:r>
              <w:rPr>
                <w:rFonts w:hint="default" w:ascii="Times New Roman" w:hAnsi="Times New Roman" w:eastAsia="宋体" w:cs="Times New Roman"/>
                <w:color w:val="auto"/>
                <w:sz w:val="21"/>
                <w:szCs w:val="21"/>
                <w:highlight w:val="none"/>
                <w:lang w:val="en-US" w:eastAsia="zh-CN" w:bidi="ar"/>
              </w:rPr>
              <w:t>枫杨林</w:t>
            </w:r>
            <w:r>
              <w:rPr>
                <w:rFonts w:hint="default" w:ascii="Times New Roman" w:hAnsi="Times New Roman" w:eastAsia="宋体" w:cs="Times New Roman"/>
                <w:i/>
                <w:iCs/>
                <w:color w:val="auto"/>
                <w:kern w:val="0"/>
                <w:sz w:val="21"/>
                <w:szCs w:val="21"/>
                <w:highlight w:val="none"/>
                <w:u w:val="none"/>
                <w:lang w:val="en-US" w:eastAsia="zh-CN" w:bidi="ar"/>
              </w:rPr>
              <w:t xml:space="preserve"> </w:t>
            </w:r>
          </w:p>
        </w:tc>
        <w:tc>
          <w:tcPr>
            <w:tcW w:w="3647" w:type="dxa"/>
            <w:shd w:val="clear" w:color="auto" w:fill="auto"/>
            <w:noWrap/>
            <w:vAlign w:val="center"/>
          </w:tcPr>
          <w:p w14:paraId="6CCDC8E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海拔1250～1750m，分布于南盘江干流、支流河岸边；罗平、师宗、陆良河谷，珠江源保护区南部实验区</w:t>
            </w:r>
          </w:p>
        </w:tc>
        <w:tc>
          <w:tcPr>
            <w:tcW w:w="6512" w:type="dxa"/>
            <w:shd w:val="clear" w:color="auto" w:fill="auto"/>
            <w:noWrap/>
            <w:vAlign w:val="center"/>
          </w:tcPr>
          <w:p w14:paraId="0AB07E5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典型河岸落叶树种，耐周期性水淹，沿溪流带状分布，是河谷河岸生态系统的核心树种。</w:t>
            </w:r>
          </w:p>
        </w:tc>
      </w:tr>
      <w:tr w14:paraId="26A6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restart"/>
            <w:shd w:val="clear" w:color="auto" w:fill="auto"/>
            <w:noWrap/>
            <w:vAlign w:val="center"/>
          </w:tcPr>
          <w:p w14:paraId="40FC8C4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Ⅳ</w:t>
            </w:r>
            <w:r>
              <w:rPr>
                <w:rFonts w:hint="default" w:ascii="Times New Roman" w:hAnsi="Times New Roman" w:eastAsia="宋体" w:cs="Times New Roman"/>
                <w:color w:val="auto"/>
                <w:sz w:val="21"/>
                <w:szCs w:val="21"/>
                <w:highlight w:val="none"/>
                <w:lang w:val="en-US" w:eastAsia="zh-CN" w:bidi="ar"/>
              </w:rPr>
              <w:t xml:space="preserve"> 暖性针叶林</w:t>
            </w:r>
          </w:p>
        </w:tc>
        <w:tc>
          <w:tcPr>
            <w:tcW w:w="1265" w:type="dxa"/>
            <w:vMerge w:val="restart"/>
            <w:shd w:val="clear" w:color="auto" w:fill="auto"/>
            <w:noWrap/>
            <w:vAlign w:val="center"/>
          </w:tcPr>
          <w:p w14:paraId="43330A0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一、暖温性针叶林</w:t>
            </w:r>
          </w:p>
        </w:tc>
        <w:tc>
          <w:tcPr>
            <w:tcW w:w="1573" w:type="dxa"/>
            <w:shd w:val="clear" w:color="auto" w:fill="auto"/>
            <w:noWrap/>
            <w:vAlign w:val="center"/>
          </w:tcPr>
          <w:p w14:paraId="2089163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color w:val="auto"/>
                <w:sz w:val="21"/>
                <w:szCs w:val="21"/>
                <w:highlight w:val="none"/>
                <w:lang w:val="en-US" w:eastAsia="zh-CN" w:bidi="ar"/>
              </w:rPr>
              <w:t>7. 云南松林</w:t>
            </w:r>
          </w:p>
        </w:tc>
        <w:tc>
          <w:tcPr>
            <w:tcW w:w="3647" w:type="dxa"/>
            <w:shd w:val="clear" w:color="auto" w:fill="auto"/>
            <w:noWrap/>
            <w:vAlign w:val="center"/>
          </w:tcPr>
          <w:p w14:paraId="56F9E01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海拔1200～2200m，分布于曲靖全境，中部、南部最为集中</w:t>
            </w:r>
          </w:p>
        </w:tc>
        <w:tc>
          <w:tcPr>
            <w:tcW w:w="6512" w:type="dxa"/>
            <w:shd w:val="clear" w:color="auto" w:fill="auto"/>
            <w:noWrap/>
            <w:vAlign w:val="center"/>
          </w:tcPr>
          <w:p w14:paraId="4315822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滇东高原代表性针叶林；耐干旱贫瘠，火烧后天然更新良好；常伴生多种阔叶幼树，是流域分布面积最广的森林类型，也是珠江源水源涵养林的主要组成。</w:t>
            </w:r>
          </w:p>
        </w:tc>
      </w:tr>
      <w:tr w14:paraId="28B8E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02CDFD65">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6AEF4878">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25C64F8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color w:val="auto"/>
                <w:sz w:val="21"/>
                <w:szCs w:val="21"/>
                <w:highlight w:val="none"/>
                <w:lang w:val="en-US" w:eastAsia="zh-CN" w:bidi="ar"/>
              </w:rPr>
              <w:t>8. 滇油杉林</w:t>
            </w:r>
          </w:p>
        </w:tc>
        <w:tc>
          <w:tcPr>
            <w:tcW w:w="3647" w:type="dxa"/>
            <w:shd w:val="clear" w:color="auto" w:fill="auto"/>
            <w:noWrap/>
            <w:vAlign w:val="center"/>
          </w:tcPr>
          <w:p w14:paraId="4F0AA07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海拔1300～2000m，分布于陆良、马龙、师宗、罗平石灰岩山地</w:t>
            </w:r>
          </w:p>
        </w:tc>
        <w:tc>
          <w:tcPr>
            <w:tcW w:w="6512" w:type="dxa"/>
            <w:shd w:val="clear" w:color="auto" w:fill="auto"/>
            <w:noWrap/>
            <w:vAlign w:val="center"/>
          </w:tcPr>
          <w:p w14:paraId="06EAB5A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偏好喀斯特山地；生长缓慢，原生成熟林稀少，现存多为中幼林，是石灰岩山地的特有针叶树种。</w:t>
            </w:r>
          </w:p>
        </w:tc>
      </w:tr>
      <w:tr w14:paraId="2D30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36AFD9A3">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03DEA00D">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4F3A0D9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color w:val="auto"/>
                <w:sz w:val="21"/>
                <w:szCs w:val="21"/>
                <w:highlight w:val="none"/>
                <w:lang w:val="en-US" w:eastAsia="zh-CN" w:bidi="ar"/>
              </w:rPr>
              <w:t>9. 黄杉林</w:t>
            </w:r>
          </w:p>
        </w:tc>
        <w:tc>
          <w:tcPr>
            <w:tcW w:w="3647" w:type="dxa"/>
            <w:shd w:val="clear" w:color="auto" w:fill="auto"/>
            <w:noWrap/>
            <w:vAlign w:val="center"/>
          </w:tcPr>
          <w:p w14:paraId="3E0125D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海拔1500～2100m，分布于富源、师宗、罗平局部山地</w:t>
            </w:r>
          </w:p>
        </w:tc>
        <w:tc>
          <w:tcPr>
            <w:tcW w:w="6512" w:type="dxa"/>
            <w:shd w:val="clear" w:color="auto" w:fill="auto"/>
            <w:noWrap/>
            <w:vAlign w:val="center"/>
          </w:tcPr>
          <w:p w14:paraId="7F1B1D3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国家重点保护树种，群落呈零星斑块分布，生境要求较高，需重点保护，是流域内珍稀的针叶林类型。</w:t>
            </w:r>
          </w:p>
        </w:tc>
      </w:tr>
      <w:tr w14:paraId="6EF99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2BF5ED37">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13355B99">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3342BD1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r>
              <w:rPr>
                <w:rFonts w:hint="default" w:ascii="Times New Roman" w:hAnsi="Times New Roman" w:eastAsia="宋体" w:cs="Times New Roman"/>
                <w:color w:val="auto"/>
                <w:sz w:val="21"/>
                <w:szCs w:val="21"/>
                <w:highlight w:val="none"/>
                <w:lang w:val="en-US" w:eastAsia="zh-CN" w:bidi="ar"/>
              </w:rPr>
              <w:t>. 华山松林</w:t>
            </w:r>
          </w:p>
        </w:tc>
        <w:tc>
          <w:tcPr>
            <w:tcW w:w="3647" w:type="dxa"/>
            <w:shd w:val="clear" w:color="auto" w:fill="auto"/>
            <w:noWrap/>
            <w:vAlign w:val="center"/>
          </w:tcPr>
          <w:p w14:paraId="38B1622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海拔1800～2450m，分布于富源北部高海拔区域</w:t>
            </w:r>
          </w:p>
        </w:tc>
        <w:tc>
          <w:tcPr>
            <w:tcW w:w="6512" w:type="dxa"/>
            <w:shd w:val="clear" w:color="auto" w:fill="auto"/>
            <w:noWrap/>
            <w:vAlign w:val="center"/>
          </w:tcPr>
          <w:p w14:paraId="09EB333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喜温凉湿润气候，多分布在北部山地；天然林与人工林均普遍存在，是高海拔山地的主要针叶林类型。</w:t>
            </w:r>
          </w:p>
        </w:tc>
      </w:tr>
      <w:tr w14:paraId="68F2B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05583443">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24EA9978">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4EE5D8F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21</w:t>
            </w:r>
            <w:r>
              <w:rPr>
                <w:rFonts w:hint="default" w:ascii="Times New Roman" w:hAnsi="Times New Roman" w:eastAsia="宋体" w:cs="Times New Roman"/>
                <w:color w:val="auto"/>
                <w:sz w:val="21"/>
                <w:szCs w:val="21"/>
                <w:highlight w:val="none"/>
                <w:lang w:val="en-US" w:eastAsia="zh-CN" w:bidi="ar"/>
              </w:rPr>
              <w:t>. 刺柏林</w:t>
            </w:r>
          </w:p>
        </w:tc>
        <w:tc>
          <w:tcPr>
            <w:tcW w:w="3647" w:type="dxa"/>
            <w:shd w:val="clear" w:color="auto" w:fill="auto"/>
            <w:noWrap/>
            <w:vAlign w:val="center"/>
          </w:tcPr>
          <w:p w14:paraId="68C760E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海拔1450～2100m；分布陆良、马龙、师宗、富源喀斯特裸岩山坡、石质陡坡</w:t>
            </w:r>
          </w:p>
        </w:tc>
        <w:tc>
          <w:tcPr>
            <w:tcW w:w="6512" w:type="dxa"/>
            <w:shd w:val="clear" w:color="auto" w:fill="auto"/>
            <w:noWrap/>
            <w:vAlign w:val="center"/>
          </w:tcPr>
          <w:p w14:paraId="232EE1B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强耐旱、耐瘠薄石灰岩树种，乔木层稀疏，伴云南松、滇油；林下火棘、小果蔷薇占优，土层极薄、岩石裸露地段仅形成疏林状态，是喀斯特石漠化轻度区域典型先锋乔木群落。</w:t>
            </w:r>
          </w:p>
        </w:tc>
      </w:tr>
      <w:tr w14:paraId="5E73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5B3DA3A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6DD53C2C">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4CF397C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 </w:t>
            </w:r>
            <w:r>
              <w:rPr>
                <w:rFonts w:hint="default" w:ascii="Times New Roman" w:hAnsi="Times New Roman" w:eastAsia="宋体" w:cs="Times New Roman"/>
                <w:color w:val="auto"/>
                <w:sz w:val="21"/>
                <w:szCs w:val="21"/>
                <w:highlight w:val="none"/>
                <w:lang w:val="en-US" w:eastAsia="zh-CN" w:bidi="ar"/>
              </w:rPr>
              <w:t>杉木林</w:t>
            </w:r>
          </w:p>
        </w:tc>
        <w:tc>
          <w:tcPr>
            <w:tcW w:w="3647" w:type="dxa"/>
            <w:shd w:val="clear" w:color="auto" w:fill="auto"/>
            <w:noWrap/>
            <w:vAlign w:val="center"/>
          </w:tcPr>
          <w:p w14:paraId="7202570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海拔1400～2050m，分布于富源、师宗、罗平全境湿润中山、沟谷地带；马龙东南部、沾益南部少量块状造林</w:t>
            </w:r>
          </w:p>
        </w:tc>
        <w:tc>
          <w:tcPr>
            <w:tcW w:w="6512" w:type="dxa"/>
            <w:shd w:val="clear" w:color="auto" w:fill="auto"/>
            <w:noWrap/>
            <w:vAlign w:val="center"/>
          </w:tcPr>
          <w:p w14:paraId="78AB861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流域内以人工纯林占绝对优势，仅偏远沟谷残存少量半天然杉木混交林；成熟林乔木层单层、整齐，林内光照弱；半天然林常混生多变石栎、元江栲、旱冬瓜、云南松等乡土树种。</w:t>
            </w:r>
          </w:p>
        </w:tc>
      </w:tr>
      <w:tr w14:paraId="7ECD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restart"/>
            <w:shd w:val="clear" w:color="auto" w:fill="auto"/>
            <w:noWrap/>
            <w:vAlign w:val="center"/>
          </w:tcPr>
          <w:p w14:paraId="4D3CA17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Ⅴ</w:t>
            </w:r>
            <w:r>
              <w:rPr>
                <w:rFonts w:hint="default" w:ascii="Times New Roman" w:hAnsi="Times New Roman" w:eastAsia="宋体" w:cs="Times New Roman"/>
                <w:color w:val="auto"/>
                <w:sz w:val="21"/>
                <w:szCs w:val="21"/>
                <w:highlight w:val="none"/>
                <w:lang w:val="en-US" w:eastAsia="zh-CN" w:bidi="ar"/>
              </w:rPr>
              <w:t>灌丛</w:t>
            </w:r>
          </w:p>
        </w:tc>
        <w:tc>
          <w:tcPr>
            <w:tcW w:w="1265" w:type="dxa"/>
            <w:vMerge w:val="restart"/>
            <w:shd w:val="clear" w:color="auto" w:fill="auto"/>
            <w:noWrap/>
            <w:vAlign w:val="center"/>
          </w:tcPr>
          <w:p w14:paraId="12BACFB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一、暖温性灌丛</w:t>
            </w:r>
          </w:p>
        </w:tc>
        <w:tc>
          <w:tcPr>
            <w:tcW w:w="1573" w:type="dxa"/>
            <w:shd w:val="clear" w:color="auto" w:fill="auto"/>
            <w:noWrap/>
            <w:vAlign w:val="center"/>
          </w:tcPr>
          <w:p w14:paraId="59C1860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23.</w:t>
            </w:r>
            <w:r>
              <w:rPr>
                <w:rFonts w:hint="default" w:ascii="Times New Roman" w:hAnsi="Times New Roman" w:eastAsia="宋体" w:cs="Times New Roman"/>
                <w:color w:val="auto"/>
                <w:sz w:val="21"/>
                <w:szCs w:val="21"/>
                <w:highlight w:val="none"/>
                <w:lang w:val="en-US" w:eastAsia="zh-CN" w:bidi="ar"/>
              </w:rPr>
              <w:t xml:space="preserve"> 滇石栎萌生灌丛</w:t>
            </w:r>
          </w:p>
        </w:tc>
        <w:tc>
          <w:tcPr>
            <w:tcW w:w="3647" w:type="dxa"/>
            <w:shd w:val="clear" w:color="auto" w:fill="auto"/>
            <w:noWrap/>
            <w:vAlign w:val="center"/>
          </w:tcPr>
          <w:p w14:paraId="5BC35D0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海拔1500～2150m；分布于马龙、陆良、富源、师宗喀斯特山地广布</w:t>
            </w:r>
          </w:p>
        </w:tc>
        <w:tc>
          <w:tcPr>
            <w:tcW w:w="6512" w:type="dxa"/>
            <w:shd w:val="clear" w:color="auto" w:fill="auto"/>
            <w:noWrap/>
            <w:vAlign w:val="center"/>
          </w:tcPr>
          <w:p w14:paraId="706D90D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半湿润常绿阔叶林破坏后萌生形成，以滇石栎伐桩萌芽为优势，株高 2～4m；伴元江栲、黄毛青冈幼树，具备向原生阔叶林自然恢复潜力，是流域主要次生灌丛类型。</w:t>
            </w:r>
          </w:p>
        </w:tc>
      </w:tr>
      <w:tr w14:paraId="39FC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19160BC0">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37504137">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3D03B03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color w:val="auto"/>
                <w:sz w:val="21"/>
                <w:szCs w:val="21"/>
                <w:highlight w:val="none"/>
                <w:lang w:val="en-US" w:eastAsia="zh-CN" w:bidi="ar"/>
              </w:rPr>
              <w:t>4. 元江栲萌生灌丛</w:t>
            </w:r>
          </w:p>
        </w:tc>
        <w:tc>
          <w:tcPr>
            <w:tcW w:w="3647" w:type="dxa"/>
            <w:shd w:val="clear" w:color="auto" w:fill="auto"/>
            <w:noWrap/>
            <w:vAlign w:val="center"/>
          </w:tcPr>
          <w:p w14:paraId="722E73A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海拔1550～2100m；分布于富源、师宗、罗平阴坡沟谷石灰岩坡地，水源涵养沟谷周边集中分布</w:t>
            </w:r>
          </w:p>
        </w:tc>
        <w:tc>
          <w:tcPr>
            <w:tcW w:w="6512" w:type="dxa"/>
            <w:shd w:val="clear" w:color="auto" w:fill="auto"/>
            <w:noWrap/>
            <w:vAlign w:val="center"/>
          </w:tcPr>
          <w:p w14:paraId="7C36A88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沟谷型阔叶萌生灌丛，水分条件优于栎类灌丛，植株长势更高，伴多种杜鹃、柃木；人为干扰较轻地段可逐步恢复元江栲林，对沟谷水土保持作用显著。</w:t>
            </w:r>
          </w:p>
        </w:tc>
      </w:tr>
      <w:tr w14:paraId="135F4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077F928D">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03749E62">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3877248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color w:val="auto"/>
                <w:sz w:val="21"/>
                <w:szCs w:val="21"/>
                <w:highlight w:val="none"/>
                <w:lang w:val="en-US" w:eastAsia="zh-CN" w:bidi="ar"/>
              </w:rPr>
              <w:t>5. 长穗栎萌生灌丛</w:t>
            </w:r>
          </w:p>
        </w:tc>
        <w:tc>
          <w:tcPr>
            <w:tcW w:w="3647" w:type="dxa"/>
            <w:shd w:val="clear" w:color="auto" w:fill="auto"/>
            <w:noWrap/>
            <w:vAlign w:val="center"/>
          </w:tcPr>
          <w:p w14:paraId="413A4FD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1750～2300m；马龙北部、富源北部山地分布</w:t>
            </w:r>
          </w:p>
        </w:tc>
        <w:tc>
          <w:tcPr>
            <w:tcW w:w="6512" w:type="dxa"/>
            <w:shd w:val="clear" w:color="auto" w:fill="auto"/>
            <w:noWrap/>
            <w:vAlign w:val="center"/>
          </w:tcPr>
          <w:p w14:paraId="5861AEA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寒温硬叶阔叶林破坏后次生灌丛，耐寒耐旱，叶片革质厚；伴灰背栎、滇榛，高海拔山地采伐、火烧迹地常见。</w:t>
            </w:r>
          </w:p>
        </w:tc>
      </w:tr>
      <w:tr w14:paraId="2D57E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185FAE4D">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63EA4A6C">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79B8704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color w:val="auto"/>
                <w:sz w:val="21"/>
                <w:szCs w:val="21"/>
                <w:highlight w:val="none"/>
                <w:lang w:val="en-US" w:eastAsia="zh-CN" w:bidi="ar"/>
              </w:rPr>
              <w:t>6. 灰背栎萌生灌丛</w:t>
            </w:r>
          </w:p>
        </w:tc>
        <w:tc>
          <w:tcPr>
            <w:tcW w:w="3647" w:type="dxa"/>
            <w:shd w:val="clear" w:color="auto" w:fill="auto"/>
            <w:noWrap/>
            <w:vAlign w:val="center"/>
          </w:tcPr>
          <w:p w14:paraId="5C6ADA8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1800～2400m；富源北部高海拔山坡分布</w:t>
            </w:r>
          </w:p>
        </w:tc>
        <w:tc>
          <w:tcPr>
            <w:tcW w:w="6512" w:type="dxa"/>
            <w:shd w:val="clear" w:color="auto" w:fill="auto"/>
            <w:noWrap/>
            <w:vAlign w:val="center"/>
          </w:tcPr>
          <w:p w14:paraId="631489B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流域北部高海拔代表性硬叶栎灌丛，适应冷凉干燥气候，灌丛结构简单，草本层覆盖度低，多为山地牧场边缘植被。</w:t>
            </w:r>
          </w:p>
        </w:tc>
      </w:tr>
      <w:tr w14:paraId="1F18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15088F4A">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046659F7">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3279CBE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color w:val="auto"/>
                <w:sz w:val="21"/>
                <w:szCs w:val="21"/>
                <w:highlight w:val="none"/>
                <w:lang w:val="en-US" w:eastAsia="zh-CN" w:bidi="ar"/>
              </w:rPr>
              <w:t>7. 滇榛灌丛</w:t>
            </w:r>
          </w:p>
        </w:tc>
        <w:tc>
          <w:tcPr>
            <w:tcW w:w="3647" w:type="dxa"/>
            <w:shd w:val="clear" w:color="auto" w:fill="auto"/>
            <w:noWrap/>
            <w:vAlign w:val="center"/>
          </w:tcPr>
          <w:p w14:paraId="7A4232A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1500～2200m；曲靖全域山地林缘、疏林下均有零散或小片分布</w:t>
            </w:r>
          </w:p>
        </w:tc>
        <w:tc>
          <w:tcPr>
            <w:tcW w:w="6512" w:type="dxa"/>
            <w:shd w:val="clear" w:color="auto" w:fill="auto"/>
            <w:noWrap/>
            <w:vAlign w:val="center"/>
          </w:tcPr>
          <w:p w14:paraId="674A829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落叶灌木优势群落，株高 1～3m，萌蘖能力强；伴杜鹃、蔷薇，果实可利用，常镶嵌于各类森林、灌丛边缘，人为轻度干扰地段扩张明显。</w:t>
            </w:r>
          </w:p>
        </w:tc>
      </w:tr>
      <w:tr w14:paraId="42867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4FD02CCB">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24AC6A3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722B2EA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color w:val="auto"/>
                <w:sz w:val="21"/>
                <w:szCs w:val="21"/>
                <w:highlight w:val="none"/>
                <w:lang w:val="en-US" w:eastAsia="zh-CN" w:bidi="ar"/>
              </w:rPr>
              <w:t>8. 矮杨梅灌丛</w:t>
            </w:r>
          </w:p>
        </w:tc>
        <w:tc>
          <w:tcPr>
            <w:tcW w:w="3647" w:type="dxa"/>
            <w:shd w:val="clear" w:color="auto" w:fill="auto"/>
            <w:noWrap/>
            <w:vAlign w:val="center"/>
          </w:tcPr>
          <w:p w14:paraId="0431A63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1400～2100m；马龙、陆良、富源酸性红壤荒坡、云南松林下大面积分布</w:t>
            </w:r>
          </w:p>
        </w:tc>
        <w:tc>
          <w:tcPr>
            <w:tcW w:w="6512" w:type="dxa"/>
            <w:shd w:val="clear" w:color="auto" w:fill="auto"/>
            <w:noWrap/>
            <w:vAlign w:val="center"/>
          </w:tcPr>
          <w:p w14:paraId="17263F0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矮生常绿灌木，喜酸性土，耐干旱贫瘠；群落盖度中等，是红壤坡地标志性灌丛，火烧迹地极易率先恢复。</w:t>
            </w:r>
          </w:p>
        </w:tc>
      </w:tr>
      <w:tr w14:paraId="72CA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0563E2A8">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0FDEA3D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6131C4F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color w:val="auto"/>
                <w:sz w:val="21"/>
                <w:szCs w:val="21"/>
                <w:highlight w:val="none"/>
                <w:lang w:val="en-US" w:eastAsia="zh-CN" w:bidi="ar"/>
              </w:rPr>
              <w:t>9. 地盘松灌丛</w:t>
            </w:r>
          </w:p>
        </w:tc>
        <w:tc>
          <w:tcPr>
            <w:tcW w:w="3647" w:type="dxa"/>
            <w:shd w:val="clear" w:color="auto" w:fill="auto"/>
            <w:noWrap/>
            <w:vAlign w:val="center"/>
          </w:tcPr>
          <w:p w14:paraId="3F3819F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1600～2250m；富源、马龙山地瘠薄阳坡、反复火烧山地</w:t>
            </w:r>
          </w:p>
        </w:tc>
        <w:tc>
          <w:tcPr>
            <w:tcW w:w="6512" w:type="dxa"/>
            <w:shd w:val="clear" w:color="auto" w:fill="auto"/>
            <w:noWrap/>
            <w:vAlign w:val="center"/>
          </w:tcPr>
          <w:p w14:paraId="7F5BCC0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云南松矮化变种，呈丛生灌状，高仅 0.5～2m；土层浅薄、高频火烧区域稳定群落，自然恢复乔木难度大，石漠化风险较高。</w:t>
            </w:r>
          </w:p>
        </w:tc>
      </w:tr>
      <w:tr w14:paraId="52F2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59B86221">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110EBD42">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2A66B14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r>
              <w:rPr>
                <w:rFonts w:hint="default" w:ascii="Times New Roman" w:hAnsi="Times New Roman" w:eastAsia="宋体" w:cs="Times New Roman"/>
                <w:color w:val="auto"/>
                <w:sz w:val="21"/>
                <w:szCs w:val="21"/>
                <w:highlight w:val="none"/>
                <w:lang w:val="en-US" w:eastAsia="zh-CN" w:bidi="ar"/>
              </w:rPr>
              <w:t>. 铺地蜈蚣灌丛</w:t>
            </w:r>
          </w:p>
        </w:tc>
        <w:tc>
          <w:tcPr>
            <w:tcW w:w="3647" w:type="dxa"/>
            <w:shd w:val="clear" w:color="auto" w:fill="auto"/>
            <w:noWrap/>
            <w:vAlign w:val="center"/>
          </w:tcPr>
          <w:p w14:paraId="623CF56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1700～2300m；中高山山脊、裸岩坡，富源、师宗山顶岩缝成片</w:t>
            </w:r>
          </w:p>
        </w:tc>
        <w:tc>
          <w:tcPr>
            <w:tcW w:w="6512" w:type="dxa"/>
            <w:shd w:val="clear" w:color="auto" w:fill="auto"/>
            <w:noWrap/>
            <w:vAlign w:val="center"/>
          </w:tcPr>
          <w:p w14:paraId="6395678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匍匐型矮灌木，贴地生长，耐强风、薄土；秋季红果密集，为小型兽类、鸟类食源，山脊水土保持先锋灌丛。</w:t>
            </w:r>
          </w:p>
        </w:tc>
      </w:tr>
      <w:tr w14:paraId="788F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1174" w:type="dxa"/>
            <w:vMerge w:val="continue"/>
            <w:shd w:val="clear" w:color="auto" w:fill="auto"/>
            <w:noWrap/>
            <w:vAlign w:val="center"/>
          </w:tcPr>
          <w:p w14:paraId="1BE52742">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386213F2">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2FCC371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31</w:t>
            </w:r>
            <w:r>
              <w:rPr>
                <w:rFonts w:hint="default" w:ascii="Times New Roman" w:hAnsi="Times New Roman" w:eastAsia="宋体" w:cs="Times New Roman"/>
                <w:color w:val="auto"/>
                <w:sz w:val="21"/>
                <w:szCs w:val="21"/>
                <w:highlight w:val="none"/>
                <w:lang w:val="en-US" w:eastAsia="zh-CN" w:bidi="ar"/>
              </w:rPr>
              <w:t>. 矮高山栎灌丛</w:t>
            </w:r>
          </w:p>
        </w:tc>
        <w:tc>
          <w:tcPr>
            <w:tcW w:w="3647" w:type="dxa"/>
            <w:shd w:val="clear" w:color="auto" w:fill="auto"/>
            <w:noWrap/>
            <w:vAlign w:val="center"/>
          </w:tcPr>
          <w:p w14:paraId="04B8E55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1850～2400m；富源、师宗山体上部、亚高山过渡带</w:t>
            </w:r>
          </w:p>
        </w:tc>
        <w:tc>
          <w:tcPr>
            <w:tcW w:w="6512" w:type="dxa"/>
            <w:shd w:val="clear" w:color="auto" w:fill="auto"/>
            <w:noWrap/>
            <w:vAlign w:val="center"/>
          </w:tcPr>
          <w:p w14:paraId="2D582B0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高海拔特化矮硬叶栎，株高不足 1.5m，耐寒抗风；常与杜鹃混生，是山顶苔藓矮林下方过渡灌丛。</w:t>
            </w:r>
          </w:p>
        </w:tc>
      </w:tr>
      <w:tr w14:paraId="4DD53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78FC4589">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58FD0CA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45FF6B7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32</w:t>
            </w:r>
            <w:r>
              <w:rPr>
                <w:rFonts w:hint="default" w:ascii="Times New Roman" w:hAnsi="Times New Roman" w:eastAsia="宋体" w:cs="Times New Roman"/>
                <w:color w:val="auto"/>
                <w:sz w:val="21"/>
                <w:szCs w:val="21"/>
                <w:highlight w:val="none"/>
                <w:lang w:val="en-US" w:eastAsia="zh-CN" w:bidi="ar"/>
              </w:rPr>
              <w:t>. 山柳灌丛</w:t>
            </w:r>
          </w:p>
        </w:tc>
        <w:tc>
          <w:tcPr>
            <w:tcW w:w="3647" w:type="dxa"/>
            <w:shd w:val="clear" w:color="auto" w:fill="auto"/>
            <w:noWrap/>
            <w:vAlign w:val="center"/>
          </w:tcPr>
          <w:p w14:paraId="0A275E3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1600～2200m；山地箐沟、溪流两侧潮湿地带，全流域水系沿线条带状分布</w:t>
            </w:r>
          </w:p>
        </w:tc>
        <w:tc>
          <w:tcPr>
            <w:tcW w:w="6512" w:type="dxa"/>
            <w:shd w:val="clear" w:color="auto" w:fill="auto"/>
            <w:noWrap/>
            <w:vAlign w:val="center"/>
          </w:tcPr>
          <w:p w14:paraId="7B4C0BC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喜湿落叶灌木，沿水系呈狭长带状；根系固土能力强，河岸、溪谷防冲刷关键植被，伴多种湿生草本。</w:t>
            </w:r>
          </w:p>
        </w:tc>
      </w:tr>
      <w:tr w14:paraId="333FB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7F4AB2B6">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68BB5FFA">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646D2154">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33. </w:t>
            </w:r>
            <w:r>
              <w:rPr>
                <w:rFonts w:hint="default" w:ascii="Times New Roman" w:hAnsi="Times New Roman" w:eastAsia="宋体" w:cs="Times New Roman"/>
                <w:color w:val="auto"/>
                <w:sz w:val="21"/>
                <w:szCs w:val="21"/>
                <w:highlight w:val="none"/>
                <w:lang w:val="en-US" w:eastAsia="zh-CN" w:bidi="ar"/>
              </w:rPr>
              <w:t xml:space="preserve">马桑灌丛 </w:t>
            </w:r>
          </w:p>
        </w:tc>
        <w:tc>
          <w:tcPr>
            <w:tcW w:w="3647" w:type="dxa"/>
            <w:shd w:val="clear" w:color="auto" w:fill="auto"/>
            <w:noWrap/>
            <w:vAlign w:val="center"/>
          </w:tcPr>
          <w:p w14:paraId="5CD0E0B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1300～2100m；曲靖全域荒山、弃耕地、火烧迹地广布，是人为干扰最强区域优势灌丛</w:t>
            </w:r>
          </w:p>
        </w:tc>
        <w:tc>
          <w:tcPr>
            <w:tcW w:w="6512" w:type="dxa"/>
            <w:shd w:val="clear" w:color="auto" w:fill="auto"/>
            <w:noWrap/>
            <w:vAlign w:val="center"/>
          </w:tcPr>
          <w:p w14:paraId="7A78C38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次生演替早期标志性群落，极耐干旱贫瘠，植株有毒牲畜不取食；群落扩张速度快，是退耕、矿山修复的先锋植被。</w:t>
            </w:r>
          </w:p>
        </w:tc>
      </w:tr>
      <w:tr w14:paraId="1AF91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11A6513C">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48507538">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70A964A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34. </w:t>
            </w:r>
            <w:r>
              <w:rPr>
                <w:rFonts w:hint="default" w:ascii="Times New Roman" w:hAnsi="Times New Roman" w:eastAsia="宋体" w:cs="Times New Roman"/>
                <w:color w:val="auto"/>
                <w:sz w:val="21"/>
                <w:szCs w:val="21"/>
                <w:highlight w:val="none"/>
                <w:lang w:val="en-US" w:eastAsia="zh-CN" w:bidi="ar"/>
              </w:rPr>
              <w:t xml:space="preserve">小果蔷薇灌丛 </w:t>
            </w:r>
          </w:p>
        </w:tc>
        <w:tc>
          <w:tcPr>
            <w:tcW w:w="3647" w:type="dxa"/>
            <w:shd w:val="clear" w:color="auto" w:fill="auto"/>
            <w:noWrap/>
            <w:vAlign w:val="center"/>
          </w:tcPr>
          <w:p w14:paraId="362D271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1400～2050m；喀斯特荒坡、林缘，陆良、师宗、罗平石灰岩山区集中</w:t>
            </w:r>
          </w:p>
        </w:tc>
        <w:tc>
          <w:tcPr>
            <w:tcW w:w="6512" w:type="dxa"/>
            <w:shd w:val="clear" w:color="auto" w:fill="auto"/>
            <w:noWrap/>
            <w:vAlign w:val="center"/>
          </w:tcPr>
          <w:p w14:paraId="53ED89B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多刺藤状灌木，攀援或丛生，石漠化前期坡地优势种，果实供野生动物取食。</w:t>
            </w:r>
          </w:p>
        </w:tc>
      </w:tr>
      <w:tr w14:paraId="0A794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2C1CB972">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4FBF4CA9">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7E70A8B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 </w:t>
            </w:r>
            <w:r>
              <w:rPr>
                <w:rFonts w:hint="default" w:ascii="Times New Roman" w:hAnsi="Times New Roman" w:eastAsia="宋体" w:cs="Times New Roman"/>
                <w:color w:val="auto"/>
                <w:sz w:val="21"/>
                <w:szCs w:val="21"/>
                <w:highlight w:val="none"/>
                <w:lang w:val="en-US" w:eastAsia="zh-CN" w:bidi="ar"/>
              </w:rPr>
              <w:t xml:space="preserve">火棘灌丛 </w:t>
            </w:r>
          </w:p>
        </w:tc>
        <w:tc>
          <w:tcPr>
            <w:tcW w:w="3647" w:type="dxa"/>
            <w:shd w:val="clear" w:color="auto" w:fill="auto"/>
            <w:noWrap/>
            <w:vAlign w:val="center"/>
          </w:tcPr>
          <w:p w14:paraId="04BD947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1350～2050m；陆良、师宗、罗平低山喀斯特石漠化区域典型灌丛</w:t>
            </w:r>
          </w:p>
        </w:tc>
        <w:tc>
          <w:tcPr>
            <w:tcW w:w="6512" w:type="dxa"/>
            <w:shd w:val="clear" w:color="auto" w:fill="auto"/>
            <w:noWrap/>
            <w:vAlign w:val="center"/>
          </w:tcPr>
          <w:p w14:paraId="105657B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极耐岩石裸露干旱环境，秋冬红果量大，是鸟类重要觅食地，喀斯特水土保持核心灌木。</w:t>
            </w:r>
          </w:p>
        </w:tc>
      </w:tr>
      <w:tr w14:paraId="43E7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07A132D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restart"/>
            <w:shd w:val="clear" w:color="auto" w:fill="auto"/>
            <w:noWrap/>
            <w:vAlign w:val="center"/>
          </w:tcPr>
          <w:p w14:paraId="193A6FD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二、干热河谷灌丛 </w:t>
            </w:r>
          </w:p>
        </w:tc>
        <w:tc>
          <w:tcPr>
            <w:tcW w:w="1573" w:type="dxa"/>
            <w:shd w:val="clear" w:color="auto" w:fill="auto"/>
            <w:noWrap/>
            <w:vAlign w:val="center"/>
          </w:tcPr>
          <w:p w14:paraId="4A008F1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36. </w:t>
            </w:r>
            <w:r>
              <w:rPr>
                <w:rFonts w:hint="default" w:ascii="Times New Roman" w:hAnsi="Times New Roman" w:eastAsia="宋体" w:cs="Times New Roman"/>
                <w:color w:val="auto"/>
                <w:sz w:val="21"/>
                <w:szCs w:val="21"/>
                <w:highlight w:val="none"/>
                <w:lang w:val="en-US" w:eastAsia="zh-CN" w:bidi="ar"/>
              </w:rPr>
              <w:t xml:space="preserve">余甘子灌丛 </w:t>
            </w:r>
          </w:p>
        </w:tc>
        <w:tc>
          <w:tcPr>
            <w:tcW w:w="3647" w:type="dxa"/>
            <w:shd w:val="clear" w:color="auto" w:fill="auto"/>
            <w:noWrap/>
            <w:vAlign w:val="center"/>
          </w:tcPr>
          <w:p w14:paraId="41D87125">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1100～1500m；罗平、师宗南盘江干流河谷干热坡地</w:t>
            </w:r>
          </w:p>
        </w:tc>
        <w:tc>
          <w:tcPr>
            <w:tcW w:w="6512" w:type="dxa"/>
            <w:shd w:val="clear" w:color="auto" w:fill="auto"/>
            <w:noWrap/>
            <w:vAlign w:val="center"/>
          </w:tcPr>
          <w:p w14:paraId="7E58358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干热河谷特有耐旱灌丛，适应焚风、季节性干旱；群落盖度偏低，伴车桑子，河谷水土流失区域原生植被</w:t>
            </w:r>
          </w:p>
        </w:tc>
      </w:tr>
      <w:tr w14:paraId="508B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71E1EC69">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06FF9095">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7D85F07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37. </w:t>
            </w:r>
            <w:r>
              <w:rPr>
                <w:rFonts w:hint="default" w:ascii="Times New Roman" w:hAnsi="Times New Roman" w:eastAsia="宋体" w:cs="Times New Roman"/>
                <w:color w:val="auto"/>
                <w:sz w:val="21"/>
                <w:szCs w:val="21"/>
                <w:highlight w:val="none"/>
                <w:lang w:val="en-US" w:eastAsia="zh-CN" w:bidi="ar"/>
              </w:rPr>
              <w:t xml:space="preserve">车桑子灌丛 </w:t>
            </w:r>
          </w:p>
        </w:tc>
        <w:tc>
          <w:tcPr>
            <w:tcW w:w="3647" w:type="dxa"/>
            <w:shd w:val="clear" w:color="auto" w:fill="auto"/>
            <w:noWrap/>
            <w:vAlign w:val="center"/>
          </w:tcPr>
          <w:p w14:paraId="5DB69C0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1100～1550m；南盘江全线干热山坡，陆良南部、师宗、罗平河谷大面积分布</w:t>
            </w:r>
          </w:p>
        </w:tc>
        <w:tc>
          <w:tcPr>
            <w:tcW w:w="6512" w:type="dxa"/>
            <w:shd w:val="clear" w:color="auto" w:fill="auto"/>
            <w:noWrap/>
            <w:vAlign w:val="center"/>
          </w:tcPr>
          <w:p w14:paraId="6000F29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流域干热河谷指示物种，耐火烧、耐极端干旱，是河谷退化土地最主要原生灌丛，生态修复基础群落</w:t>
            </w:r>
          </w:p>
        </w:tc>
      </w:tr>
      <w:tr w14:paraId="654E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restart"/>
            <w:shd w:val="clear" w:color="auto" w:fill="auto"/>
            <w:noWrap/>
            <w:vAlign w:val="center"/>
          </w:tcPr>
          <w:p w14:paraId="39112DB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Ⅵ</w:t>
            </w:r>
            <w:r>
              <w:rPr>
                <w:rFonts w:hint="default" w:ascii="Times New Roman" w:hAnsi="Times New Roman" w:eastAsia="宋体" w:cs="Times New Roman"/>
                <w:color w:val="auto"/>
                <w:sz w:val="21"/>
                <w:szCs w:val="21"/>
                <w:highlight w:val="none"/>
                <w:lang w:val="en-US" w:eastAsia="zh-CN" w:bidi="ar"/>
              </w:rPr>
              <w:t>稀树灌木草丛</w:t>
            </w:r>
          </w:p>
        </w:tc>
        <w:tc>
          <w:tcPr>
            <w:tcW w:w="1265" w:type="dxa"/>
            <w:vMerge w:val="restart"/>
            <w:shd w:val="clear" w:color="auto" w:fill="auto"/>
            <w:noWrap/>
            <w:vAlign w:val="center"/>
          </w:tcPr>
          <w:p w14:paraId="0FB5E66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一、暖温性稀树灌木草丛</w:t>
            </w:r>
          </w:p>
        </w:tc>
        <w:tc>
          <w:tcPr>
            <w:tcW w:w="1573" w:type="dxa"/>
            <w:shd w:val="clear" w:color="auto" w:fill="auto"/>
            <w:noWrap/>
            <w:vAlign w:val="center"/>
          </w:tcPr>
          <w:p w14:paraId="4A450DA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38</w:t>
            </w:r>
            <w:r>
              <w:rPr>
                <w:rFonts w:hint="default" w:ascii="Times New Roman" w:hAnsi="Times New Roman" w:eastAsia="宋体" w:cs="Times New Roman"/>
                <w:color w:val="auto"/>
                <w:sz w:val="21"/>
                <w:szCs w:val="21"/>
                <w:highlight w:val="none"/>
                <w:lang w:val="en-US" w:eastAsia="zh-CN" w:bidi="ar"/>
              </w:rPr>
              <w:t>. 白茅草地</w:t>
            </w:r>
          </w:p>
        </w:tc>
        <w:tc>
          <w:tcPr>
            <w:tcW w:w="3647" w:type="dxa"/>
            <w:shd w:val="clear" w:color="auto" w:fill="auto"/>
            <w:noWrap/>
            <w:vAlign w:val="center"/>
          </w:tcPr>
          <w:p w14:paraId="497569C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1250～2050m；曲靖全域平缓坡地、弃耕地、疏林下连片分布</w:t>
            </w:r>
          </w:p>
        </w:tc>
        <w:tc>
          <w:tcPr>
            <w:tcW w:w="6512" w:type="dxa"/>
            <w:shd w:val="clear" w:color="auto" w:fill="auto"/>
            <w:noWrap/>
            <w:vAlign w:val="center"/>
          </w:tcPr>
          <w:p w14:paraId="1AA1276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阳性多年生禾草，耐火烧、繁殖力极强；大面积出现代表原生植被长期砍伐、人为重度干扰，是流域分布最</w:t>
            </w:r>
            <w:r>
              <w:rPr>
                <w:rFonts w:hint="default" w:ascii="Times New Roman" w:hAnsi="Times New Roman" w:cs="Times New Roman"/>
                <w:i w:val="0"/>
                <w:iCs w:val="0"/>
                <w:color w:val="auto"/>
                <w:kern w:val="0"/>
                <w:sz w:val="21"/>
                <w:szCs w:val="21"/>
                <w:highlight w:val="none"/>
                <w:u w:val="none"/>
                <w:lang w:val="en-US" w:eastAsia="zh-CN" w:bidi="ar"/>
              </w:rPr>
              <w:t>广的</w:t>
            </w:r>
            <w:r>
              <w:rPr>
                <w:rFonts w:hint="default" w:ascii="Times New Roman" w:hAnsi="Times New Roman" w:eastAsia="宋体" w:cs="Times New Roman"/>
                <w:i w:val="0"/>
                <w:iCs w:val="0"/>
                <w:color w:val="auto"/>
                <w:kern w:val="0"/>
                <w:sz w:val="21"/>
                <w:szCs w:val="21"/>
                <w:highlight w:val="none"/>
                <w:u w:val="none"/>
                <w:lang w:val="en-US" w:eastAsia="zh-CN" w:bidi="ar"/>
              </w:rPr>
              <w:t>草丛。</w:t>
            </w:r>
          </w:p>
        </w:tc>
      </w:tr>
      <w:tr w14:paraId="4CF81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1070EF5E">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594A5AC9">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5A16FC3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color w:val="auto"/>
                <w:sz w:val="21"/>
                <w:szCs w:val="21"/>
                <w:highlight w:val="none"/>
                <w:lang w:val="en-US" w:eastAsia="zh-CN" w:bidi="ar"/>
              </w:rPr>
              <w:t>9. 蕨菜草地</w:t>
            </w:r>
          </w:p>
        </w:tc>
        <w:tc>
          <w:tcPr>
            <w:tcW w:w="3647" w:type="dxa"/>
            <w:shd w:val="clear" w:color="auto" w:fill="auto"/>
            <w:noWrap/>
            <w:vAlign w:val="center"/>
          </w:tcPr>
          <w:p w14:paraId="4E2710E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1400～2200m；酸性红壤山地、云南松火烧迹地、疏林下层</w:t>
            </w:r>
          </w:p>
        </w:tc>
        <w:tc>
          <w:tcPr>
            <w:tcW w:w="6512" w:type="dxa"/>
            <w:shd w:val="clear" w:color="auto" w:fill="auto"/>
            <w:noWrap/>
            <w:vAlign w:val="center"/>
          </w:tcPr>
          <w:p w14:paraId="25136DE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酸性土指示群落，蕨类占绝对优势，上层散生云南松幼树，土壤有机质偏低。</w:t>
            </w:r>
          </w:p>
        </w:tc>
      </w:tr>
      <w:tr w14:paraId="6A488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513CA77A">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76E52100">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1EBE768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w:t>
            </w:r>
            <w:r>
              <w:rPr>
                <w:rFonts w:hint="default" w:ascii="Times New Roman" w:hAnsi="Times New Roman" w:eastAsia="宋体" w:cs="Times New Roman"/>
                <w:color w:val="auto"/>
                <w:sz w:val="21"/>
                <w:szCs w:val="21"/>
                <w:highlight w:val="none"/>
                <w:lang w:val="en-US" w:eastAsia="zh-CN" w:bidi="ar"/>
              </w:rPr>
              <w:t>. 香青草地</w:t>
            </w:r>
          </w:p>
        </w:tc>
        <w:tc>
          <w:tcPr>
            <w:tcW w:w="3647" w:type="dxa"/>
            <w:shd w:val="clear" w:color="auto" w:fill="auto"/>
            <w:noWrap/>
            <w:vAlign w:val="center"/>
          </w:tcPr>
          <w:p w14:paraId="672AF02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1600～2300m；中高山林缘、开阔坡地、管护巡路旁</w:t>
            </w:r>
          </w:p>
        </w:tc>
        <w:tc>
          <w:tcPr>
            <w:tcW w:w="6512" w:type="dxa"/>
            <w:shd w:val="clear" w:color="auto" w:fill="auto"/>
            <w:noWrap/>
            <w:vAlign w:val="center"/>
          </w:tcPr>
          <w:p w14:paraId="3E027071">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偏中高海拔杂类草草甸型草丛，菊科占优，多与禾草混生，花期观赏性强。</w:t>
            </w:r>
          </w:p>
        </w:tc>
      </w:tr>
      <w:tr w14:paraId="4282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120E7F2B">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10A9D9E3">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5DECE3D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41</w:t>
            </w:r>
            <w:r>
              <w:rPr>
                <w:rFonts w:hint="default" w:ascii="Times New Roman" w:hAnsi="Times New Roman" w:eastAsia="宋体" w:cs="Times New Roman"/>
                <w:color w:val="auto"/>
                <w:sz w:val="21"/>
                <w:szCs w:val="21"/>
                <w:highlight w:val="none"/>
                <w:lang w:val="en-US" w:eastAsia="zh-CN" w:bidi="ar"/>
              </w:rPr>
              <w:t>. 茵陈蒿草地</w:t>
            </w:r>
          </w:p>
        </w:tc>
        <w:tc>
          <w:tcPr>
            <w:tcW w:w="3647" w:type="dxa"/>
            <w:shd w:val="clear" w:color="auto" w:fill="auto"/>
            <w:noWrap/>
            <w:vAlign w:val="center"/>
          </w:tcPr>
          <w:p w14:paraId="4DC34BE6">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1300～2000m；向阳干燥石灰岩荒坡、村庄周边弃地。</w:t>
            </w:r>
          </w:p>
        </w:tc>
        <w:tc>
          <w:tcPr>
            <w:tcW w:w="6512" w:type="dxa"/>
            <w:shd w:val="clear" w:color="auto" w:fill="auto"/>
            <w:noWrap/>
            <w:vAlign w:val="center"/>
          </w:tcPr>
          <w:p w14:paraId="4BED075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耐旱蒿类群落，人为扰动频繁的荒坡优势草本，土壤偏钙质。</w:t>
            </w:r>
          </w:p>
        </w:tc>
      </w:tr>
      <w:tr w14:paraId="2A603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1A71A8A0">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0D428960">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55CE10CC">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42. </w:t>
            </w:r>
            <w:r>
              <w:rPr>
                <w:rFonts w:hint="default" w:ascii="Times New Roman" w:hAnsi="Times New Roman" w:eastAsia="宋体" w:cs="Times New Roman"/>
                <w:color w:val="auto"/>
                <w:sz w:val="21"/>
                <w:szCs w:val="21"/>
                <w:highlight w:val="none"/>
                <w:lang w:val="en-US" w:eastAsia="zh-CN" w:bidi="ar"/>
              </w:rPr>
              <w:t xml:space="preserve">野古草草丛 </w:t>
            </w:r>
          </w:p>
        </w:tc>
        <w:tc>
          <w:tcPr>
            <w:tcW w:w="3647" w:type="dxa"/>
            <w:shd w:val="clear" w:color="auto" w:fill="auto"/>
            <w:noWrap/>
            <w:vAlign w:val="center"/>
          </w:tcPr>
          <w:p w14:paraId="1592D03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1350～2100m；曲靖中部高原面大面积发育</w:t>
            </w:r>
          </w:p>
        </w:tc>
        <w:tc>
          <w:tcPr>
            <w:tcW w:w="6512" w:type="dxa"/>
            <w:shd w:val="clear" w:color="auto" w:fill="auto"/>
            <w:noWrap/>
            <w:vAlign w:val="center"/>
          </w:tcPr>
          <w:p w14:paraId="42EBB7A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滇东高原代表性稳定禾草群落，群落结构完整，水土保持能力优于白茅草丛。</w:t>
            </w:r>
          </w:p>
        </w:tc>
      </w:tr>
      <w:tr w14:paraId="2E102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restart"/>
            <w:shd w:val="clear" w:color="auto" w:fill="auto"/>
            <w:noWrap/>
            <w:vAlign w:val="center"/>
          </w:tcPr>
          <w:p w14:paraId="1127EE9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Ⅶ</w:t>
            </w:r>
            <w:r>
              <w:rPr>
                <w:rFonts w:hint="default" w:ascii="Times New Roman" w:hAnsi="Times New Roman" w:eastAsia="宋体" w:cs="Times New Roman"/>
                <w:color w:val="auto"/>
                <w:sz w:val="21"/>
                <w:szCs w:val="21"/>
                <w:highlight w:val="none"/>
                <w:lang w:val="en-US" w:eastAsia="zh-CN" w:bidi="ar"/>
              </w:rPr>
              <w:t>竹林</w:t>
            </w:r>
          </w:p>
        </w:tc>
        <w:tc>
          <w:tcPr>
            <w:tcW w:w="1265" w:type="dxa"/>
            <w:vMerge w:val="restart"/>
            <w:shd w:val="clear" w:color="auto" w:fill="auto"/>
            <w:noWrap/>
            <w:vAlign w:val="center"/>
          </w:tcPr>
          <w:p w14:paraId="078A8918">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0F215378">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color w:val="auto"/>
                <w:sz w:val="21"/>
                <w:szCs w:val="21"/>
                <w:highlight w:val="none"/>
                <w:lang w:val="en-US" w:eastAsia="zh-CN" w:bidi="ar"/>
              </w:rPr>
              <w:t>3. 金竹林</w:t>
            </w:r>
          </w:p>
        </w:tc>
        <w:tc>
          <w:tcPr>
            <w:tcW w:w="3647" w:type="dxa"/>
            <w:shd w:val="clear" w:color="auto" w:fill="auto"/>
            <w:noWrap/>
            <w:vAlign w:val="center"/>
          </w:tcPr>
          <w:p w14:paraId="450996E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1300～1950m；马龙、陆良、师宗村寨周边、箐沟半野生竹林</w:t>
            </w:r>
          </w:p>
        </w:tc>
        <w:tc>
          <w:tcPr>
            <w:tcW w:w="6512" w:type="dxa"/>
            <w:shd w:val="clear" w:color="auto" w:fill="auto"/>
            <w:noWrap/>
            <w:vAlign w:val="center"/>
          </w:tcPr>
          <w:p w14:paraId="7CEBAF3B">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散生中型竹，喜沟谷湿润土壤，多人工管护，小片丛生，为当地用材、笋用竹。</w:t>
            </w:r>
          </w:p>
        </w:tc>
      </w:tr>
      <w:tr w14:paraId="437A1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07856BB3">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432A4A4A">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38708B62">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color w:val="auto"/>
                <w:sz w:val="21"/>
                <w:szCs w:val="21"/>
                <w:highlight w:val="none"/>
                <w:lang w:val="en-US" w:eastAsia="zh-CN" w:bidi="ar"/>
              </w:rPr>
              <w:t>4. 箭竹林</w:t>
            </w:r>
          </w:p>
        </w:tc>
        <w:tc>
          <w:tcPr>
            <w:tcW w:w="3647" w:type="dxa"/>
            <w:shd w:val="clear" w:color="auto" w:fill="auto"/>
            <w:noWrap/>
            <w:vAlign w:val="center"/>
          </w:tcPr>
          <w:p w14:paraId="6445B45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1900～2500m；富源、师宗、罗平高山上部、湿性常绿阔叶林林下</w:t>
            </w:r>
          </w:p>
        </w:tc>
        <w:tc>
          <w:tcPr>
            <w:tcW w:w="6512" w:type="dxa"/>
            <w:shd w:val="clear" w:color="auto" w:fill="auto"/>
            <w:noWrap/>
            <w:vAlign w:val="center"/>
          </w:tcPr>
          <w:p w14:paraId="4845FBE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高海拔原生耐寒竹林，成片密集，高山兽类隐蔽、觅食生境。</w:t>
            </w:r>
          </w:p>
        </w:tc>
      </w:tr>
      <w:tr w14:paraId="27F3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vMerge w:val="continue"/>
            <w:shd w:val="clear" w:color="auto" w:fill="auto"/>
            <w:noWrap/>
            <w:vAlign w:val="center"/>
          </w:tcPr>
          <w:p w14:paraId="4AF865D6">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265" w:type="dxa"/>
            <w:vMerge w:val="continue"/>
            <w:shd w:val="clear" w:color="auto" w:fill="auto"/>
            <w:noWrap/>
            <w:vAlign w:val="center"/>
          </w:tcPr>
          <w:p w14:paraId="51EA1DC9">
            <w:pPr>
              <w:keepNext w:val="0"/>
              <w:keepLines w:val="0"/>
              <w:pageBreakBefore w:val="0"/>
              <w:widowControl/>
              <w:kinsoku/>
              <w:wordWrap/>
              <w:overflowPunct/>
              <w:topLinePunct w:val="0"/>
              <w:autoSpaceDE/>
              <w:autoSpaceDN/>
              <w:bidi w:val="0"/>
              <w:snapToGrid w:val="0"/>
              <w:spacing w:line="240" w:lineRule="auto"/>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1573" w:type="dxa"/>
            <w:shd w:val="clear" w:color="auto" w:fill="auto"/>
            <w:noWrap/>
            <w:vAlign w:val="center"/>
          </w:tcPr>
          <w:p w14:paraId="2BB5DB1D">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45. </w:t>
            </w:r>
            <w:r>
              <w:rPr>
                <w:rFonts w:hint="default" w:ascii="Times New Roman" w:hAnsi="Times New Roman" w:eastAsia="宋体" w:cs="Times New Roman"/>
                <w:color w:val="auto"/>
                <w:sz w:val="21"/>
                <w:szCs w:val="21"/>
                <w:highlight w:val="none"/>
                <w:lang w:val="en-US" w:eastAsia="zh-CN" w:bidi="ar"/>
              </w:rPr>
              <w:t xml:space="preserve">慈竹林 </w:t>
            </w:r>
          </w:p>
        </w:tc>
        <w:tc>
          <w:tcPr>
            <w:tcW w:w="3647" w:type="dxa"/>
            <w:shd w:val="clear" w:color="auto" w:fill="auto"/>
            <w:noWrap/>
            <w:vAlign w:val="center"/>
          </w:tcPr>
          <w:p w14:paraId="71C1E787">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1150～1650m；罗平、师宗、陆良南盘江河谷房前屋后、河岸</w:t>
            </w:r>
          </w:p>
        </w:tc>
        <w:tc>
          <w:tcPr>
            <w:tcW w:w="6512" w:type="dxa"/>
            <w:shd w:val="clear" w:color="auto" w:fill="auto"/>
            <w:noWrap/>
            <w:vAlign w:val="center"/>
          </w:tcPr>
          <w:p w14:paraId="115F4243">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低热河谷丛生竹，喜湿热，沿河岸带状栽植，护岸作用突出。</w:t>
            </w:r>
          </w:p>
        </w:tc>
      </w:tr>
      <w:tr w14:paraId="6AAF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74" w:type="dxa"/>
            <w:shd w:val="clear" w:color="auto" w:fill="auto"/>
            <w:noWrap/>
            <w:vAlign w:val="center"/>
          </w:tcPr>
          <w:p w14:paraId="7B9021D9">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Ⅷ </w:t>
            </w:r>
            <w:r>
              <w:rPr>
                <w:rFonts w:hint="default" w:ascii="Times New Roman" w:hAnsi="Times New Roman" w:eastAsia="宋体" w:cs="Times New Roman"/>
                <w:color w:val="auto"/>
                <w:sz w:val="21"/>
                <w:szCs w:val="21"/>
                <w:highlight w:val="none"/>
                <w:lang w:val="en-US" w:eastAsia="zh-CN" w:bidi="ar"/>
              </w:rPr>
              <w:t xml:space="preserve">草甸 </w:t>
            </w:r>
          </w:p>
        </w:tc>
        <w:tc>
          <w:tcPr>
            <w:tcW w:w="1265" w:type="dxa"/>
            <w:shd w:val="clear" w:color="auto" w:fill="auto"/>
            <w:noWrap/>
            <w:vAlign w:val="center"/>
          </w:tcPr>
          <w:p w14:paraId="3965095E">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一、山地杂类草草甸 </w:t>
            </w:r>
          </w:p>
        </w:tc>
        <w:tc>
          <w:tcPr>
            <w:tcW w:w="1573" w:type="dxa"/>
            <w:shd w:val="clear" w:color="auto" w:fill="auto"/>
            <w:noWrap/>
            <w:vAlign w:val="center"/>
          </w:tcPr>
          <w:p w14:paraId="7938CB0A">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46. </w:t>
            </w:r>
            <w:r>
              <w:rPr>
                <w:rFonts w:hint="default" w:ascii="Times New Roman" w:hAnsi="Times New Roman" w:eastAsia="宋体" w:cs="Times New Roman"/>
                <w:color w:val="auto"/>
                <w:sz w:val="21"/>
                <w:szCs w:val="21"/>
                <w:highlight w:val="none"/>
                <w:lang w:val="en-US" w:eastAsia="zh-CN" w:bidi="ar"/>
              </w:rPr>
              <w:t>西南委陵草草甸</w:t>
            </w:r>
          </w:p>
        </w:tc>
        <w:tc>
          <w:tcPr>
            <w:tcW w:w="3647" w:type="dxa"/>
            <w:shd w:val="clear" w:color="auto" w:fill="auto"/>
            <w:noWrap/>
            <w:vAlign w:val="center"/>
          </w:tcPr>
          <w:p w14:paraId="1D40D1C0">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海拔 2000～2500m；富源、罗平山顶平缓台地、无乔木开阔高地。</w:t>
            </w:r>
          </w:p>
        </w:tc>
        <w:tc>
          <w:tcPr>
            <w:tcW w:w="6512" w:type="dxa"/>
            <w:shd w:val="clear" w:color="auto" w:fill="auto"/>
            <w:noWrap/>
            <w:vAlign w:val="center"/>
          </w:tcPr>
          <w:p w14:paraId="2E9F673F">
            <w:pPr>
              <w:keepNext w:val="0"/>
              <w:keepLines w:val="0"/>
              <w:pageBreakBefore w:val="0"/>
              <w:widowControl/>
              <w:suppressLineNumbers w:val="0"/>
              <w:kinsoku/>
              <w:wordWrap/>
              <w:overflowPunct/>
              <w:topLinePunct w:val="0"/>
              <w:autoSpaceDE/>
              <w:autoSpaceDN/>
              <w:bidi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亚高山山顶典型杂类草草甸，土层薄风力大，无乔木生长，多种高山花卉混生。</w:t>
            </w:r>
          </w:p>
        </w:tc>
      </w:tr>
    </w:tbl>
    <w:p w14:paraId="5E3FD28C">
      <w:pPr>
        <w:spacing w:line="360" w:lineRule="auto"/>
        <w:ind w:firstLine="1200" w:firstLineChars="500"/>
        <w:rPr>
          <w:rFonts w:hint="default" w:ascii="Times New Roman" w:hAnsi="Times New Roman" w:eastAsia="宋体" w:cs="Times New Roman"/>
          <w:color w:val="auto"/>
          <w:sz w:val="24"/>
          <w:highlight w:val="none"/>
          <w:lang w:val="en-US" w:eastAsia="zh-CN"/>
        </w:rPr>
      </w:pPr>
    </w:p>
    <w:p w14:paraId="02C15BB5">
      <w:pPr>
        <w:spacing w:line="360" w:lineRule="auto"/>
        <w:ind w:firstLine="1699" w:firstLineChars="708"/>
        <w:rPr>
          <w:rFonts w:hint="default" w:ascii="Times New Roman" w:hAnsi="Times New Roman" w:eastAsia="宋体" w:cs="Times New Roman"/>
          <w:color w:val="auto"/>
          <w:sz w:val="24"/>
          <w:highlight w:val="none"/>
        </w:rPr>
      </w:pPr>
    </w:p>
    <w:p w14:paraId="7250FC9C">
      <w:pPr>
        <w:rPr>
          <w:rFonts w:hint="default" w:ascii="Times New Roman" w:hAnsi="Times New Roman" w:eastAsia="宋体" w:cs="Times New Roman"/>
          <w:color w:val="auto"/>
          <w:highlight w:val="none"/>
        </w:rPr>
        <w:sectPr>
          <w:pgSz w:w="16838" w:h="11906" w:orient="landscape"/>
          <w:pgMar w:top="1800" w:right="1440" w:bottom="1800" w:left="1440" w:header="851" w:footer="992" w:gutter="0"/>
          <w:pgNumType w:fmt="decimal"/>
          <w:cols w:space="425" w:num="1"/>
          <w:docGrid w:type="lines" w:linePitch="312" w:charSpace="0"/>
        </w:sectPr>
      </w:pPr>
    </w:p>
    <w:p w14:paraId="3FC837B3">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植物资源</w:t>
      </w:r>
      <w:r>
        <w:rPr>
          <w:rFonts w:hint="default" w:ascii="Times New Roman" w:hAnsi="Times New Roman" w:cs="Times New Roman"/>
          <w:color w:val="auto"/>
          <w:highlight w:val="none"/>
          <w:lang w:val="en-US" w:eastAsia="zh-CN"/>
        </w:rPr>
        <w:t>现状</w:t>
      </w:r>
    </w:p>
    <w:p w14:paraId="14F5E9AD">
      <w:pPr>
        <w:pStyle w:val="7"/>
        <w:numPr>
          <w:ilvl w:val="4"/>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植物资源组成</w:t>
      </w:r>
    </w:p>
    <w:p w14:paraId="1767DC58">
      <w:pPr>
        <w:pStyle w:val="4"/>
        <w:ind w:firstLine="1044"/>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w:t>
      </w:r>
      <w:r>
        <w:rPr>
          <w:rFonts w:hint="default" w:ascii="Times New Roman" w:hAnsi="Times New Roman" w:cs="Times New Roman"/>
          <w:color w:val="auto"/>
          <w:sz w:val="24"/>
          <w:szCs w:val="24"/>
          <w:highlight w:val="none"/>
          <w:lang w:val="en-US" w:eastAsia="zh-CN"/>
        </w:rPr>
        <w:t>评价区资料收集，结合</w:t>
      </w:r>
      <w:r>
        <w:rPr>
          <w:rFonts w:hint="default" w:ascii="Times New Roman" w:hAnsi="Times New Roman" w:eastAsia="宋体" w:cs="Times New Roman"/>
          <w:color w:val="auto"/>
          <w:sz w:val="24"/>
          <w:szCs w:val="24"/>
          <w:highlight w:val="none"/>
          <w:lang w:val="en-US" w:eastAsia="zh-CN"/>
        </w:rPr>
        <w:t xml:space="preserve">野外调查，评价区共记录野生维管植物 </w:t>
      </w:r>
      <w:r>
        <w:rPr>
          <w:rFonts w:hint="default" w:ascii="Times New Roman" w:hAnsi="Times New Roman" w:cs="Times New Roman"/>
          <w:color w:val="auto"/>
          <w:sz w:val="24"/>
          <w:szCs w:val="24"/>
          <w:highlight w:val="none"/>
          <w:lang w:val="en-US" w:eastAsia="zh-CN"/>
        </w:rPr>
        <w:t>1182</w:t>
      </w:r>
      <w:r>
        <w:rPr>
          <w:rFonts w:hint="default" w:ascii="Times New Roman" w:hAnsi="Times New Roman" w:eastAsia="宋体" w:cs="Times New Roman"/>
          <w:color w:val="auto"/>
          <w:sz w:val="24"/>
          <w:szCs w:val="24"/>
          <w:highlight w:val="none"/>
          <w:lang w:val="en-US" w:eastAsia="zh-CN"/>
        </w:rPr>
        <w:t xml:space="preserve"> 种，隶属于</w:t>
      </w:r>
      <w:r>
        <w:rPr>
          <w:rFonts w:hint="default" w:ascii="Times New Roman" w:hAnsi="Times New Roman" w:cs="Times New Roman"/>
          <w:color w:val="auto"/>
          <w:sz w:val="24"/>
          <w:szCs w:val="24"/>
          <w:highlight w:val="none"/>
          <w:lang w:val="en-US" w:eastAsia="zh-CN"/>
        </w:rPr>
        <w:t>190</w:t>
      </w:r>
      <w:r>
        <w:rPr>
          <w:rFonts w:hint="default" w:ascii="Times New Roman" w:hAnsi="Times New Roman" w:eastAsia="宋体" w:cs="Times New Roman"/>
          <w:color w:val="auto"/>
          <w:sz w:val="24"/>
          <w:szCs w:val="24"/>
          <w:highlight w:val="none"/>
          <w:lang w:val="en-US" w:eastAsia="zh-CN"/>
        </w:rPr>
        <w:t xml:space="preserve"> 科、</w:t>
      </w:r>
      <w:r>
        <w:rPr>
          <w:rFonts w:hint="default" w:ascii="Times New Roman" w:hAnsi="Times New Roman" w:cs="Times New Roman"/>
          <w:color w:val="auto"/>
          <w:sz w:val="24"/>
          <w:szCs w:val="24"/>
          <w:highlight w:val="none"/>
          <w:lang w:val="en-US" w:eastAsia="zh-CN"/>
        </w:rPr>
        <w:t>664</w:t>
      </w:r>
      <w:r>
        <w:rPr>
          <w:rFonts w:hint="default" w:ascii="Times New Roman" w:hAnsi="Times New Roman" w:eastAsia="宋体" w:cs="Times New Roman"/>
          <w:color w:val="auto"/>
          <w:sz w:val="24"/>
          <w:szCs w:val="24"/>
          <w:highlight w:val="none"/>
          <w:lang w:val="en-US" w:eastAsia="zh-CN"/>
        </w:rPr>
        <w:t xml:space="preserve"> 属。其中，蕨类植物 </w:t>
      </w:r>
      <w:r>
        <w:rPr>
          <w:rFonts w:hint="default" w:ascii="Times New Roman" w:hAnsi="Times New Roman" w:cs="Times New Roman"/>
          <w:color w:val="auto"/>
          <w:sz w:val="24"/>
          <w:szCs w:val="24"/>
          <w:highlight w:val="none"/>
          <w:lang w:val="en-US" w:eastAsia="zh-CN"/>
        </w:rPr>
        <w:t>28</w:t>
      </w:r>
      <w:r>
        <w:rPr>
          <w:rFonts w:hint="default" w:ascii="Times New Roman" w:hAnsi="Times New Roman" w:eastAsia="宋体" w:cs="Times New Roman"/>
          <w:color w:val="auto"/>
          <w:sz w:val="24"/>
          <w:szCs w:val="24"/>
          <w:highlight w:val="none"/>
          <w:lang w:val="en-US" w:eastAsia="zh-CN"/>
        </w:rPr>
        <w:t xml:space="preserve"> 科 </w:t>
      </w:r>
      <w:r>
        <w:rPr>
          <w:rFonts w:hint="default" w:ascii="Times New Roman" w:hAnsi="Times New Roman" w:cs="Times New Roman"/>
          <w:color w:val="auto"/>
          <w:sz w:val="24"/>
          <w:szCs w:val="24"/>
          <w:highlight w:val="none"/>
          <w:lang w:val="en-US" w:eastAsia="zh-CN"/>
        </w:rPr>
        <w:t>54</w:t>
      </w:r>
      <w:r>
        <w:rPr>
          <w:rFonts w:hint="default" w:ascii="Times New Roman" w:hAnsi="Times New Roman" w:eastAsia="宋体" w:cs="Times New Roman"/>
          <w:color w:val="auto"/>
          <w:sz w:val="24"/>
          <w:szCs w:val="24"/>
          <w:highlight w:val="none"/>
          <w:lang w:val="en-US" w:eastAsia="zh-CN"/>
        </w:rPr>
        <w:t xml:space="preserve"> 属 </w:t>
      </w:r>
      <w:r>
        <w:rPr>
          <w:rFonts w:hint="default" w:ascii="Times New Roman" w:hAnsi="Times New Roman" w:cs="Times New Roman"/>
          <w:color w:val="auto"/>
          <w:sz w:val="24"/>
          <w:szCs w:val="24"/>
          <w:highlight w:val="none"/>
          <w:lang w:val="en-US" w:eastAsia="zh-CN"/>
        </w:rPr>
        <w:t>115</w:t>
      </w:r>
      <w:r>
        <w:rPr>
          <w:rFonts w:hint="default" w:ascii="Times New Roman" w:hAnsi="Times New Roman" w:eastAsia="宋体" w:cs="Times New Roman"/>
          <w:color w:val="auto"/>
          <w:sz w:val="24"/>
          <w:szCs w:val="24"/>
          <w:highlight w:val="none"/>
          <w:lang w:val="en-US" w:eastAsia="zh-CN"/>
        </w:rPr>
        <w:t xml:space="preserve"> 种；裸子植物 </w:t>
      </w:r>
      <w:r>
        <w:rPr>
          <w:rFonts w:hint="default" w:ascii="Times New Roman" w:hAnsi="Times New Roman"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 xml:space="preserve"> 科 </w:t>
      </w:r>
      <w:r>
        <w:rPr>
          <w:rFonts w:hint="default" w:ascii="Times New Roman" w:hAnsi="Times New Roman" w:cs="Times New Roman"/>
          <w:color w:val="auto"/>
          <w:sz w:val="24"/>
          <w:szCs w:val="24"/>
          <w:highlight w:val="none"/>
          <w:lang w:val="en-US" w:eastAsia="zh-CN"/>
        </w:rPr>
        <w:t>19</w:t>
      </w:r>
      <w:r>
        <w:rPr>
          <w:rFonts w:hint="default" w:ascii="Times New Roman" w:hAnsi="Times New Roman" w:eastAsia="宋体" w:cs="Times New Roman"/>
          <w:color w:val="auto"/>
          <w:sz w:val="24"/>
          <w:szCs w:val="24"/>
          <w:highlight w:val="none"/>
          <w:lang w:val="en-US" w:eastAsia="zh-CN"/>
        </w:rPr>
        <w:t xml:space="preserve"> 属 </w:t>
      </w:r>
      <w:r>
        <w:rPr>
          <w:rFonts w:hint="default" w:ascii="Times New Roman" w:hAnsi="Times New Roman" w:cs="Times New Roman"/>
          <w:color w:val="auto"/>
          <w:sz w:val="24"/>
          <w:szCs w:val="24"/>
          <w:highlight w:val="none"/>
          <w:lang w:val="en-US" w:eastAsia="zh-CN"/>
        </w:rPr>
        <w:t>34</w:t>
      </w:r>
      <w:r>
        <w:rPr>
          <w:rFonts w:hint="default" w:ascii="Times New Roman" w:hAnsi="Times New Roman" w:eastAsia="宋体" w:cs="Times New Roman"/>
          <w:color w:val="auto"/>
          <w:sz w:val="24"/>
          <w:szCs w:val="24"/>
          <w:highlight w:val="none"/>
          <w:lang w:val="en-US" w:eastAsia="zh-CN"/>
        </w:rPr>
        <w:t xml:space="preserve"> 种；被子植物 </w:t>
      </w:r>
      <w:r>
        <w:rPr>
          <w:rFonts w:hint="default" w:ascii="Times New Roman" w:hAnsi="Times New Roman" w:cs="Times New Roman"/>
          <w:color w:val="auto"/>
          <w:sz w:val="24"/>
          <w:szCs w:val="24"/>
          <w:highlight w:val="none"/>
          <w:lang w:val="en-US" w:eastAsia="zh-CN"/>
        </w:rPr>
        <w:t>154</w:t>
      </w:r>
      <w:r>
        <w:rPr>
          <w:rFonts w:hint="default" w:ascii="Times New Roman" w:hAnsi="Times New Roman" w:eastAsia="宋体" w:cs="Times New Roman"/>
          <w:color w:val="auto"/>
          <w:sz w:val="24"/>
          <w:szCs w:val="24"/>
          <w:highlight w:val="none"/>
          <w:lang w:val="en-US" w:eastAsia="zh-CN"/>
        </w:rPr>
        <w:t xml:space="preserve"> 科 5</w:t>
      </w:r>
      <w:r>
        <w:rPr>
          <w:rFonts w:hint="default" w:ascii="Times New Roman" w:hAnsi="Times New Roman" w:cs="Times New Roman"/>
          <w:color w:val="auto"/>
          <w:sz w:val="24"/>
          <w:szCs w:val="24"/>
          <w:highlight w:val="none"/>
          <w:lang w:val="en-US" w:eastAsia="zh-CN"/>
        </w:rPr>
        <w:t>91</w:t>
      </w:r>
      <w:r>
        <w:rPr>
          <w:rFonts w:hint="default" w:ascii="Times New Roman" w:hAnsi="Times New Roman" w:eastAsia="宋体" w:cs="Times New Roman"/>
          <w:color w:val="auto"/>
          <w:sz w:val="24"/>
          <w:szCs w:val="24"/>
          <w:highlight w:val="none"/>
          <w:lang w:val="en-US" w:eastAsia="zh-CN"/>
        </w:rPr>
        <w:t xml:space="preserve"> 属 </w:t>
      </w:r>
      <w:r>
        <w:rPr>
          <w:rFonts w:hint="default" w:ascii="Times New Roman" w:hAnsi="Times New Roman" w:cs="Times New Roman"/>
          <w:color w:val="auto"/>
          <w:sz w:val="24"/>
          <w:szCs w:val="24"/>
          <w:highlight w:val="none"/>
          <w:lang w:val="en-US" w:eastAsia="zh-CN"/>
        </w:rPr>
        <w:t>1033</w:t>
      </w:r>
      <w:r>
        <w:rPr>
          <w:rFonts w:hint="default" w:ascii="Times New Roman" w:hAnsi="Times New Roman" w:eastAsia="宋体" w:cs="Times New Roman"/>
          <w:color w:val="auto"/>
          <w:sz w:val="24"/>
          <w:szCs w:val="24"/>
          <w:highlight w:val="none"/>
          <w:lang w:val="en-US" w:eastAsia="zh-CN"/>
        </w:rPr>
        <w:t xml:space="preserve"> 种（双子叶植物 </w:t>
      </w:r>
      <w:r>
        <w:rPr>
          <w:rFonts w:hint="default" w:ascii="Times New Roman" w:hAnsi="Times New Roman" w:cs="Times New Roman"/>
          <w:color w:val="auto"/>
          <w:sz w:val="24"/>
          <w:szCs w:val="24"/>
          <w:highlight w:val="none"/>
          <w:lang w:val="en-US" w:eastAsia="zh-CN"/>
        </w:rPr>
        <w:t>130</w:t>
      </w:r>
      <w:r>
        <w:rPr>
          <w:rFonts w:hint="default" w:ascii="Times New Roman" w:hAnsi="Times New Roman" w:eastAsia="宋体" w:cs="Times New Roman"/>
          <w:color w:val="auto"/>
          <w:sz w:val="24"/>
          <w:szCs w:val="24"/>
          <w:highlight w:val="none"/>
          <w:lang w:val="en-US" w:eastAsia="zh-CN"/>
        </w:rPr>
        <w:t xml:space="preserve"> 科 </w:t>
      </w:r>
      <w:r>
        <w:rPr>
          <w:rFonts w:hint="default" w:ascii="Times New Roman" w:hAnsi="Times New Roman"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7</w:t>
      </w:r>
      <w:r>
        <w:rPr>
          <w:rFonts w:hint="default" w:ascii="Times New Roman" w:hAnsi="Times New Roman" w:cs="Times New Roman"/>
          <w:color w:val="auto"/>
          <w:sz w:val="24"/>
          <w:szCs w:val="24"/>
          <w:highlight w:val="none"/>
          <w:lang w:val="en-US" w:eastAsia="zh-CN"/>
        </w:rPr>
        <w:t>2</w:t>
      </w:r>
      <w:r>
        <w:rPr>
          <w:rFonts w:hint="default" w:ascii="Times New Roman" w:hAnsi="Times New Roman" w:eastAsia="宋体" w:cs="Times New Roman"/>
          <w:color w:val="auto"/>
          <w:sz w:val="24"/>
          <w:szCs w:val="24"/>
          <w:highlight w:val="none"/>
          <w:lang w:val="en-US" w:eastAsia="zh-CN"/>
        </w:rPr>
        <w:t xml:space="preserve"> 属 </w:t>
      </w:r>
      <w:r>
        <w:rPr>
          <w:rFonts w:hint="default" w:ascii="Times New Roman" w:hAnsi="Times New Roman" w:cs="Times New Roman"/>
          <w:color w:val="auto"/>
          <w:sz w:val="24"/>
          <w:szCs w:val="24"/>
          <w:highlight w:val="none"/>
          <w:lang w:val="en-US" w:eastAsia="zh-CN"/>
        </w:rPr>
        <w:t>836</w:t>
      </w:r>
      <w:r>
        <w:rPr>
          <w:rFonts w:hint="default" w:ascii="Times New Roman" w:hAnsi="Times New Roman" w:eastAsia="宋体" w:cs="Times New Roman"/>
          <w:color w:val="auto"/>
          <w:sz w:val="24"/>
          <w:szCs w:val="24"/>
          <w:highlight w:val="none"/>
          <w:lang w:val="en-US" w:eastAsia="zh-CN"/>
        </w:rPr>
        <w:t xml:space="preserve"> 种，单子叶植物 </w:t>
      </w:r>
      <w:r>
        <w:rPr>
          <w:rFonts w:hint="default" w:ascii="Times New Roman" w:hAnsi="Times New Roman" w:cs="Times New Roman"/>
          <w:color w:val="auto"/>
          <w:sz w:val="24"/>
          <w:szCs w:val="24"/>
          <w:highlight w:val="none"/>
          <w:lang w:val="en-US" w:eastAsia="zh-CN"/>
        </w:rPr>
        <w:t>24</w:t>
      </w:r>
      <w:r>
        <w:rPr>
          <w:rFonts w:hint="default" w:ascii="Times New Roman" w:hAnsi="Times New Roman" w:eastAsia="宋体" w:cs="Times New Roman"/>
          <w:color w:val="auto"/>
          <w:sz w:val="24"/>
          <w:szCs w:val="24"/>
          <w:highlight w:val="none"/>
          <w:lang w:val="en-US" w:eastAsia="zh-CN"/>
        </w:rPr>
        <w:t xml:space="preserve"> 科 </w:t>
      </w:r>
      <w:r>
        <w:rPr>
          <w:rFonts w:hint="default" w:ascii="Times New Roman" w:hAnsi="Times New Roman" w:cs="Times New Roman"/>
          <w:color w:val="auto"/>
          <w:sz w:val="24"/>
          <w:szCs w:val="24"/>
          <w:highlight w:val="none"/>
          <w:lang w:val="en-US" w:eastAsia="zh-CN"/>
        </w:rPr>
        <w:t>119</w:t>
      </w:r>
      <w:r>
        <w:rPr>
          <w:rFonts w:hint="default" w:ascii="Times New Roman" w:hAnsi="Times New Roman" w:eastAsia="宋体" w:cs="Times New Roman"/>
          <w:color w:val="auto"/>
          <w:sz w:val="24"/>
          <w:szCs w:val="24"/>
          <w:highlight w:val="none"/>
          <w:lang w:val="en-US" w:eastAsia="zh-CN"/>
        </w:rPr>
        <w:t xml:space="preserve"> 属 </w:t>
      </w:r>
      <w:r>
        <w:rPr>
          <w:rFonts w:hint="default" w:ascii="Times New Roman" w:hAnsi="Times New Roman" w:cs="Times New Roman"/>
          <w:color w:val="auto"/>
          <w:sz w:val="24"/>
          <w:szCs w:val="24"/>
          <w:highlight w:val="none"/>
          <w:lang w:val="en-US" w:eastAsia="zh-CN"/>
        </w:rPr>
        <w:t>197</w:t>
      </w:r>
      <w:r>
        <w:rPr>
          <w:rFonts w:hint="default" w:ascii="Times New Roman" w:hAnsi="Times New Roman" w:eastAsia="宋体" w:cs="Times New Roman"/>
          <w:color w:val="auto"/>
          <w:sz w:val="24"/>
          <w:szCs w:val="24"/>
          <w:highlight w:val="none"/>
          <w:lang w:val="en-US" w:eastAsia="zh-CN"/>
        </w:rPr>
        <w:t xml:space="preserve"> 种）。评价区维管植物科属种统计详见下表。</w:t>
      </w:r>
    </w:p>
    <w:p w14:paraId="0814E43B">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表3.4.1-2  评价区国家重点保护植物一览表</w:t>
      </w:r>
    </w:p>
    <w:tbl>
      <w:tblPr>
        <w:tblStyle w:val="22"/>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34"/>
        <w:gridCol w:w="1635"/>
        <w:gridCol w:w="2289"/>
        <w:gridCol w:w="987"/>
        <w:gridCol w:w="987"/>
        <w:gridCol w:w="987"/>
      </w:tblGrid>
      <w:tr w14:paraId="40838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5558" w:type="dxa"/>
            <w:gridSpan w:val="3"/>
            <w:tcBorders>
              <w:top w:val="single" w:color="000000" w:sz="8" w:space="0"/>
              <w:left w:val="single" w:color="000000" w:sz="8" w:space="0"/>
              <w:bottom w:val="single" w:color="000000" w:sz="8" w:space="0"/>
              <w:right w:val="single" w:color="000000" w:sz="8" w:space="0"/>
            </w:tcBorders>
            <w:shd w:val="clear" w:color="auto" w:fill="auto"/>
            <w:vAlign w:val="center"/>
          </w:tcPr>
          <w:p w14:paraId="0CD54AE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植物类群</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364A50E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科数</w:t>
            </w:r>
          </w:p>
        </w:tc>
        <w:tc>
          <w:tcPr>
            <w:tcW w:w="0" w:type="auto"/>
            <w:tcBorders>
              <w:top w:val="single" w:color="000000" w:sz="8" w:space="0"/>
              <w:left w:val="nil"/>
              <w:bottom w:val="single" w:color="000000" w:sz="8" w:space="0"/>
              <w:right w:val="single" w:color="000000" w:sz="8" w:space="0"/>
            </w:tcBorders>
            <w:shd w:val="clear" w:color="auto" w:fill="auto"/>
            <w:vAlign w:val="center"/>
          </w:tcPr>
          <w:p w14:paraId="7AEE01F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属数</w:t>
            </w:r>
          </w:p>
        </w:tc>
        <w:tc>
          <w:tcPr>
            <w:tcW w:w="987" w:type="dxa"/>
            <w:tcBorders>
              <w:top w:val="single" w:color="000000" w:sz="8" w:space="0"/>
              <w:left w:val="nil"/>
              <w:bottom w:val="single" w:color="000000" w:sz="8" w:space="0"/>
              <w:right w:val="single" w:color="000000" w:sz="8" w:space="0"/>
            </w:tcBorders>
            <w:shd w:val="clear" w:color="auto" w:fill="auto"/>
            <w:vAlign w:val="center"/>
          </w:tcPr>
          <w:p w14:paraId="1CF9946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种数</w:t>
            </w:r>
          </w:p>
        </w:tc>
      </w:tr>
      <w:tr w14:paraId="6F545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58" w:type="dxa"/>
            <w:gridSpan w:val="3"/>
            <w:tcBorders>
              <w:top w:val="nil"/>
              <w:left w:val="single" w:color="000000" w:sz="8" w:space="0"/>
              <w:bottom w:val="single" w:color="000000" w:sz="8" w:space="0"/>
              <w:right w:val="single" w:color="000000" w:sz="8" w:space="0"/>
            </w:tcBorders>
            <w:shd w:val="clear" w:color="auto" w:fill="auto"/>
            <w:vAlign w:val="center"/>
          </w:tcPr>
          <w:p w14:paraId="40180E8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蕨类植物</w:t>
            </w:r>
          </w:p>
        </w:tc>
        <w:tc>
          <w:tcPr>
            <w:tcW w:w="0" w:type="auto"/>
            <w:tcBorders>
              <w:top w:val="nil"/>
              <w:left w:val="nil"/>
              <w:bottom w:val="single" w:color="000000" w:sz="8" w:space="0"/>
              <w:right w:val="single" w:color="000000" w:sz="8" w:space="0"/>
            </w:tcBorders>
            <w:shd w:val="clear" w:color="auto" w:fill="auto"/>
            <w:vAlign w:val="center"/>
          </w:tcPr>
          <w:p w14:paraId="5A0EB0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28</w:t>
            </w:r>
          </w:p>
        </w:tc>
        <w:tc>
          <w:tcPr>
            <w:tcW w:w="0" w:type="auto"/>
            <w:tcBorders>
              <w:top w:val="nil"/>
              <w:left w:val="nil"/>
              <w:bottom w:val="single" w:color="000000" w:sz="8" w:space="0"/>
              <w:right w:val="single" w:color="000000" w:sz="8" w:space="0"/>
            </w:tcBorders>
            <w:shd w:val="clear" w:color="auto" w:fill="auto"/>
            <w:vAlign w:val="center"/>
          </w:tcPr>
          <w:p w14:paraId="552E378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54</w:t>
            </w:r>
          </w:p>
        </w:tc>
        <w:tc>
          <w:tcPr>
            <w:tcW w:w="987" w:type="dxa"/>
            <w:tcBorders>
              <w:top w:val="nil"/>
              <w:left w:val="nil"/>
              <w:bottom w:val="single" w:color="000000" w:sz="8" w:space="0"/>
              <w:right w:val="single" w:color="000000" w:sz="8" w:space="0"/>
            </w:tcBorders>
            <w:shd w:val="clear" w:color="auto" w:fill="auto"/>
            <w:vAlign w:val="center"/>
          </w:tcPr>
          <w:p w14:paraId="34A4B36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115</w:t>
            </w:r>
          </w:p>
        </w:tc>
      </w:tr>
      <w:tr w14:paraId="55445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34" w:type="dxa"/>
            <w:vMerge w:val="restart"/>
            <w:tcBorders>
              <w:top w:val="nil"/>
              <w:left w:val="single" w:color="000000" w:sz="8" w:space="0"/>
              <w:bottom w:val="single" w:color="000000" w:sz="8" w:space="0"/>
              <w:right w:val="single" w:color="000000" w:sz="8" w:space="0"/>
            </w:tcBorders>
            <w:shd w:val="clear" w:color="auto" w:fill="auto"/>
            <w:vAlign w:val="center"/>
          </w:tcPr>
          <w:p w14:paraId="0D733D6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种子植物</w:t>
            </w:r>
          </w:p>
        </w:tc>
        <w:tc>
          <w:tcPr>
            <w:tcW w:w="3924" w:type="dxa"/>
            <w:gridSpan w:val="2"/>
            <w:tcBorders>
              <w:top w:val="nil"/>
              <w:left w:val="nil"/>
              <w:bottom w:val="single" w:color="000000" w:sz="8" w:space="0"/>
              <w:right w:val="single" w:color="000000" w:sz="8" w:space="0"/>
            </w:tcBorders>
            <w:shd w:val="clear" w:color="auto" w:fill="auto"/>
            <w:vAlign w:val="center"/>
          </w:tcPr>
          <w:p w14:paraId="0F6EE2E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裸子植物</w:t>
            </w:r>
          </w:p>
        </w:tc>
        <w:tc>
          <w:tcPr>
            <w:tcW w:w="0" w:type="auto"/>
            <w:tcBorders>
              <w:top w:val="nil"/>
              <w:left w:val="nil"/>
              <w:bottom w:val="single" w:color="000000" w:sz="8" w:space="0"/>
              <w:right w:val="single" w:color="000000" w:sz="8" w:space="0"/>
            </w:tcBorders>
            <w:shd w:val="clear" w:color="auto" w:fill="auto"/>
            <w:vAlign w:val="center"/>
          </w:tcPr>
          <w:p w14:paraId="27EC28B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8</w:t>
            </w:r>
          </w:p>
        </w:tc>
        <w:tc>
          <w:tcPr>
            <w:tcW w:w="0" w:type="auto"/>
            <w:tcBorders>
              <w:top w:val="nil"/>
              <w:left w:val="nil"/>
              <w:bottom w:val="single" w:color="000000" w:sz="8" w:space="0"/>
              <w:right w:val="single" w:color="000000" w:sz="8" w:space="0"/>
            </w:tcBorders>
            <w:shd w:val="clear" w:color="auto" w:fill="auto"/>
            <w:vAlign w:val="center"/>
          </w:tcPr>
          <w:p w14:paraId="1062D6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19</w:t>
            </w:r>
          </w:p>
        </w:tc>
        <w:tc>
          <w:tcPr>
            <w:tcW w:w="987" w:type="dxa"/>
            <w:tcBorders>
              <w:top w:val="single" w:color="000000" w:sz="8" w:space="0"/>
              <w:left w:val="nil"/>
              <w:bottom w:val="single" w:color="000000" w:sz="8" w:space="0"/>
              <w:right w:val="single" w:color="000000" w:sz="8" w:space="0"/>
            </w:tcBorders>
            <w:shd w:val="clear" w:color="auto" w:fill="auto"/>
            <w:vAlign w:val="center"/>
          </w:tcPr>
          <w:p w14:paraId="7838401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34</w:t>
            </w:r>
          </w:p>
        </w:tc>
      </w:tr>
      <w:tr w14:paraId="56EC6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34" w:type="dxa"/>
            <w:vMerge w:val="continue"/>
            <w:tcBorders>
              <w:top w:val="nil"/>
              <w:left w:val="single" w:color="000000" w:sz="8" w:space="0"/>
              <w:bottom w:val="single" w:color="000000" w:sz="8" w:space="0"/>
              <w:right w:val="single" w:color="000000" w:sz="8" w:space="0"/>
            </w:tcBorders>
            <w:shd w:val="clear" w:color="auto" w:fill="auto"/>
            <w:vAlign w:val="center"/>
          </w:tcPr>
          <w:p w14:paraId="752C1B20">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1"/>
                <w:highlight w:val="none"/>
                <w:u w:val="none"/>
              </w:rPr>
            </w:pPr>
          </w:p>
        </w:tc>
        <w:tc>
          <w:tcPr>
            <w:tcW w:w="1635" w:type="dxa"/>
            <w:vMerge w:val="restart"/>
            <w:tcBorders>
              <w:top w:val="nil"/>
              <w:left w:val="nil"/>
              <w:bottom w:val="single" w:color="000000" w:sz="8" w:space="0"/>
              <w:right w:val="single" w:color="000000" w:sz="8" w:space="0"/>
            </w:tcBorders>
            <w:shd w:val="clear" w:color="auto" w:fill="auto"/>
            <w:vAlign w:val="center"/>
          </w:tcPr>
          <w:p w14:paraId="64ED4AC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被子植物</w:t>
            </w:r>
          </w:p>
        </w:tc>
        <w:tc>
          <w:tcPr>
            <w:tcW w:w="2289" w:type="dxa"/>
            <w:tcBorders>
              <w:top w:val="nil"/>
              <w:left w:val="nil"/>
              <w:bottom w:val="single" w:color="000000" w:sz="8" w:space="0"/>
              <w:right w:val="single" w:color="000000" w:sz="8" w:space="0"/>
            </w:tcBorders>
            <w:shd w:val="clear" w:color="auto" w:fill="auto"/>
            <w:vAlign w:val="center"/>
          </w:tcPr>
          <w:p w14:paraId="1FE4738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双子叶植物</w:t>
            </w:r>
          </w:p>
        </w:tc>
        <w:tc>
          <w:tcPr>
            <w:tcW w:w="0" w:type="auto"/>
            <w:tcBorders>
              <w:top w:val="nil"/>
              <w:left w:val="nil"/>
              <w:bottom w:val="single" w:color="000000" w:sz="8" w:space="0"/>
              <w:right w:val="single" w:color="000000" w:sz="8" w:space="0"/>
            </w:tcBorders>
            <w:shd w:val="clear" w:color="auto" w:fill="auto"/>
            <w:vAlign w:val="center"/>
          </w:tcPr>
          <w:p w14:paraId="740D29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130</w:t>
            </w:r>
          </w:p>
        </w:tc>
        <w:tc>
          <w:tcPr>
            <w:tcW w:w="0" w:type="auto"/>
            <w:tcBorders>
              <w:top w:val="nil"/>
              <w:left w:val="nil"/>
              <w:bottom w:val="single" w:color="000000" w:sz="8" w:space="0"/>
              <w:right w:val="single" w:color="000000" w:sz="8" w:space="0"/>
            </w:tcBorders>
            <w:shd w:val="clear" w:color="auto" w:fill="auto"/>
            <w:vAlign w:val="center"/>
          </w:tcPr>
          <w:p w14:paraId="7A057A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472</w:t>
            </w:r>
          </w:p>
        </w:tc>
        <w:tc>
          <w:tcPr>
            <w:tcW w:w="987" w:type="dxa"/>
            <w:tcBorders>
              <w:top w:val="single" w:color="000000" w:sz="8" w:space="0"/>
              <w:left w:val="nil"/>
              <w:bottom w:val="single" w:color="000000" w:sz="8" w:space="0"/>
              <w:right w:val="single" w:color="000000" w:sz="8" w:space="0"/>
            </w:tcBorders>
            <w:shd w:val="clear" w:color="auto" w:fill="auto"/>
            <w:vAlign w:val="center"/>
          </w:tcPr>
          <w:p w14:paraId="660730D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836</w:t>
            </w:r>
          </w:p>
        </w:tc>
      </w:tr>
      <w:tr w14:paraId="6ED54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34" w:type="dxa"/>
            <w:vMerge w:val="continue"/>
            <w:tcBorders>
              <w:top w:val="nil"/>
              <w:left w:val="single" w:color="000000" w:sz="8" w:space="0"/>
              <w:bottom w:val="single" w:color="000000" w:sz="8" w:space="0"/>
              <w:right w:val="single" w:color="000000" w:sz="8" w:space="0"/>
            </w:tcBorders>
            <w:shd w:val="clear" w:color="auto" w:fill="auto"/>
            <w:vAlign w:val="center"/>
          </w:tcPr>
          <w:p w14:paraId="0D0898B1">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1"/>
                <w:highlight w:val="none"/>
                <w:u w:val="none"/>
              </w:rPr>
            </w:pPr>
          </w:p>
        </w:tc>
        <w:tc>
          <w:tcPr>
            <w:tcW w:w="1635" w:type="dxa"/>
            <w:vMerge w:val="continue"/>
            <w:tcBorders>
              <w:top w:val="nil"/>
              <w:left w:val="nil"/>
              <w:bottom w:val="single" w:color="000000" w:sz="8" w:space="0"/>
              <w:right w:val="single" w:color="000000" w:sz="8" w:space="0"/>
            </w:tcBorders>
            <w:shd w:val="clear" w:color="auto" w:fill="auto"/>
            <w:vAlign w:val="center"/>
          </w:tcPr>
          <w:p w14:paraId="64D8AB50">
            <w:pPr>
              <w:snapToGrid w:val="0"/>
              <w:ind w:left="0" w:leftChars="0" w:right="0" w:rightChars="0" w:firstLine="0" w:firstLineChars="0"/>
              <w:jc w:val="left"/>
              <w:rPr>
                <w:rFonts w:hint="default" w:ascii="Times New Roman" w:hAnsi="Times New Roman" w:eastAsia="宋体" w:cs="Times New Roman"/>
                <w:b w:val="0"/>
                <w:bCs w:val="0"/>
                <w:i w:val="0"/>
                <w:iCs w:val="0"/>
                <w:color w:val="auto"/>
                <w:sz w:val="21"/>
                <w:szCs w:val="21"/>
                <w:highlight w:val="none"/>
                <w:u w:val="none"/>
              </w:rPr>
            </w:pPr>
          </w:p>
        </w:tc>
        <w:tc>
          <w:tcPr>
            <w:tcW w:w="2289" w:type="dxa"/>
            <w:tcBorders>
              <w:top w:val="nil"/>
              <w:left w:val="nil"/>
              <w:bottom w:val="single" w:color="000000" w:sz="8" w:space="0"/>
              <w:right w:val="single" w:color="000000" w:sz="8" w:space="0"/>
            </w:tcBorders>
            <w:shd w:val="clear" w:color="auto" w:fill="auto"/>
            <w:vAlign w:val="center"/>
          </w:tcPr>
          <w:p w14:paraId="094181D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单子叶植物</w:t>
            </w:r>
          </w:p>
        </w:tc>
        <w:tc>
          <w:tcPr>
            <w:tcW w:w="0" w:type="auto"/>
            <w:tcBorders>
              <w:top w:val="nil"/>
              <w:left w:val="nil"/>
              <w:bottom w:val="single" w:color="000000" w:sz="8" w:space="0"/>
              <w:right w:val="single" w:color="000000" w:sz="8" w:space="0"/>
            </w:tcBorders>
            <w:shd w:val="clear" w:color="auto" w:fill="auto"/>
            <w:vAlign w:val="center"/>
          </w:tcPr>
          <w:p w14:paraId="0F1FED0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24</w:t>
            </w:r>
          </w:p>
        </w:tc>
        <w:tc>
          <w:tcPr>
            <w:tcW w:w="0" w:type="auto"/>
            <w:tcBorders>
              <w:top w:val="nil"/>
              <w:left w:val="nil"/>
              <w:bottom w:val="single" w:color="000000" w:sz="8" w:space="0"/>
              <w:right w:val="single" w:color="000000" w:sz="8" w:space="0"/>
            </w:tcBorders>
            <w:shd w:val="clear" w:color="auto" w:fill="auto"/>
            <w:vAlign w:val="center"/>
          </w:tcPr>
          <w:p w14:paraId="1F5328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119</w:t>
            </w:r>
          </w:p>
        </w:tc>
        <w:tc>
          <w:tcPr>
            <w:tcW w:w="987" w:type="dxa"/>
            <w:tcBorders>
              <w:top w:val="nil"/>
              <w:left w:val="nil"/>
              <w:bottom w:val="single" w:color="000000" w:sz="8" w:space="0"/>
              <w:right w:val="single" w:color="000000" w:sz="8" w:space="0"/>
            </w:tcBorders>
            <w:shd w:val="clear" w:color="auto" w:fill="auto"/>
            <w:vAlign w:val="center"/>
          </w:tcPr>
          <w:p w14:paraId="784136E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197</w:t>
            </w:r>
          </w:p>
        </w:tc>
      </w:tr>
      <w:tr w14:paraId="0F41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34" w:type="dxa"/>
            <w:vMerge w:val="continue"/>
            <w:tcBorders>
              <w:top w:val="nil"/>
              <w:left w:val="single" w:color="000000" w:sz="8" w:space="0"/>
              <w:bottom w:val="single" w:color="000000" w:sz="8" w:space="0"/>
              <w:right w:val="single" w:color="000000" w:sz="8" w:space="0"/>
            </w:tcBorders>
            <w:shd w:val="clear" w:color="auto" w:fill="auto"/>
            <w:vAlign w:val="center"/>
          </w:tcPr>
          <w:p w14:paraId="71547CBB">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1"/>
                <w:highlight w:val="none"/>
                <w:u w:val="none"/>
              </w:rPr>
            </w:pPr>
          </w:p>
        </w:tc>
        <w:tc>
          <w:tcPr>
            <w:tcW w:w="1635" w:type="dxa"/>
            <w:vMerge w:val="continue"/>
            <w:tcBorders>
              <w:top w:val="nil"/>
              <w:left w:val="nil"/>
              <w:bottom w:val="single" w:color="000000" w:sz="8" w:space="0"/>
              <w:right w:val="single" w:color="000000" w:sz="8" w:space="0"/>
            </w:tcBorders>
            <w:shd w:val="clear" w:color="auto" w:fill="auto"/>
            <w:vAlign w:val="center"/>
          </w:tcPr>
          <w:p w14:paraId="72417EE0">
            <w:pPr>
              <w:snapToGrid w:val="0"/>
              <w:ind w:left="0" w:leftChars="0" w:right="0" w:rightChars="0" w:firstLine="0" w:firstLineChars="0"/>
              <w:jc w:val="left"/>
              <w:rPr>
                <w:rFonts w:hint="default" w:ascii="Times New Roman" w:hAnsi="Times New Roman" w:eastAsia="宋体" w:cs="Times New Roman"/>
                <w:b w:val="0"/>
                <w:bCs w:val="0"/>
                <w:i w:val="0"/>
                <w:iCs w:val="0"/>
                <w:color w:val="auto"/>
                <w:sz w:val="21"/>
                <w:szCs w:val="21"/>
                <w:highlight w:val="none"/>
                <w:u w:val="none"/>
              </w:rPr>
            </w:pPr>
          </w:p>
        </w:tc>
        <w:tc>
          <w:tcPr>
            <w:tcW w:w="2289" w:type="dxa"/>
            <w:tcBorders>
              <w:top w:val="nil"/>
              <w:left w:val="nil"/>
              <w:bottom w:val="single" w:color="000000" w:sz="8" w:space="0"/>
              <w:right w:val="single" w:color="000000" w:sz="8" w:space="0"/>
            </w:tcBorders>
            <w:shd w:val="clear" w:color="auto" w:fill="auto"/>
            <w:vAlign w:val="center"/>
          </w:tcPr>
          <w:p w14:paraId="19CE874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被子植物小计</w:t>
            </w:r>
          </w:p>
        </w:tc>
        <w:tc>
          <w:tcPr>
            <w:tcW w:w="0" w:type="auto"/>
            <w:tcBorders>
              <w:top w:val="nil"/>
              <w:left w:val="nil"/>
              <w:bottom w:val="single" w:color="000000" w:sz="8" w:space="0"/>
              <w:right w:val="single" w:color="000000" w:sz="8" w:space="0"/>
            </w:tcBorders>
            <w:shd w:val="clear" w:color="auto" w:fill="auto"/>
            <w:vAlign w:val="center"/>
          </w:tcPr>
          <w:p w14:paraId="6D9E95E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154</w:t>
            </w:r>
          </w:p>
        </w:tc>
        <w:tc>
          <w:tcPr>
            <w:tcW w:w="0" w:type="auto"/>
            <w:tcBorders>
              <w:top w:val="nil"/>
              <w:left w:val="nil"/>
              <w:bottom w:val="single" w:color="000000" w:sz="8" w:space="0"/>
              <w:right w:val="single" w:color="000000" w:sz="8" w:space="0"/>
            </w:tcBorders>
            <w:shd w:val="clear" w:color="auto" w:fill="auto"/>
            <w:vAlign w:val="center"/>
          </w:tcPr>
          <w:p w14:paraId="66677F0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591</w:t>
            </w:r>
          </w:p>
        </w:tc>
        <w:tc>
          <w:tcPr>
            <w:tcW w:w="987" w:type="dxa"/>
            <w:tcBorders>
              <w:top w:val="nil"/>
              <w:left w:val="nil"/>
              <w:bottom w:val="single" w:color="000000" w:sz="8" w:space="0"/>
              <w:right w:val="single" w:color="000000" w:sz="8" w:space="0"/>
            </w:tcBorders>
            <w:shd w:val="clear" w:color="auto" w:fill="auto"/>
            <w:vAlign w:val="center"/>
          </w:tcPr>
          <w:p w14:paraId="1DA25B0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1033</w:t>
            </w:r>
          </w:p>
        </w:tc>
      </w:tr>
      <w:tr w14:paraId="21743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634" w:type="dxa"/>
            <w:vMerge w:val="continue"/>
            <w:tcBorders>
              <w:top w:val="nil"/>
              <w:left w:val="single" w:color="000000" w:sz="8" w:space="0"/>
              <w:bottom w:val="single" w:color="000000" w:sz="8" w:space="0"/>
              <w:right w:val="single" w:color="000000" w:sz="8" w:space="0"/>
            </w:tcBorders>
            <w:shd w:val="clear" w:color="auto" w:fill="auto"/>
            <w:vAlign w:val="center"/>
          </w:tcPr>
          <w:p w14:paraId="6E95C59C">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1"/>
                <w:highlight w:val="none"/>
                <w:u w:val="none"/>
              </w:rPr>
            </w:pPr>
          </w:p>
        </w:tc>
        <w:tc>
          <w:tcPr>
            <w:tcW w:w="3924" w:type="dxa"/>
            <w:gridSpan w:val="2"/>
            <w:tcBorders>
              <w:top w:val="nil"/>
              <w:left w:val="nil"/>
              <w:bottom w:val="single" w:color="000000" w:sz="8" w:space="0"/>
              <w:right w:val="single" w:color="000000" w:sz="8" w:space="0"/>
            </w:tcBorders>
            <w:shd w:val="clear" w:color="auto" w:fill="auto"/>
            <w:vAlign w:val="center"/>
          </w:tcPr>
          <w:p w14:paraId="560E8B9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种子植物小计</w:t>
            </w:r>
          </w:p>
        </w:tc>
        <w:tc>
          <w:tcPr>
            <w:tcW w:w="0" w:type="auto"/>
            <w:tcBorders>
              <w:top w:val="nil"/>
              <w:left w:val="nil"/>
              <w:bottom w:val="single" w:color="000000" w:sz="8" w:space="0"/>
              <w:right w:val="single" w:color="000000" w:sz="8" w:space="0"/>
            </w:tcBorders>
            <w:shd w:val="clear" w:color="auto" w:fill="auto"/>
            <w:vAlign w:val="center"/>
          </w:tcPr>
          <w:p w14:paraId="3F8ED2B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162</w:t>
            </w:r>
          </w:p>
        </w:tc>
        <w:tc>
          <w:tcPr>
            <w:tcW w:w="0" w:type="auto"/>
            <w:tcBorders>
              <w:top w:val="nil"/>
              <w:left w:val="nil"/>
              <w:bottom w:val="single" w:color="000000" w:sz="8" w:space="0"/>
              <w:right w:val="single" w:color="000000" w:sz="8" w:space="0"/>
            </w:tcBorders>
            <w:shd w:val="clear" w:color="auto" w:fill="auto"/>
            <w:vAlign w:val="center"/>
          </w:tcPr>
          <w:p w14:paraId="429241B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610</w:t>
            </w:r>
          </w:p>
        </w:tc>
        <w:tc>
          <w:tcPr>
            <w:tcW w:w="987" w:type="dxa"/>
            <w:tcBorders>
              <w:top w:val="nil"/>
              <w:left w:val="nil"/>
              <w:bottom w:val="single" w:color="000000" w:sz="8" w:space="0"/>
              <w:right w:val="single" w:color="000000" w:sz="8" w:space="0"/>
            </w:tcBorders>
            <w:shd w:val="clear" w:color="auto" w:fill="auto"/>
            <w:vAlign w:val="center"/>
          </w:tcPr>
          <w:p w14:paraId="63A0891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1067</w:t>
            </w:r>
          </w:p>
        </w:tc>
      </w:tr>
      <w:tr w14:paraId="1B7A4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558" w:type="dxa"/>
            <w:gridSpan w:val="3"/>
            <w:tcBorders>
              <w:top w:val="nil"/>
              <w:left w:val="single" w:color="000000" w:sz="8" w:space="0"/>
              <w:bottom w:val="single" w:color="000000" w:sz="8" w:space="0"/>
              <w:right w:val="single" w:color="000000" w:sz="8" w:space="0"/>
            </w:tcBorders>
            <w:shd w:val="clear" w:color="auto" w:fill="auto"/>
            <w:vAlign w:val="center"/>
          </w:tcPr>
          <w:p w14:paraId="08C1A0D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维管植物合计</w:t>
            </w:r>
          </w:p>
        </w:tc>
        <w:tc>
          <w:tcPr>
            <w:tcW w:w="987" w:type="dxa"/>
            <w:tcBorders>
              <w:top w:val="nil"/>
              <w:left w:val="nil"/>
              <w:bottom w:val="single" w:color="000000" w:sz="8" w:space="0"/>
              <w:right w:val="single" w:color="000000" w:sz="8" w:space="0"/>
            </w:tcBorders>
            <w:shd w:val="clear" w:color="auto" w:fill="auto"/>
            <w:vAlign w:val="center"/>
          </w:tcPr>
          <w:p w14:paraId="7AE3A84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190</w:t>
            </w:r>
          </w:p>
        </w:tc>
        <w:tc>
          <w:tcPr>
            <w:tcW w:w="987" w:type="dxa"/>
            <w:tcBorders>
              <w:top w:val="nil"/>
              <w:left w:val="nil"/>
              <w:bottom w:val="single" w:color="000000" w:sz="8" w:space="0"/>
              <w:right w:val="single" w:color="000000" w:sz="8" w:space="0"/>
            </w:tcBorders>
            <w:shd w:val="clear" w:color="auto" w:fill="auto"/>
            <w:vAlign w:val="center"/>
          </w:tcPr>
          <w:p w14:paraId="5433939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664</w:t>
            </w:r>
          </w:p>
        </w:tc>
        <w:tc>
          <w:tcPr>
            <w:tcW w:w="987" w:type="dxa"/>
            <w:tcBorders>
              <w:top w:val="nil"/>
              <w:left w:val="nil"/>
              <w:bottom w:val="single" w:color="000000" w:sz="8" w:space="0"/>
              <w:right w:val="single" w:color="000000" w:sz="8" w:space="0"/>
            </w:tcBorders>
            <w:shd w:val="clear" w:color="auto" w:fill="auto"/>
            <w:vAlign w:val="center"/>
          </w:tcPr>
          <w:p w14:paraId="3AC53E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1182</w:t>
            </w:r>
          </w:p>
        </w:tc>
      </w:tr>
    </w:tbl>
    <w:p w14:paraId="32A4AA78">
      <w:pPr>
        <w:pStyle w:val="7"/>
        <w:numPr>
          <w:ilvl w:val="4"/>
          <w:numId w:val="4"/>
        </w:numPr>
        <w:spacing w:before="374" w:after="249"/>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重要植物</w:t>
      </w:r>
    </w:p>
    <w:p w14:paraId="68E8AB25">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（1）国家重点保护野生植物</w:t>
      </w:r>
    </w:p>
    <w:p w14:paraId="7BB52DED">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根据</w:t>
      </w:r>
      <w:r>
        <w:rPr>
          <w:rFonts w:hint="default" w:ascii="Times New Roman" w:hAnsi="Times New Roman" w:eastAsia="宋体" w:cs="Times New Roman"/>
          <w:color w:val="auto"/>
          <w:highlight w:val="none"/>
          <w:lang w:val="en-US" w:eastAsia="zh-CN"/>
        </w:rPr>
        <w:t>《国家重点保护野生植物（2021 版）》《云南省各州市分布的国家重点保护野生动植物名录（2021年）》，结合现场调查，规划评价区</w:t>
      </w:r>
      <w:r>
        <w:rPr>
          <w:rFonts w:hint="default" w:ascii="Times New Roman" w:hAnsi="Times New Roman" w:eastAsia="宋体" w:cs="Times New Roman"/>
          <w:color w:val="auto"/>
          <w:highlight w:val="none"/>
          <w:lang w:eastAsia="zh-CN"/>
        </w:rPr>
        <w:t>内共有国家重点保护野生植物</w:t>
      </w:r>
      <w:r>
        <w:rPr>
          <w:rFonts w:hint="default" w:ascii="Times New Roman" w:hAnsi="Times New Roman" w:eastAsia="宋体" w:cs="Times New Roman"/>
          <w:color w:val="auto"/>
          <w:highlight w:val="none"/>
          <w:lang w:val="en-US" w:eastAsia="zh-CN"/>
        </w:rPr>
        <w:t>16</w:t>
      </w:r>
      <w:r>
        <w:rPr>
          <w:rFonts w:hint="default" w:ascii="Times New Roman" w:hAnsi="Times New Roman" w:eastAsia="宋体" w:cs="Times New Roman"/>
          <w:color w:val="auto"/>
          <w:highlight w:val="none"/>
          <w:lang w:eastAsia="zh-CN"/>
        </w:rPr>
        <w:t>种，其中</w:t>
      </w:r>
      <w:r>
        <w:rPr>
          <w:rFonts w:hint="default" w:ascii="Times New Roman" w:hAnsi="Times New Roman" w:eastAsia="宋体" w:cs="Times New Roman"/>
          <w:color w:val="auto"/>
          <w:highlight w:val="none"/>
          <w:lang w:val="en-US" w:eastAsia="zh-CN"/>
        </w:rPr>
        <w:t>国家一级保护2种</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国家二级保护14种</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未统计水杉、银杏、玫瑰、大理罗汉松、西藏柏木等人工栽培种类，</w:t>
      </w:r>
      <w:r>
        <w:rPr>
          <w:rFonts w:hint="default" w:ascii="Times New Roman" w:hAnsi="Times New Roman" w:eastAsia="宋体" w:cs="Times New Roman"/>
          <w:color w:val="auto"/>
          <w:highlight w:val="none"/>
          <w:lang w:eastAsia="zh-CN"/>
        </w:rPr>
        <w:t>具体</w:t>
      </w:r>
      <w:r>
        <w:rPr>
          <w:rFonts w:hint="default" w:ascii="Times New Roman" w:hAnsi="Times New Roman" w:eastAsia="宋体" w:cs="Times New Roman"/>
          <w:color w:val="auto"/>
          <w:highlight w:val="none"/>
          <w:lang w:val="en-US" w:eastAsia="zh-CN"/>
        </w:rPr>
        <w:t>见</w:t>
      </w:r>
      <w:r>
        <w:rPr>
          <w:rFonts w:hint="default" w:ascii="Times New Roman" w:hAnsi="Times New Roman" w:eastAsia="宋体" w:cs="Times New Roman"/>
          <w:color w:val="auto"/>
          <w:highlight w:val="none"/>
          <w:lang w:eastAsia="zh-CN"/>
        </w:rPr>
        <w:t>表</w:t>
      </w:r>
      <w:r>
        <w:rPr>
          <w:rFonts w:hint="default" w:ascii="Times New Roman" w:hAnsi="Times New Roman" w:eastAsia="宋体" w:cs="Times New Roman"/>
          <w:color w:val="auto"/>
          <w:highlight w:val="none"/>
          <w:lang w:val="en-US" w:eastAsia="zh-CN"/>
        </w:rPr>
        <w:t>3.4.1-3</w:t>
      </w:r>
      <w:r>
        <w:rPr>
          <w:rFonts w:hint="default" w:ascii="Times New Roman" w:hAnsi="Times New Roman" w:eastAsia="宋体" w:cs="Times New Roman"/>
          <w:color w:val="auto"/>
          <w:highlight w:val="none"/>
          <w:lang w:eastAsia="zh-CN"/>
        </w:rPr>
        <w:t>所示。</w:t>
      </w:r>
    </w:p>
    <w:p w14:paraId="5E84943C">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表3.4.1-3  评价区国家重点保护植物一览表</w:t>
      </w:r>
    </w:p>
    <w:tbl>
      <w:tblPr>
        <w:tblStyle w:val="22"/>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7"/>
        <w:gridCol w:w="2096"/>
        <w:gridCol w:w="4140"/>
        <w:gridCol w:w="1326"/>
      </w:tblGrid>
      <w:tr w14:paraId="44515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5C14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序号</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3BF0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中文名</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FC86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拉丁名</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676D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保护等级</w:t>
            </w:r>
          </w:p>
        </w:tc>
      </w:tr>
      <w:tr w14:paraId="18BDE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EBA9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92D5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cs="Times New Roman"/>
                <w:i w:val="0"/>
                <w:iCs w:val="0"/>
                <w:color w:val="auto"/>
                <w:kern w:val="0"/>
                <w:sz w:val="21"/>
                <w:szCs w:val="21"/>
                <w:highlight w:val="none"/>
                <w:u w:val="none"/>
                <w:lang w:val="en-US" w:eastAsia="zh-CN" w:bidi="ar"/>
              </w:rPr>
              <w:t>篦齿</w:t>
            </w:r>
            <w:r>
              <w:rPr>
                <w:rFonts w:hint="default" w:ascii="Times New Roman" w:hAnsi="Times New Roman" w:eastAsia="宋体" w:cs="Times New Roman"/>
                <w:i w:val="0"/>
                <w:iCs w:val="0"/>
                <w:color w:val="auto"/>
                <w:kern w:val="0"/>
                <w:sz w:val="21"/>
                <w:szCs w:val="21"/>
                <w:highlight w:val="none"/>
                <w:u w:val="none"/>
                <w:lang w:val="en-US" w:eastAsia="zh-CN" w:bidi="ar"/>
              </w:rPr>
              <w:t>苏铁</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CF07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Cycas pectinata</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528E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一级</w:t>
            </w:r>
          </w:p>
        </w:tc>
      </w:tr>
      <w:tr w14:paraId="1A6C1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7617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D07C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苏铁</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C07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Cycas taiwaniana</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D794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一级</w:t>
            </w:r>
          </w:p>
        </w:tc>
      </w:tr>
      <w:tr w14:paraId="78EC5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65C0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10E5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鹅掌楸</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8CEA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Liriodendron chinense</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8BED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3BF6F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B9F5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EE9D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建兰</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2A2C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Cymbidium ensifolium</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597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1649C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CCA1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813C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斑叶杓兰</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EE9C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Cypripedium margaritaceum</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D21B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458B4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CE19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843C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蛇足石杉</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841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Huperzia serrata</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484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03F59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8D3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271B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黄杉</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6B90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Pseudotsuga sinensis</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FF0B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0ECBA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5553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E3D0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白及</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8C3E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Bletilla striata</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B71A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07EFB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D93D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2388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云南独蒜兰</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5FDD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Pleione yunnanensis</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F42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1FA3F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724F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DF0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大花香水月季</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33A7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 xml:space="preserve">Rosa odorata </w:t>
            </w:r>
            <w:r>
              <w:rPr>
                <w:rFonts w:hint="default" w:ascii="Times New Roman" w:hAnsi="Times New Roman" w:eastAsia="宋体" w:cs="Times New Roman"/>
                <w:i w:val="0"/>
                <w:iCs w:val="0"/>
                <w:color w:val="auto"/>
                <w:kern w:val="0"/>
                <w:sz w:val="21"/>
                <w:szCs w:val="21"/>
                <w:highlight w:val="none"/>
                <w:u w:val="none"/>
                <w:lang w:val="en-US" w:eastAsia="zh-CN" w:bidi="ar"/>
              </w:rPr>
              <w:t xml:space="preserve">var. </w:t>
            </w:r>
            <w:r>
              <w:rPr>
                <w:rFonts w:hint="default" w:ascii="Times New Roman" w:hAnsi="Times New Roman" w:eastAsia="宋体" w:cs="Times New Roman"/>
                <w:i/>
                <w:iCs/>
                <w:color w:val="auto"/>
                <w:kern w:val="0"/>
                <w:sz w:val="21"/>
                <w:szCs w:val="21"/>
                <w:highlight w:val="none"/>
                <w:u w:val="none"/>
                <w:lang w:val="en-US" w:eastAsia="zh-CN" w:bidi="ar"/>
              </w:rPr>
              <w:t>gigantea</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3C64C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3295B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11DC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11</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7FDA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七叶一枝花</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F212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Paris polyphylla</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var. </w:t>
            </w:r>
            <w:r>
              <w:rPr>
                <w:rFonts w:hint="default" w:ascii="Times New Roman" w:hAnsi="Times New Roman" w:eastAsia="宋体" w:cs="Times New Roman"/>
                <w:i/>
                <w:iCs/>
                <w:color w:val="auto"/>
                <w:kern w:val="0"/>
                <w:sz w:val="21"/>
                <w:szCs w:val="21"/>
                <w:highlight w:val="none"/>
                <w:u w:val="none"/>
                <w:lang w:val="en-US" w:eastAsia="zh-CN" w:bidi="ar"/>
              </w:rPr>
              <w:t>yunnanensis</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65AC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76385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D3C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12</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79F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云南拟单性木兰</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8A9F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Parakmeria yunnanensis</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04D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30A79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1321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08C0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桢楠</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15DE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Phoebe zhennan</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A5E8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08F5D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5268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2912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罗汉松</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EC76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Podocarpus macrophyllus</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F4AD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06422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363B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0AFE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红椿</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3D49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Toona ciliata</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6F04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r w14:paraId="2BF4B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1B38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16</w:t>
            </w:r>
          </w:p>
        </w:tc>
        <w:tc>
          <w:tcPr>
            <w:tcW w:w="12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E037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大叶榉树</w:t>
            </w:r>
          </w:p>
        </w:tc>
        <w:tc>
          <w:tcPr>
            <w:tcW w:w="24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7840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iCs/>
                <w:color w:val="auto"/>
                <w:sz w:val="21"/>
                <w:szCs w:val="21"/>
                <w:highlight w:val="none"/>
                <w:u w:val="none"/>
              </w:rPr>
            </w:pPr>
            <w:r>
              <w:rPr>
                <w:rFonts w:hint="default" w:ascii="Times New Roman" w:hAnsi="Times New Roman" w:eastAsia="宋体" w:cs="Times New Roman"/>
                <w:i/>
                <w:iCs/>
                <w:color w:val="auto"/>
                <w:kern w:val="0"/>
                <w:sz w:val="21"/>
                <w:szCs w:val="21"/>
                <w:highlight w:val="none"/>
                <w:u w:val="none"/>
                <w:lang w:val="en-US" w:eastAsia="zh-CN" w:bidi="ar"/>
              </w:rPr>
              <w:t>Zelkova schneideriana</w:t>
            </w:r>
          </w:p>
        </w:tc>
        <w:tc>
          <w:tcPr>
            <w:tcW w:w="7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D3CE4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二级</w:t>
            </w:r>
          </w:p>
        </w:tc>
      </w:tr>
    </w:tbl>
    <w:p w14:paraId="22A9E83E">
      <w:pPr>
        <w:pStyle w:val="4"/>
        <w:bidi w:val="0"/>
        <w:rPr>
          <w:rFonts w:hint="default" w:ascii="Times New Roman" w:hAnsi="Times New Roman" w:eastAsia="宋体" w:cs="Times New Roman"/>
          <w:color w:val="auto"/>
          <w:highlight w:val="none"/>
          <w:lang w:eastAsia="zh-CN"/>
        </w:rPr>
      </w:pPr>
    </w:p>
    <w:p w14:paraId="044B0EBD">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（2）云南省重点保护野生植物</w:t>
      </w:r>
    </w:p>
    <w:p w14:paraId="69F0CA83">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eastAsia="zh-CN"/>
        </w:rPr>
        <w:t>根据《云南省重点保护野生植物名录（2023 版）》，</w:t>
      </w:r>
      <w:r>
        <w:rPr>
          <w:rFonts w:hint="default" w:ascii="Times New Roman" w:hAnsi="Times New Roman" w:eastAsia="宋体" w:cs="Times New Roman"/>
          <w:color w:val="auto"/>
          <w:highlight w:val="none"/>
          <w:lang w:val="en-US" w:eastAsia="zh-CN"/>
        </w:rPr>
        <w:t>结合现场调查和资料收集，评价区内记录有云南省重点</w:t>
      </w:r>
      <w:r>
        <w:rPr>
          <w:rFonts w:hint="default" w:ascii="Times New Roman" w:hAnsi="Times New Roman" w:eastAsia="宋体" w:cs="Times New Roman"/>
          <w:color w:val="auto"/>
          <w:highlight w:val="none"/>
          <w:lang w:eastAsia="zh-CN"/>
        </w:rPr>
        <w:t>保护野生植物</w:t>
      </w: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eastAsia="zh-CN"/>
        </w:rPr>
        <w:t>种，具体如表3.4.1-</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eastAsia="zh-CN"/>
        </w:rPr>
        <w:t>。</w:t>
      </w:r>
    </w:p>
    <w:p w14:paraId="1BC8404E">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表3.4.1-4  评价区云南省重点保护植物一览表</w:t>
      </w:r>
    </w:p>
    <w:tbl>
      <w:tblPr>
        <w:tblStyle w:val="22"/>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329"/>
        <w:gridCol w:w="1868"/>
        <w:gridCol w:w="3291"/>
        <w:gridCol w:w="2031"/>
      </w:tblGrid>
      <w:tr w14:paraId="1C5F5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80" w:type="pct"/>
            <w:shd w:val="clear" w:color="auto" w:fill="auto"/>
            <w:noWrap/>
            <w:vAlign w:val="center"/>
          </w:tcPr>
          <w:p w14:paraId="50C46D3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kern w:val="0"/>
                <w:sz w:val="21"/>
                <w:szCs w:val="21"/>
                <w:highlight w:val="none"/>
                <w:u w:val="none"/>
                <w:lang w:val="en-US" w:eastAsia="zh-CN" w:bidi="ar"/>
              </w:rPr>
            </w:pPr>
            <w:r>
              <w:rPr>
                <w:rFonts w:hint="default" w:ascii="Times New Roman" w:hAnsi="Times New Roman" w:eastAsia="宋体" w:cs="Times New Roman"/>
                <w:b/>
                <w:i w:val="0"/>
                <w:iCs w:val="0"/>
                <w:color w:val="auto"/>
                <w:kern w:val="0"/>
                <w:sz w:val="21"/>
                <w:szCs w:val="21"/>
                <w:highlight w:val="none"/>
                <w:u w:val="none"/>
                <w:lang w:val="en-US" w:eastAsia="zh-CN" w:bidi="ar"/>
              </w:rPr>
              <w:t>序号</w:t>
            </w:r>
          </w:p>
        </w:tc>
        <w:tc>
          <w:tcPr>
            <w:tcW w:w="1096" w:type="pct"/>
            <w:shd w:val="clear" w:color="auto" w:fill="auto"/>
            <w:noWrap/>
            <w:vAlign w:val="center"/>
          </w:tcPr>
          <w:p w14:paraId="0FD35FC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kern w:val="0"/>
                <w:sz w:val="21"/>
                <w:szCs w:val="21"/>
                <w:highlight w:val="none"/>
                <w:u w:val="none"/>
                <w:lang w:val="en-US" w:eastAsia="zh-CN" w:bidi="ar"/>
              </w:rPr>
            </w:pPr>
            <w:r>
              <w:rPr>
                <w:rFonts w:hint="default" w:ascii="Times New Roman" w:hAnsi="Times New Roman" w:eastAsia="宋体" w:cs="Times New Roman"/>
                <w:b/>
                <w:i w:val="0"/>
                <w:iCs w:val="0"/>
                <w:color w:val="auto"/>
                <w:kern w:val="0"/>
                <w:sz w:val="21"/>
                <w:szCs w:val="21"/>
                <w:highlight w:val="none"/>
                <w:u w:val="none"/>
                <w:lang w:val="en-US" w:eastAsia="zh-CN" w:bidi="ar"/>
              </w:rPr>
              <w:t>中文名</w:t>
            </w:r>
          </w:p>
        </w:tc>
        <w:tc>
          <w:tcPr>
            <w:tcW w:w="1931" w:type="pct"/>
            <w:shd w:val="clear" w:color="auto" w:fill="auto"/>
            <w:noWrap/>
            <w:vAlign w:val="center"/>
          </w:tcPr>
          <w:p w14:paraId="0D68FE7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kern w:val="0"/>
                <w:sz w:val="21"/>
                <w:szCs w:val="21"/>
                <w:highlight w:val="none"/>
                <w:u w:val="none"/>
                <w:lang w:val="en-US" w:eastAsia="zh-CN" w:bidi="ar"/>
              </w:rPr>
            </w:pPr>
            <w:r>
              <w:rPr>
                <w:rFonts w:hint="default" w:ascii="Times New Roman" w:hAnsi="Times New Roman" w:eastAsia="宋体" w:cs="Times New Roman"/>
                <w:b/>
                <w:i w:val="0"/>
                <w:iCs w:val="0"/>
                <w:color w:val="auto"/>
                <w:kern w:val="0"/>
                <w:sz w:val="21"/>
                <w:szCs w:val="21"/>
                <w:highlight w:val="none"/>
                <w:u w:val="none"/>
                <w:lang w:val="en-US" w:eastAsia="zh-CN" w:bidi="ar"/>
              </w:rPr>
              <w:t>拉丁名</w:t>
            </w:r>
          </w:p>
        </w:tc>
        <w:tc>
          <w:tcPr>
            <w:tcW w:w="1191" w:type="pct"/>
            <w:shd w:val="clear" w:color="auto" w:fill="auto"/>
            <w:noWrap/>
            <w:vAlign w:val="center"/>
          </w:tcPr>
          <w:p w14:paraId="0C4E8D6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kern w:val="0"/>
                <w:sz w:val="21"/>
                <w:szCs w:val="21"/>
                <w:highlight w:val="none"/>
                <w:u w:val="none"/>
                <w:lang w:val="en-US" w:eastAsia="zh-CN" w:bidi="ar"/>
              </w:rPr>
            </w:pPr>
            <w:r>
              <w:rPr>
                <w:rFonts w:hint="default" w:ascii="Times New Roman" w:hAnsi="Times New Roman" w:eastAsia="宋体" w:cs="Times New Roman"/>
                <w:b/>
                <w:i w:val="0"/>
                <w:iCs w:val="0"/>
                <w:color w:val="auto"/>
                <w:kern w:val="0"/>
                <w:sz w:val="21"/>
                <w:szCs w:val="21"/>
                <w:highlight w:val="none"/>
                <w:u w:val="none"/>
                <w:lang w:val="en-US" w:eastAsia="zh-CN" w:bidi="ar"/>
              </w:rPr>
              <w:t>保护等级</w:t>
            </w:r>
          </w:p>
        </w:tc>
      </w:tr>
      <w:tr w14:paraId="224B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80" w:type="pct"/>
            <w:shd w:val="clear" w:color="auto" w:fill="auto"/>
            <w:noWrap/>
            <w:vAlign w:val="center"/>
          </w:tcPr>
          <w:p w14:paraId="0C231AF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1096" w:type="pct"/>
            <w:shd w:val="clear" w:color="auto" w:fill="auto"/>
            <w:noWrap/>
            <w:vAlign w:val="center"/>
          </w:tcPr>
          <w:p w14:paraId="19FDB1A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云南樟</w:t>
            </w:r>
          </w:p>
        </w:tc>
        <w:tc>
          <w:tcPr>
            <w:tcW w:w="1931" w:type="pct"/>
            <w:shd w:val="clear" w:color="auto" w:fill="auto"/>
            <w:noWrap/>
            <w:vAlign w:val="center"/>
          </w:tcPr>
          <w:p w14:paraId="4093886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iCs/>
                <w:color w:val="auto"/>
                <w:kern w:val="0"/>
                <w:sz w:val="21"/>
                <w:szCs w:val="21"/>
                <w:highlight w:val="none"/>
                <w:u w:val="none"/>
                <w:lang w:val="en-US" w:eastAsia="zh-CN" w:bidi="ar"/>
              </w:rPr>
            </w:pPr>
            <w:r>
              <w:rPr>
                <w:rFonts w:hint="default" w:ascii="Times New Roman" w:hAnsi="Times New Roman" w:eastAsia="宋体" w:cs="Times New Roman"/>
                <w:i/>
                <w:iCs/>
                <w:color w:val="auto"/>
                <w:kern w:val="0"/>
                <w:sz w:val="21"/>
                <w:szCs w:val="21"/>
                <w:highlight w:val="none"/>
                <w:u w:val="none"/>
                <w:lang w:val="en-US" w:eastAsia="zh-CN" w:bidi="ar"/>
              </w:rPr>
              <w:t>Camphora glandulifera</w:t>
            </w:r>
          </w:p>
        </w:tc>
        <w:tc>
          <w:tcPr>
            <w:tcW w:w="1191" w:type="pct"/>
            <w:shd w:val="clear" w:color="auto" w:fill="auto"/>
            <w:noWrap/>
            <w:vAlign w:val="center"/>
          </w:tcPr>
          <w:p w14:paraId="21764F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云南省级</w:t>
            </w:r>
          </w:p>
        </w:tc>
      </w:tr>
      <w:tr w14:paraId="2579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780" w:type="pct"/>
            <w:shd w:val="clear" w:color="auto" w:fill="auto"/>
            <w:noWrap/>
            <w:vAlign w:val="center"/>
          </w:tcPr>
          <w:p w14:paraId="0DB0BDF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c>
          <w:tcPr>
            <w:tcW w:w="1096" w:type="pct"/>
            <w:shd w:val="clear" w:color="auto" w:fill="auto"/>
            <w:noWrap/>
            <w:vAlign w:val="center"/>
          </w:tcPr>
          <w:p w14:paraId="6FA3BCA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扇蕨</w:t>
            </w:r>
          </w:p>
        </w:tc>
        <w:tc>
          <w:tcPr>
            <w:tcW w:w="1931" w:type="pct"/>
            <w:shd w:val="clear" w:color="auto" w:fill="auto"/>
            <w:noWrap/>
            <w:vAlign w:val="center"/>
          </w:tcPr>
          <w:p w14:paraId="53FE33D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iCs/>
                <w:color w:val="auto"/>
                <w:kern w:val="0"/>
                <w:sz w:val="21"/>
                <w:szCs w:val="21"/>
                <w:highlight w:val="none"/>
                <w:u w:val="none"/>
                <w:lang w:val="en-US" w:eastAsia="zh-CN" w:bidi="ar"/>
              </w:rPr>
            </w:pPr>
            <w:r>
              <w:rPr>
                <w:rFonts w:hint="default" w:ascii="Times New Roman" w:hAnsi="Times New Roman" w:eastAsia="宋体" w:cs="Times New Roman"/>
                <w:i/>
                <w:iCs/>
                <w:color w:val="auto"/>
                <w:kern w:val="0"/>
                <w:sz w:val="21"/>
                <w:szCs w:val="21"/>
                <w:highlight w:val="none"/>
                <w:u w:val="none"/>
                <w:lang w:val="en-US" w:eastAsia="zh-CN" w:bidi="ar"/>
              </w:rPr>
              <w:t>Neocheiropteris palmatopedata</w:t>
            </w:r>
          </w:p>
        </w:tc>
        <w:tc>
          <w:tcPr>
            <w:tcW w:w="1191" w:type="pct"/>
            <w:shd w:val="clear" w:color="auto" w:fill="auto"/>
            <w:noWrap/>
            <w:vAlign w:val="center"/>
          </w:tcPr>
          <w:p w14:paraId="26BDE8E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云南省级</w:t>
            </w:r>
          </w:p>
        </w:tc>
      </w:tr>
      <w:tr w14:paraId="3C8D8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80" w:type="pct"/>
            <w:shd w:val="clear" w:color="auto" w:fill="auto"/>
            <w:noWrap/>
            <w:vAlign w:val="center"/>
          </w:tcPr>
          <w:p w14:paraId="423610F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1096" w:type="pct"/>
            <w:shd w:val="clear" w:color="auto" w:fill="auto"/>
            <w:noWrap/>
            <w:vAlign w:val="center"/>
          </w:tcPr>
          <w:p w14:paraId="493EBD1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滇藏玉兰</w:t>
            </w:r>
          </w:p>
        </w:tc>
        <w:tc>
          <w:tcPr>
            <w:tcW w:w="1931" w:type="pct"/>
            <w:shd w:val="clear" w:color="auto" w:fill="auto"/>
            <w:noWrap/>
            <w:vAlign w:val="center"/>
          </w:tcPr>
          <w:p w14:paraId="2AD5743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iCs/>
                <w:color w:val="auto"/>
                <w:kern w:val="0"/>
                <w:sz w:val="21"/>
                <w:szCs w:val="21"/>
                <w:highlight w:val="none"/>
                <w:u w:val="none"/>
                <w:lang w:val="en-US" w:eastAsia="zh-CN" w:bidi="ar"/>
              </w:rPr>
            </w:pPr>
            <w:r>
              <w:rPr>
                <w:rFonts w:hint="default" w:ascii="Times New Roman" w:hAnsi="Times New Roman" w:eastAsia="宋体" w:cs="Times New Roman"/>
                <w:i/>
                <w:iCs/>
                <w:color w:val="auto"/>
                <w:kern w:val="0"/>
                <w:sz w:val="21"/>
                <w:szCs w:val="21"/>
                <w:highlight w:val="none"/>
                <w:u w:val="none"/>
                <w:lang w:val="en-US" w:eastAsia="zh-CN" w:bidi="ar"/>
              </w:rPr>
              <w:fldChar w:fldCharType="begin"/>
            </w:r>
            <w:r>
              <w:rPr>
                <w:rFonts w:hint="default" w:ascii="Times New Roman" w:hAnsi="Times New Roman" w:eastAsia="宋体" w:cs="Times New Roman"/>
                <w:i/>
                <w:iCs/>
                <w:color w:val="auto"/>
                <w:kern w:val="0"/>
                <w:sz w:val="21"/>
                <w:szCs w:val="21"/>
                <w:highlight w:val="none"/>
                <w:u w:val="none"/>
                <w:lang w:val="en-US" w:eastAsia="zh-CN" w:bidi="ar"/>
              </w:rPr>
              <w:instrText xml:space="preserve"> HYPERLINK "http://ppbc.iplant.cn/sp/222089" </w:instrText>
            </w:r>
            <w:r>
              <w:rPr>
                <w:rFonts w:hint="default" w:ascii="Times New Roman" w:hAnsi="Times New Roman" w:eastAsia="宋体" w:cs="Times New Roman"/>
                <w:i/>
                <w:iCs/>
                <w:color w:val="auto"/>
                <w:kern w:val="0"/>
                <w:sz w:val="21"/>
                <w:szCs w:val="21"/>
                <w:highlight w:val="none"/>
                <w:u w:val="none"/>
                <w:lang w:val="en-US" w:eastAsia="zh-CN" w:bidi="ar"/>
              </w:rPr>
              <w:fldChar w:fldCharType="separate"/>
            </w:r>
            <w:r>
              <w:rPr>
                <w:rFonts w:hint="default" w:ascii="Times New Roman" w:hAnsi="Times New Roman" w:eastAsia="宋体" w:cs="Times New Roman"/>
                <w:i/>
                <w:iCs/>
                <w:color w:val="auto"/>
                <w:kern w:val="0"/>
                <w:sz w:val="21"/>
                <w:szCs w:val="21"/>
                <w:highlight w:val="none"/>
                <w:u w:val="none"/>
                <w:lang w:val="en-US" w:eastAsia="zh-CN" w:bidi="ar"/>
              </w:rPr>
              <w:t>Yulania campbellii</w:t>
            </w:r>
            <w:r>
              <w:rPr>
                <w:rFonts w:hint="default" w:ascii="Times New Roman" w:hAnsi="Times New Roman" w:eastAsia="宋体" w:cs="Times New Roman"/>
                <w:i/>
                <w:iCs/>
                <w:color w:val="auto"/>
                <w:kern w:val="0"/>
                <w:sz w:val="21"/>
                <w:szCs w:val="21"/>
                <w:highlight w:val="none"/>
                <w:u w:val="none"/>
                <w:lang w:val="en-US" w:eastAsia="zh-CN" w:bidi="ar"/>
              </w:rPr>
              <w:fldChar w:fldCharType="end"/>
            </w:r>
          </w:p>
        </w:tc>
        <w:tc>
          <w:tcPr>
            <w:tcW w:w="1191" w:type="pct"/>
            <w:shd w:val="clear" w:color="auto" w:fill="auto"/>
            <w:noWrap/>
            <w:vAlign w:val="center"/>
          </w:tcPr>
          <w:p w14:paraId="78DACF1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云南省级</w:t>
            </w:r>
          </w:p>
        </w:tc>
      </w:tr>
    </w:tbl>
    <w:p w14:paraId="082C515B">
      <w:pPr>
        <w:rPr>
          <w:rFonts w:hint="default" w:ascii="Times New Roman" w:hAnsi="Times New Roman" w:eastAsia="宋体" w:cs="Times New Roman"/>
          <w:color w:val="auto"/>
          <w:highlight w:val="none"/>
          <w:lang w:eastAsia="zh-CN"/>
        </w:rPr>
      </w:pPr>
    </w:p>
    <w:p w14:paraId="10365F5A">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（3）古树名木</w:t>
      </w:r>
    </w:p>
    <w:p w14:paraId="2C6C8DC8">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根据</w:t>
      </w:r>
      <w:r>
        <w:rPr>
          <w:rFonts w:hint="default" w:ascii="Times New Roman" w:hAnsi="Times New Roman" w:eastAsia="宋体" w:cs="Times New Roman"/>
          <w:color w:val="auto"/>
          <w:highlight w:val="none"/>
          <w:lang w:val="en-US" w:eastAsia="zh-CN"/>
        </w:rPr>
        <w:t>各县（区）古树名录矢量数据，评价区内记录有古树名木154种，1366株</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其中，一级古树65株、二级古树249株、三级古树1052株，不同等级古树组成及株数见表3.4.1-5，古树详细信息见附录</w:t>
      </w:r>
      <w:r>
        <w:rPr>
          <w:rFonts w:hint="default" w:ascii="Times New Roman" w:hAnsi="Times New Roman" w:eastAsia="宋体" w:cs="Times New Roman"/>
          <w:color w:val="auto"/>
          <w:highlight w:val="none"/>
          <w:lang w:eastAsia="zh-CN"/>
        </w:rPr>
        <w:t>。</w:t>
      </w:r>
    </w:p>
    <w:p w14:paraId="61B5E635">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表3.4.1-5  评价区古树组成一览表</w:t>
      </w:r>
    </w:p>
    <w:tbl>
      <w:tblPr>
        <w:tblStyle w:val="22"/>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06"/>
        <w:gridCol w:w="7316"/>
      </w:tblGrid>
      <w:tr w14:paraId="66F7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1206" w:type="dxa"/>
            <w:shd w:val="clear" w:color="auto" w:fill="auto"/>
            <w:noWrap/>
            <w:vAlign w:val="center"/>
          </w:tcPr>
          <w:p w14:paraId="79F9A9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val="0"/>
                <w:i w:val="0"/>
                <w:iCs w:val="0"/>
                <w:color w:val="auto"/>
                <w:kern w:val="0"/>
                <w:sz w:val="21"/>
                <w:szCs w:val="21"/>
                <w:highlight w:val="none"/>
                <w:u w:val="none"/>
                <w:lang w:val="en-US" w:eastAsia="zh-CN" w:bidi="ar"/>
              </w:rPr>
            </w:pPr>
            <w:r>
              <w:rPr>
                <w:rFonts w:hint="default" w:ascii="Times New Roman" w:hAnsi="Times New Roman" w:eastAsia="宋体" w:cs="Times New Roman"/>
                <w:b/>
                <w:bCs w:val="0"/>
                <w:i w:val="0"/>
                <w:iCs w:val="0"/>
                <w:color w:val="auto"/>
                <w:kern w:val="0"/>
                <w:sz w:val="21"/>
                <w:szCs w:val="21"/>
                <w:highlight w:val="none"/>
                <w:u w:val="none"/>
                <w:lang w:val="en-US" w:eastAsia="zh-CN" w:bidi="ar"/>
              </w:rPr>
              <w:t>保护等级</w:t>
            </w:r>
          </w:p>
        </w:tc>
        <w:tc>
          <w:tcPr>
            <w:tcW w:w="7316" w:type="dxa"/>
            <w:shd w:val="clear" w:color="auto" w:fill="auto"/>
            <w:noWrap/>
            <w:vAlign w:val="center"/>
          </w:tcPr>
          <w:p w14:paraId="632A15F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val="0"/>
                <w:i w:val="0"/>
                <w:iCs w:val="0"/>
                <w:color w:val="auto"/>
                <w:kern w:val="0"/>
                <w:sz w:val="21"/>
                <w:szCs w:val="21"/>
                <w:highlight w:val="none"/>
                <w:u w:val="none"/>
                <w:lang w:val="en-US" w:eastAsia="zh-CN" w:bidi="ar"/>
              </w:rPr>
            </w:pPr>
            <w:r>
              <w:rPr>
                <w:rFonts w:hint="default" w:ascii="Times New Roman" w:hAnsi="Times New Roman" w:eastAsia="宋体" w:cs="Times New Roman"/>
                <w:b/>
                <w:bCs w:val="0"/>
                <w:i w:val="0"/>
                <w:iCs w:val="0"/>
                <w:color w:val="auto"/>
                <w:kern w:val="0"/>
                <w:sz w:val="21"/>
                <w:szCs w:val="21"/>
                <w:highlight w:val="none"/>
                <w:u w:val="none"/>
                <w:lang w:val="en-US" w:eastAsia="zh-CN" w:bidi="ar"/>
              </w:rPr>
              <w:t>古树组成（株数）</w:t>
            </w:r>
          </w:p>
        </w:tc>
      </w:tr>
      <w:tr w14:paraId="2A85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1206" w:type="dxa"/>
            <w:shd w:val="clear" w:color="auto" w:fill="auto"/>
            <w:noWrap/>
            <w:vAlign w:val="center"/>
          </w:tcPr>
          <w:p w14:paraId="7267A68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一级</w:t>
            </w:r>
          </w:p>
        </w:tc>
        <w:tc>
          <w:tcPr>
            <w:tcW w:w="7316" w:type="dxa"/>
            <w:shd w:val="clear" w:color="auto" w:fill="auto"/>
            <w:noWrap/>
            <w:vAlign w:val="center"/>
          </w:tcPr>
          <w:p w14:paraId="0D9FD43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黄连木（11）、大叶榉树（10）、绿黄葛树（8）、榉树（7）、黄葛树（7）、黄心夜合（3）、光叶高山栎（2）、四蕊朴（2）、越南山核桃（2）、云南栘衣（1）、冬青（1）、南酸枣（1）、榔榆（1）、滇合欢（1）、牛筋条（1）、短叶罗汉松（1）、紫薇（1）、重阳木（1）、银杏（1）、青冈栎（1）、香槐（1）、高山栲（1），22种，共计65株。</w:t>
            </w:r>
          </w:p>
        </w:tc>
      </w:tr>
      <w:tr w14:paraId="01600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1206" w:type="dxa"/>
            <w:shd w:val="clear" w:color="auto" w:fill="auto"/>
            <w:noWrap/>
            <w:vAlign w:val="center"/>
          </w:tcPr>
          <w:p w14:paraId="778D579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二级</w:t>
            </w:r>
          </w:p>
        </w:tc>
        <w:tc>
          <w:tcPr>
            <w:tcW w:w="7316" w:type="dxa"/>
            <w:shd w:val="clear" w:color="auto" w:fill="auto"/>
            <w:noWrap/>
            <w:vAlign w:val="center"/>
          </w:tcPr>
          <w:p w14:paraId="4FBC78C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黄连木（65）、榉树（18）、麻栎（13）、滇朴（12）、冬青（11）、黄葛树（10）、绿黄葛树（8）、栓皮栎（6）、桂花（6）、云南油杉（5）、侧柏（4）、大叶榉树（4）、大叶榕（4）、滇青冈（4）、罗汉松（4）、光叶高山栎（3）、桢楠（3）、灰背栎（3）、紫薇（3）、银杏（3）、高山栎（3）、云南栘衣（2）、合欢（2）、圆柏（2）、川梨（2）、核桃（2）、榔榆（2）、樟树（2）、珂楠树（2）、皂荚（2）、重阳木（2）、青冈栎（2）、黄心夜合（2）、乌冈栎（1）、云南山核桃（1）、刺叶高山栎（1）、剑叶冬青（1）、华山松（1）、君迁子（1）、四蕊朴（1）、国槐（1）、多脉猫乳（1）、常春卫矛（1）、杉木（1）、柏木（1）、柞木（1）、梓（1）、梨（1）、椴树（1）、榕树（1）、泡花树（1）、流苏（1）、牛筋条（1）、玉兰（1）、短梗稠李（1）、石楠（1）、聚果榕（1）、茶（1）、西川朴（1）、越南山核桃（1）、雅榕（1）、香叶树（1）、马缨花（1）、高山栲（1）、鸡桑（1）、黄毛青冈（1），67种，共计249株。</w:t>
            </w:r>
          </w:p>
        </w:tc>
      </w:tr>
      <w:tr w14:paraId="4D47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tblHeader/>
          <w:jc w:val="center"/>
        </w:trPr>
        <w:tc>
          <w:tcPr>
            <w:tcW w:w="1206" w:type="dxa"/>
            <w:shd w:val="clear" w:color="auto" w:fill="auto"/>
            <w:noWrap/>
            <w:vAlign w:val="center"/>
          </w:tcPr>
          <w:p w14:paraId="7C7D15A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三级</w:t>
            </w:r>
          </w:p>
        </w:tc>
        <w:tc>
          <w:tcPr>
            <w:tcW w:w="7316" w:type="dxa"/>
            <w:shd w:val="clear" w:color="auto" w:fill="auto"/>
            <w:noWrap/>
            <w:vAlign w:val="center"/>
          </w:tcPr>
          <w:p w14:paraId="69CB67F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黄连木（173）、滇朴（125）、侧柏（77）、麻栎（61）、干香柏（46）、栓皮栎（37）、桂花（32）、云南油杉（23）、四蕊朴（21）、榉树（19）、滇青冈（19）、核桃（16）、紫薇（16）、灰楸（14）、银杏（13）、乌冈栎（12）、合欢（12）、柞木（11）、皂荚（11）、绿黄葛树（10）、君迁子（9）、高山栲（8）、冬青（7）、槐树（7）、牛筋条（7）、大果冬青（6）、柏木（6）、滇合欢（6）、短萼海桐（6）、香槐（6）、华山松（5）、旱柳（5）、槲栎（5）、毛红椿（5）、滇石栎（5）、灰背栎（5）、锥连栎（5）、黄葛树（5）、云南松（4）、元江栲（4）、南酸枣（4）、女贞（4）、山楂（4）、川梨（4）、枫香树（4）、柳杉（4）、柿（4）、栲（4）、桢楠（4）、棠梨（4）、榔榆（4）、毛萼红果树（4）、流苏树（4）、红色木莲（4）、云南樟（3）、云南皂荚（3）、垂柳（3）、多脉猫乳（3）、大叶榉树（3）、板栗（3）、枳椇（3）、樟树（3）、臭椿（3）、金沙槭（3）、青冈栎（3）、云南柳（2）、刺柏（2）、刺槐（2）、国槐（2）、圆柏（2）、大叶女贞（2）、山合欢（2）、昆明榆（2）、枫杨（2）、桑树（2）、桤木（2）、棠梨树（2）、楸树（2）、榆树（2）、榕树（2）、滇楸（2）、滇皂荚（2）、玉兰（2）、石楠（2）、聚果榕（2）、茶（2）、重阳木（2）、锥（2）、雅榕（2）、香椿（2）、鹅耳枥（2）、黄毛青冈（2）、乌墨（1）、云南山楂（1）、云南崖摩（1）、云南拟单性木兰（1）、云南栘衣（1）、云南紫薇（1）、仿栗（1）、冲天柏（1）、华南蓝果树（1）、四照花（1）、圆锥木姜子（1）、大叶冬青（1）、大理罗汉松（1）、小果冬青（1）、小花香槐（1）、崖花海桐（1）、川泡桐（1）、无患子（1）、木犀（1）、木瓜（1）、木荚红豆（1）、杨梅（1）、枇杷（1）、梧桐（1）、梨（1）、梭罗树（1）、槐（1）、樱桃（1）、沙梨（1）、油杉（1）、油樟（1）、流苏（1）、漆树（1）、珂楠树（1）、珊瑚朴（1）、白楠（1）、白蜡树（1）、紫花黄檀（1）、红椿（1）、翅荚香槐（1）、顶果树（1）、飞蛾槭（1）、香樟（1）、鸡桑（1）、黄背栎（1），109种，共计1052株。</w:t>
            </w:r>
          </w:p>
        </w:tc>
      </w:tr>
    </w:tbl>
    <w:p w14:paraId="34E391BF">
      <w:pPr>
        <w:pStyle w:val="4"/>
        <w:bidi w:val="0"/>
        <w:rPr>
          <w:rFonts w:hint="default" w:ascii="Times New Roman" w:hAnsi="Times New Roman" w:eastAsia="宋体" w:cs="Times New Roman"/>
          <w:color w:val="auto"/>
          <w:highlight w:val="none"/>
          <w:lang w:val="en-US" w:eastAsia="zh-CN"/>
        </w:rPr>
      </w:pPr>
    </w:p>
    <w:p w14:paraId="4233B9E2">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（4）红色名录中受威胁物种</w:t>
      </w:r>
    </w:p>
    <w:p w14:paraId="1754B366">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根据《中国生物多样性红色名录》（2020 年）</w:t>
      </w:r>
      <w:r>
        <w:rPr>
          <w:rFonts w:hint="default" w:ascii="Times New Roman" w:hAnsi="Times New Roman" w:eastAsia="宋体" w:cs="Times New Roman"/>
          <w:color w:val="auto"/>
          <w:highlight w:val="none"/>
          <w:lang w:val="en-US" w:eastAsia="zh-CN"/>
        </w:rPr>
        <w:t>，对评价区植物进行识别，评价区内记录有红色名录中受威胁物种23种，其中“极危”CR等级3种，“易危”VU等级9种，“濒危”EN等级11种，见表3.4.1-6</w:t>
      </w:r>
      <w:r>
        <w:rPr>
          <w:rFonts w:hint="default" w:ascii="Times New Roman" w:hAnsi="Times New Roman" w:eastAsia="宋体" w:cs="Times New Roman"/>
          <w:color w:val="auto"/>
          <w:highlight w:val="none"/>
          <w:lang w:eastAsia="zh-CN"/>
        </w:rPr>
        <w:t>。</w:t>
      </w:r>
    </w:p>
    <w:p w14:paraId="442F6184">
      <w:pPr>
        <w:pStyle w:val="29"/>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表3.4.1-6  评价区</w:t>
      </w:r>
      <w:r>
        <w:rPr>
          <w:rFonts w:hint="eastAsia" w:cs="Times New Roman"/>
          <w:color w:val="auto"/>
          <w:highlight w:val="none"/>
          <w:lang w:val="en-US" w:eastAsia="zh-CN"/>
        </w:rPr>
        <w:t>珍稀濒危物种</w:t>
      </w:r>
      <w:r>
        <w:rPr>
          <w:rFonts w:hint="default" w:ascii="Times New Roman" w:hAnsi="Times New Roman" w:cs="Times New Roman"/>
          <w:color w:val="auto"/>
          <w:highlight w:val="none"/>
          <w:lang w:val="en-US" w:eastAsia="zh-CN"/>
        </w:rPr>
        <w:t>一览表</w:t>
      </w:r>
    </w:p>
    <w:tbl>
      <w:tblPr>
        <w:tblStyle w:val="2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3"/>
        <w:gridCol w:w="1896"/>
        <w:gridCol w:w="3838"/>
        <w:gridCol w:w="1393"/>
      </w:tblGrid>
      <w:tr w14:paraId="19EB7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3A50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val="0"/>
                <w:i w:val="0"/>
                <w:iCs w:val="0"/>
                <w:color w:val="auto"/>
                <w:kern w:val="0"/>
                <w:sz w:val="21"/>
                <w:szCs w:val="21"/>
                <w:highlight w:val="none"/>
                <w:u w:val="none"/>
                <w:lang w:val="en-US" w:eastAsia="zh-CN" w:bidi="ar"/>
              </w:rPr>
            </w:pPr>
            <w:r>
              <w:rPr>
                <w:rFonts w:hint="default" w:ascii="Times New Roman" w:hAnsi="Times New Roman" w:eastAsia="宋体" w:cs="Times New Roman"/>
                <w:b/>
                <w:bCs w:val="0"/>
                <w:i w:val="0"/>
                <w:iCs w:val="0"/>
                <w:color w:val="auto"/>
                <w:kern w:val="0"/>
                <w:sz w:val="21"/>
                <w:szCs w:val="21"/>
                <w:highlight w:val="none"/>
                <w:u w:val="none"/>
                <w:lang w:val="en-US" w:eastAsia="zh-CN" w:bidi="ar"/>
              </w:rPr>
              <w:t>序号</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906F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val="0"/>
                <w:i w:val="0"/>
                <w:iCs w:val="0"/>
                <w:color w:val="auto"/>
                <w:kern w:val="0"/>
                <w:sz w:val="21"/>
                <w:szCs w:val="21"/>
                <w:highlight w:val="none"/>
                <w:u w:val="none"/>
                <w:lang w:val="en-US" w:eastAsia="zh-CN" w:bidi="ar"/>
              </w:rPr>
            </w:pPr>
            <w:r>
              <w:rPr>
                <w:rFonts w:hint="default" w:ascii="Times New Roman" w:hAnsi="Times New Roman" w:eastAsia="宋体" w:cs="Times New Roman"/>
                <w:b/>
                <w:bCs w:val="0"/>
                <w:i w:val="0"/>
                <w:iCs w:val="0"/>
                <w:color w:val="auto"/>
                <w:kern w:val="0"/>
                <w:sz w:val="21"/>
                <w:szCs w:val="21"/>
                <w:highlight w:val="none"/>
                <w:u w:val="none"/>
                <w:lang w:val="en-US" w:eastAsia="zh-CN" w:bidi="ar"/>
              </w:rPr>
              <w:t>中文名</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7288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val="0"/>
                <w:i w:val="0"/>
                <w:iCs w:val="0"/>
                <w:color w:val="auto"/>
                <w:kern w:val="0"/>
                <w:sz w:val="21"/>
                <w:szCs w:val="21"/>
                <w:highlight w:val="none"/>
                <w:u w:val="none"/>
                <w:lang w:val="en-US" w:eastAsia="zh-CN" w:bidi="ar"/>
              </w:rPr>
            </w:pPr>
            <w:r>
              <w:rPr>
                <w:rFonts w:hint="default" w:ascii="Times New Roman" w:hAnsi="Times New Roman" w:eastAsia="宋体" w:cs="Times New Roman"/>
                <w:b/>
                <w:bCs w:val="0"/>
                <w:i w:val="0"/>
                <w:iCs w:val="0"/>
                <w:color w:val="auto"/>
                <w:kern w:val="0"/>
                <w:sz w:val="21"/>
                <w:szCs w:val="21"/>
                <w:highlight w:val="none"/>
                <w:u w:val="none"/>
                <w:lang w:val="en-US" w:eastAsia="zh-CN" w:bidi="ar"/>
              </w:rPr>
              <w:t>拉丁名</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4BE6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val="0"/>
                <w:i w:val="0"/>
                <w:iCs w:val="0"/>
                <w:color w:val="auto"/>
                <w:kern w:val="0"/>
                <w:sz w:val="21"/>
                <w:szCs w:val="21"/>
                <w:highlight w:val="none"/>
                <w:u w:val="none"/>
                <w:lang w:val="en-US" w:eastAsia="zh-CN" w:bidi="ar"/>
              </w:rPr>
            </w:pPr>
            <w:r>
              <w:rPr>
                <w:rFonts w:hint="default" w:ascii="Times New Roman" w:hAnsi="Times New Roman" w:eastAsia="宋体" w:cs="Times New Roman"/>
                <w:b/>
                <w:bCs w:val="0"/>
                <w:i w:val="0"/>
                <w:iCs w:val="0"/>
                <w:color w:val="auto"/>
                <w:kern w:val="0"/>
                <w:sz w:val="21"/>
                <w:szCs w:val="21"/>
                <w:highlight w:val="none"/>
                <w:u w:val="none"/>
                <w:lang w:val="en-US" w:eastAsia="zh-CN" w:bidi="ar"/>
              </w:rPr>
              <w:t>等级</w:t>
            </w:r>
          </w:p>
        </w:tc>
      </w:tr>
      <w:tr w14:paraId="7E9FF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F6BB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EC59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苏铁</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E1764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Cycas taiwaniana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6C44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CR</w:t>
            </w:r>
          </w:p>
        </w:tc>
      </w:tr>
      <w:tr w14:paraId="5D962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1A37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2</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1D35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缅树</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CED4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Ficus hookeriana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ADCC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CR</w:t>
            </w:r>
          </w:p>
        </w:tc>
      </w:tr>
      <w:tr w14:paraId="74AC7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FE5F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3</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C359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大花野茉莉</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684E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Styrax macranthus</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1E63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CR</w:t>
            </w:r>
          </w:p>
        </w:tc>
      </w:tr>
      <w:tr w14:paraId="2696A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FE74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4</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FA4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川滇</w:t>
            </w:r>
            <w:r>
              <w:rPr>
                <w:rFonts w:hint="eastAsia" w:cs="Times New Roman"/>
                <w:b w:val="0"/>
                <w:bCs/>
                <w:i w:val="0"/>
                <w:iCs w:val="0"/>
                <w:color w:val="auto"/>
                <w:kern w:val="0"/>
                <w:sz w:val="21"/>
                <w:szCs w:val="21"/>
                <w:highlight w:val="none"/>
                <w:u w:val="none"/>
                <w:lang w:val="en-US" w:eastAsia="zh-CN" w:bidi="ar"/>
              </w:rPr>
              <w:t>白及</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CA1E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Bletilla formosana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9652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182CE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172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5</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E12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eastAsia" w:cs="Times New Roman"/>
                <w:b w:val="0"/>
                <w:bCs/>
                <w:i w:val="0"/>
                <w:iCs w:val="0"/>
                <w:color w:val="auto"/>
                <w:kern w:val="0"/>
                <w:sz w:val="21"/>
                <w:szCs w:val="21"/>
                <w:highlight w:val="none"/>
                <w:u w:val="none"/>
                <w:lang w:val="en-US" w:eastAsia="zh-CN" w:bidi="ar"/>
              </w:rPr>
              <w:t>白及</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31C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Bletilla striata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1B6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7BEA3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BB01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6</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C83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西藏柏木</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80B6F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Cupressus torulosa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593E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64B86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6D7D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7</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927A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斑叶杓兰</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5863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Cypripedium margaritaceum</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998B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799FD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B5F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8</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15AA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黄山药</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091C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Dioscorea panthaica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B19C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06F08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268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9</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035B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柳叶菜</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50143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Epilobium blinii</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C43A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2CB90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BD27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10</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467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短叶柳叶菜</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43B0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Epilobium</w:t>
            </w:r>
            <w:r>
              <w:rPr>
                <w:rFonts w:hint="eastAsia" w:cs="Times New Roman"/>
                <w:b w:val="0"/>
                <w:bCs/>
                <w:i/>
                <w:iCs/>
                <w:color w:val="auto"/>
                <w:kern w:val="0"/>
                <w:sz w:val="21"/>
                <w:szCs w:val="21"/>
                <w:highlight w:val="none"/>
                <w:u w:val="none"/>
                <w:lang w:val="en-US" w:eastAsia="zh-CN" w:bidi="ar"/>
              </w:rPr>
              <w:t xml:space="preserve"> </w:t>
            </w:r>
            <w:r>
              <w:rPr>
                <w:rFonts w:hint="default" w:ascii="Times New Roman" w:hAnsi="Times New Roman" w:eastAsia="宋体" w:cs="Times New Roman"/>
                <w:b w:val="0"/>
                <w:bCs/>
                <w:i/>
                <w:iCs/>
                <w:color w:val="auto"/>
                <w:kern w:val="0"/>
                <w:sz w:val="21"/>
                <w:szCs w:val="21"/>
                <w:highlight w:val="none"/>
                <w:u w:val="none"/>
                <w:lang w:val="en-US" w:eastAsia="zh-CN" w:bidi="ar"/>
              </w:rPr>
              <w:t>brevifolium</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AA34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41DD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50A8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11</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E3C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银杏</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A668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Ginkgo biloba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A1B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0E50D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0A1D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12</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62B8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蛇足石杉</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90A1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Huperzia serrata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EB6D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5D393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F21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13</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09E8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水杉</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5192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Metasequoia glyptostroboides</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BC13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02553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9DD1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14</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D96A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玫瑰</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34AF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Rosa rugosa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A77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EN</w:t>
            </w:r>
          </w:p>
        </w:tc>
      </w:tr>
      <w:tr w14:paraId="28817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15733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15</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452E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雪松</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8487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Cedrus deodara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FD3D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VU</w:t>
            </w:r>
          </w:p>
        </w:tc>
      </w:tr>
      <w:tr w14:paraId="6D4A9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C507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16</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BED1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建兰</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16D7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Cymbidium ensifolium</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5655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VU</w:t>
            </w:r>
          </w:p>
        </w:tc>
      </w:tr>
      <w:tr w14:paraId="524CB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BAAF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17</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2217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罗锅底</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336F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Hemsleya amabilis</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AFAC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VU</w:t>
            </w:r>
          </w:p>
        </w:tc>
      </w:tr>
      <w:tr w14:paraId="7A52E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69CD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18</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140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云南核桃</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D040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Juglans sigillata</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74B8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VU</w:t>
            </w:r>
          </w:p>
        </w:tc>
      </w:tr>
      <w:tr w14:paraId="46278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EDD2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19</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FE87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常绿假丁香</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98EC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Ligustrum sempervirens</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51E7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VU</w:t>
            </w:r>
          </w:p>
        </w:tc>
      </w:tr>
      <w:tr w14:paraId="425C8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9A12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20</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9B79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小百合</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B3A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Lilium amoenum</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CBCD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VU</w:t>
            </w:r>
          </w:p>
        </w:tc>
      </w:tr>
      <w:tr w14:paraId="6B90B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58E9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21</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9762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滇紫草</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48D4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Onosma paniculatum</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FE59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VU</w:t>
            </w:r>
          </w:p>
        </w:tc>
      </w:tr>
      <w:tr w14:paraId="194D0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5E6B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22</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CCAA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云南独蒜兰</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9119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Pleione yunnanensis</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1C0A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VU</w:t>
            </w:r>
          </w:p>
        </w:tc>
      </w:tr>
      <w:tr w14:paraId="30122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54D6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23</w:t>
            </w:r>
          </w:p>
        </w:tc>
        <w:tc>
          <w:tcPr>
            <w:tcW w:w="10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3BF3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节节高（滇黄精）</w:t>
            </w:r>
          </w:p>
        </w:tc>
        <w:tc>
          <w:tcPr>
            <w:tcW w:w="2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0074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iCs/>
                <w:color w:val="auto"/>
                <w:kern w:val="0"/>
                <w:sz w:val="21"/>
                <w:szCs w:val="21"/>
                <w:highlight w:val="none"/>
                <w:u w:val="none"/>
                <w:lang w:val="en-US" w:eastAsia="zh-CN" w:bidi="ar"/>
              </w:rPr>
            </w:pPr>
            <w:r>
              <w:rPr>
                <w:rFonts w:hint="default" w:ascii="Times New Roman" w:hAnsi="Times New Roman" w:eastAsia="宋体" w:cs="Times New Roman"/>
                <w:b w:val="0"/>
                <w:bCs/>
                <w:i/>
                <w:iCs/>
                <w:color w:val="auto"/>
                <w:kern w:val="0"/>
                <w:sz w:val="21"/>
                <w:szCs w:val="21"/>
                <w:highlight w:val="none"/>
                <w:u w:val="none"/>
                <w:lang w:val="en-US" w:eastAsia="zh-CN" w:bidi="ar"/>
              </w:rPr>
              <w:t>Polygonatum kingianum</w:t>
            </w:r>
          </w:p>
        </w:tc>
        <w:tc>
          <w:tcPr>
            <w:tcW w:w="8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5CB2E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i w:val="0"/>
                <w:iCs w:val="0"/>
                <w:color w:val="auto"/>
                <w:kern w:val="0"/>
                <w:sz w:val="21"/>
                <w:szCs w:val="21"/>
                <w:highlight w:val="none"/>
                <w:u w:val="none"/>
                <w:lang w:val="en-US" w:eastAsia="zh-CN" w:bidi="ar"/>
              </w:rPr>
            </w:pPr>
            <w:r>
              <w:rPr>
                <w:rFonts w:hint="default" w:ascii="Times New Roman" w:hAnsi="Times New Roman" w:eastAsia="宋体" w:cs="Times New Roman"/>
                <w:b w:val="0"/>
                <w:bCs/>
                <w:i w:val="0"/>
                <w:iCs w:val="0"/>
                <w:color w:val="auto"/>
                <w:kern w:val="0"/>
                <w:sz w:val="21"/>
                <w:szCs w:val="21"/>
                <w:highlight w:val="none"/>
                <w:u w:val="none"/>
                <w:lang w:val="en-US" w:eastAsia="zh-CN" w:bidi="ar"/>
              </w:rPr>
              <w:t>VU</w:t>
            </w:r>
          </w:p>
        </w:tc>
      </w:tr>
    </w:tbl>
    <w:p w14:paraId="3490A244">
      <w:pPr>
        <w:rPr>
          <w:rFonts w:hint="default" w:ascii="Times New Roman" w:hAnsi="Times New Roman" w:eastAsia="宋体" w:cs="Times New Roman"/>
          <w:color w:val="auto"/>
          <w:highlight w:val="none"/>
          <w:lang w:eastAsia="zh-CN"/>
        </w:rPr>
      </w:pPr>
    </w:p>
    <w:p w14:paraId="4B5E34F6">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陆生脊椎动物</w:t>
      </w:r>
    </w:p>
    <w:p w14:paraId="1FE025A4">
      <w:pPr>
        <w:pStyle w:val="7"/>
        <w:numPr>
          <w:ilvl w:val="4"/>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调查与评价方法</w:t>
      </w:r>
    </w:p>
    <w:p w14:paraId="189FAEA8">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调查评价区内的两栖、爬行、哺乳和鸟类陆生脊椎动物的分布情况，重点是国家重点保护物种、珍稀濒危保护物种、中国特有的物种。</w:t>
      </w:r>
    </w:p>
    <w:p w14:paraId="4D97582D">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本规划评价范围包括南盘江（曲靖市境内）流域，行政区涉及曲靖市麒麟区、沾益区、马龙区、富源县、罗平县、师宗县、陆良县7个县（市、区）。由于规划范围较大，因此本次陆生动物现状调查</w:t>
      </w:r>
      <w:r>
        <w:rPr>
          <w:rFonts w:hint="default" w:ascii="Times New Roman" w:hAnsi="Times New Roman" w:cs="Times New Roman"/>
          <w:color w:val="auto"/>
          <w:highlight w:val="none"/>
          <w:lang w:eastAsia="zh-CN"/>
        </w:rPr>
        <w:t>采用</w:t>
      </w:r>
      <w:r>
        <w:rPr>
          <w:rFonts w:hint="default" w:ascii="Times New Roman" w:hAnsi="Times New Roman" w:eastAsia="宋体" w:cs="Times New Roman"/>
          <w:color w:val="auto"/>
          <w:highlight w:val="none"/>
          <w:lang w:eastAsia="zh-CN"/>
        </w:rPr>
        <w:t>资料收集调查为主，现场调查为辅的方式进行。</w:t>
      </w:r>
    </w:p>
    <w:p w14:paraId="36E4A89B">
      <w:pPr>
        <w:pStyle w:val="4"/>
        <w:bidi w:val="0"/>
        <w:rPr>
          <w:rFonts w:hint="default" w:ascii="Times New Roman" w:hAnsi="Times New Roman" w:eastAsia="宋体" w:cs="Times New Roman"/>
          <w:color w:val="auto"/>
          <w:highlight w:val="green"/>
          <w:lang w:eastAsia="zh-CN"/>
        </w:rPr>
      </w:pPr>
      <w:r>
        <w:rPr>
          <w:rFonts w:hint="default" w:ascii="Times New Roman" w:hAnsi="Times New Roman" w:eastAsia="宋体" w:cs="Times New Roman"/>
          <w:color w:val="auto"/>
          <w:highlight w:val="none"/>
          <w:lang w:eastAsia="zh-CN"/>
        </w:rPr>
        <w:t>本次评价的物种分布信息主要参考《曲靖市罗师灌区工程环境影响报告书（2025年）</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沾益海峰自然保护区（2022年）》《沾益海峰省级自然保护区总体规划（2016年）</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曲靖市马龙区黄草坪水源县级自然保护区总体规划（2019年）</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富源小海子省级重要湿地认定报告（2016年）</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曲靖市各县（市、区）分布国家重点保护野生动植物名录</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云南沾益西河国家湿地公园总体规划（2015</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2019年）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云南沾益西河国家湿地公园总体规划考察报告（2014年）、《曲靖市沾益区生物多样性保护实施方案（2019-2030）</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珠江源省级自然保护区拟调整区域综合考察报告（2019年）</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云南珠江源省级自然保护区范围调整论证报告（2019年）</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珠江源国家森林公园生物多样性调查报告（2017年）</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云南珠江源国家森林公园总体规划（2017</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2026年）</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沾益区分布的国家重点保护陆生野生动物名录》；此外，从中国观鸟记录中心（www.birdreport.cn）、中国两栖类（https://www.amphibiachina.org）、全球生物多样性信息服务网络平台（Global Biodiversity Information Facility, GBIF）等网络数据库获取截至2026年9月的陆生动物分布信息。</w:t>
      </w:r>
    </w:p>
    <w:p w14:paraId="38D8F4EC">
      <w:pPr>
        <w:pStyle w:val="4"/>
        <w:bidi w:val="0"/>
        <w:rPr>
          <w:rFonts w:hint="default" w:ascii="Times New Roman" w:hAnsi="Times New Roman" w:eastAsia="宋体" w:cs="Times New Roman"/>
          <w:color w:val="auto"/>
          <w:highlight w:val="green"/>
          <w:lang w:eastAsia="zh-CN"/>
        </w:rPr>
      </w:pPr>
      <w:r>
        <w:rPr>
          <w:rFonts w:hint="default" w:ascii="Times New Roman" w:hAnsi="Times New Roman" w:eastAsia="宋体" w:cs="Times New Roman"/>
          <w:color w:val="auto"/>
          <w:highlight w:val="green"/>
          <w:lang w:eastAsia="zh-CN"/>
        </w:rPr>
        <w:t>以上参考资料可能存在物种信息记录错误，因此，基于《云南省生物物种名录（2016年）</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云南省爬行动物名录和地理区划更新（2022年）</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云南省两栖类物种名录修订（2022年）》等文献资料对物种错误记录信息进行更正、删除。评价中所涉及陆生脊椎动物的物种学名和分类学信息主要参照中国生物物种名录2026版、《中国兽类名录</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2024版</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》（魏辅文等，2025）、《中国鸟类分类与分布名录</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第四版</w:t>
      </w:r>
      <w:r>
        <w:rPr>
          <w:rFonts w:hint="default" w:ascii="Times New Roman" w:hAnsi="Times New Roman" w:cs="Times New Roman"/>
          <w:color w:val="auto"/>
          <w:highlight w:val="green"/>
          <w:lang w:eastAsia="zh-CN"/>
        </w:rPr>
        <w:t>）</w:t>
      </w:r>
      <w:r>
        <w:rPr>
          <w:rFonts w:hint="default" w:ascii="Times New Roman" w:hAnsi="Times New Roman" w:eastAsia="宋体" w:cs="Times New Roman"/>
          <w:color w:val="auto"/>
          <w:highlight w:val="green"/>
          <w:lang w:eastAsia="zh-CN"/>
        </w:rPr>
        <w:t>》（郑光美，2023）和中国两栖类等论文、专著和网络数据库。</w:t>
      </w:r>
    </w:p>
    <w:p w14:paraId="0E2AA528">
      <w:pPr>
        <w:pStyle w:val="7"/>
        <w:numPr>
          <w:ilvl w:val="4"/>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陆生脊椎动物现状</w:t>
      </w:r>
    </w:p>
    <w:p w14:paraId="271FAC77">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南盘江（曲靖市境内）流域共分布有509种陆生脊椎动物，其中鸟类最多，有379种；哺乳类次之，有62种；爬行类再次，40种；两栖类最少，有28种。完整的物种名录见附录，现分类群叙述如下</w:t>
      </w:r>
    </w:p>
    <w:p w14:paraId="621CB0F9">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 xml:space="preserve">表3.4.1-7  </w:t>
      </w:r>
      <w:r>
        <w:rPr>
          <w:rFonts w:hint="default" w:ascii="Times New Roman" w:hAnsi="Times New Roman" w:cs="Times New Roman"/>
          <w:color w:val="auto"/>
          <w:highlight w:val="none"/>
        </w:rPr>
        <w:t>陆栖脊椎动物各纲下分类阶元数量</w:t>
      </w:r>
    </w:p>
    <w:tbl>
      <w:tblPr>
        <w:tblStyle w:val="2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5"/>
        <w:gridCol w:w="1268"/>
        <w:gridCol w:w="1578"/>
        <w:gridCol w:w="1578"/>
        <w:gridCol w:w="1578"/>
      </w:tblGrid>
      <w:tr w14:paraId="6E65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6" w:type="pct"/>
            <w:vAlign w:val="center"/>
          </w:tcPr>
          <w:p w14:paraId="6301D90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种类</w:t>
            </w:r>
          </w:p>
        </w:tc>
        <w:tc>
          <w:tcPr>
            <w:tcW w:w="744" w:type="pct"/>
            <w:vAlign w:val="center"/>
          </w:tcPr>
          <w:p w14:paraId="3E036DC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目</w:t>
            </w:r>
          </w:p>
        </w:tc>
        <w:tc>
          <w:tcPr>
            <w:tcW w:w="926" w:type="pct"/>
            <w:vAlign w:val="center"/>
          </w:tcPr>
          <w:p w14:paraId="0884C81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科</w:t>
            </w:r>
          </w:p>
        </w:tc>
        <w:tc>
          <w:tcPr>
            <w:tcW w:w="926" w:type="pct"/>
            <w:vAlign w:val="center"/>
          </w:tcPr>
          <w:p w14:paraId="059FEEF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属</w:t>
            </w:r>
          </w:p>
        </w:tc>
        <w:tc>
          <w:tcPr>
            <w:tcW w:w="926" w:type="pct"/>
            <w:vAlign w:val="center"/>
          </w:tcPr>
          <w:p w14:paraId="6F3D674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种</w:t>
            </w:r>
          </w:p>
        </w:tc>
      </w:tr>
      <w:tr w14:paraId="1B97A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6" w:type="pct"/>
            <w:vAlign w:val="center"/>
          </w:tcPr>
          <w:p w14:paraId="13C3FB5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哺乳类</w:t>
            </w:r>
          </w:p>
        </w:tc>
        <w:tc>
          <w:tcPr>
            <w:tcW w:w="744" w:type="pct"/>
            <w:vAlign w:val="center"/>
          </w:tcPr>
          <w:p w14:paraId="52BF1DE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w:t>
            </w:r>
          </w:p>
        </w:tc>
        <w:tc>
          <w:tcPr>
            <w:tcW w:w="926" w:type="pct"/>
            <w:vAlign w:val="center"/>
          </w:tcPr>
          <w:p w14:paraId="65F958B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23</w:t>
            </w:r>
          </w:p>
        </w:tc>
        <w:tc>
          <w:tcPr>
            <w:tcW w:w="926" w:type="pct"/>
            <w:vAlign w:val="center"/>
          </w:tcPr>
          <w:p w14:paraId="5E6C701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45</w:t>
            </w:r>
          </w:p>
        </w:tc>
        <w:tc>
          <w:tcPr>
            <w:tcW w:w="926" w:type="pct"/>
            <w:vAlign w:val="center"/>
          </w:tcPr>
          <w:p w14:paraId="1D99624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62</w:t>
            </w:r>
          </w:p>
        </w:tc>
      </w:tr>
      <w:tr w14:paraId="2813F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6" w:type="pct"/>
            <w:vAlign w:val="center"/>
          </w:tcPr>
          <w:p w14:paraId="5F65B25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鸟类</w:t>
            </w:r>
          </w:p>
        </w:tc>
        <w:tc>
          <w:tcPr>
            <w:tcW w:w="744" w:type="pct"/>
            <w:vAlign w:val="center"/>
          </w:tcPr>
          <w:p w14:paraId="6917EF4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18</w:t>
            </w:r>
          </w:p>
        </w:tc>
        <w:tc>
          <w:tcPr>
            <w:tcW w:w="926" w:type="pct"/>
            <w:vAlign w:val="center"/>
          </w:tcPr>
          <w:p w14:paraId="236E7FA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72</w:t>
            </w:r>
          </w:p>
        </w:tc>
        <w:tc>
          <w:tcPr>
            <w:tcW w:w="926" w:type="pct"/>
            <w:vAlign w:val="center"/>
          </w:tcPr>
          <w:p w14:paraId="4C307BE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210</w:t>
            </w:r>
          </w:p>
        </w:tc>
        <w:tc>
          <w:tcPr>
            <w:tcW w:w="926" w:type="pct"/>
            <w:vAlign w:val="center"/>
          </w:tcPr>
          <w:p w14:paraId="3E09D46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379</w:t>
            </w:r>
          </w:p>
        </w:tc>
      </w:tr>
      <w:tr w14:paraId="18F0A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6" w:type="pct"/>
            <w:vAlign w:val="center"/>
          </w:tcPr>
          <w:p w14:paraId="6AC597E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爬行类</w:t>
            </w:r>
          </w:p>
        </w:tc>
        <w:tc>
          <w:tcPr>
            <w:tcW w:w="744" w:type="pct"/>
            <w:vAlign w:val="center"/>
          </w:tcPr>
          <w:p w14:paraId="4770452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p>
        </w:tc>
        <w:tc>
          <w:tcPr>
            <w:tcW w:w="926" w:type="pct"/>
            <w:vAlign w:val="center"/>
          </w:tcPr>
          <w:p w14:paraId="7134F96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w:t>
            </w:r>
          </w:p>
        </w:tc>
        <w:tc>
          <w:tcPr>
            <w:tcW w:w="926" w:type="pct"/>
            <w:vAlign w:val="center"/>
          </w:tcPr>
          <w:p w14:paraId="118984E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28</w:t>
            </w:r>
          </w:p>
        </w:tc>
        <w:tc>
          <w:tcPr>
            <w:tcW w:w="926" w:type="pct"/>
            <w:vAlign w:val="center"/>
          </w:tcPr>
          <w:p w14:paraId="53CAB5E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40</w:t>
            </w:r>
          </w:p>
        </w:tc>
      </w:tr>
      <w:tr w14:paraId="2D6C8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6" w:type="pct"/>
            <w:vAlign w:val="center"/>
          </w:tcPr>
          <w:p w14:paraId="74F6F7A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两栖类</w:t>
            </w:r>
          </w:p>
        </w:tc>
        <w:tc>
          <w:tcPr>
            <w:tcW w:w="744" w:type="pct"/>
            <w:vAlign w:val="center"/>
          </w:tcPr>
          <w:p w14:paraId="3A8AD19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p>
        </w:tc>
        <w:tc>
          <w:tcPr>
            <w:tcW w:w="926" w:type="pct"/>
            <w:vAlign w:val="center"/>
          </w:tcPr>
          <w:p w14:paraId="0B5552E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w:t>
            </w:r>
          </w:p>
        </w:tc>
        <w:tc>
          <w:tcPr>
            <w:tcW w:w="926" w:type="pct"/>
            <w:vAlign w:val="center"/>
          </w:tcPr>
          <w:p w14:paraId="78F158D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23</w:t>
            </w:r>
          </w:p>
        </w:tc>
        <w:tc>
          <w:tcPr>
            <w:tcW w:w="926" w:type="pct"/>
            <w:vAlign w:val="center"/>
          </w:tcPr>
          <w:p w14:paraId="4240035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28</w:t>
            </w:r>
          </w:p>
        </w:tc>
      </w:tr>
      <w:tr w14:paraId="14A8E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6" w:type="pct"/>
            <w:vAlign w:val="center"/>
          </w:tcPr>
          <w:p w14:paraId="5D93DF8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合计</w:t>
            </w:r>
          </w:p>
        </w:tc>
        <w:tc>
          <w:tcPr>
            <w:tcW w:w="744" w:type="pct"/>
            <w:vAlign w:val="center"/>
          </w:tcPr>
          <w:p w14:paraId="0E58811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31</w:t>
            </w:r>
          </w:p>
        </w:tc>
        <w:tc>
          <w:tcPr>
            <w:tcW w:w="926" w:type="pct"/>
            <w:vAlign w:val="center"/>
          </w:tcPr>
          <w:p w14:paraId="27387B7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113</w:t>
            </w:r>
          </w:p>
        </w:tc>
        <w:tc>
          <w:tcPr>
            <w:tcW w:w="926" w:type="pct"/>
            <w:vAlign w:val="center"/>
          </w:tcPr>
          <w:p w14:paraId="745F5F9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306</w:t>
            </w:r>
          </w:p>
        </w:tc>
        <w:tc>
          <w:tcPr>
            <w:tcW w:w="926" w:type="pct"/>
            <w:vAlign w:val="center"/>
          </w:tcPr>
          <w:p w14:paraId="43A3410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509</w:t>
            </w:r>
          </w:p>
        </w:tc>
      </w:tr>
    </w:tbl>
    <w:p w14:paraId="6B1F820A">
      <w:pPr>
        <w:pStyle w:val="37"/>
        <w:rPr>
          <w:rFonts w:hint="default" w:ascii="Times New Roman" w:hAnsi="Times New Roman" w:cs="Times New Roman"/>
          <w:color w:val="auto"/>
          <w:highlight w:val="none"/>
        </w:rPr>
      </w:pPr>
    </w:p>
    <w:p w14:paraId="0101B09E">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哺乳类</w:t>
      </w:r>
    </w:p>
    <w:p w14:paraId="2D22639A">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A.种类、数量及分布</w:t>
      </w:r>
    </w:p>
    <w:p w14:paraId="64546BCC">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评价区分布的哺乳类共有9目23科</w:t>
      </w:r>
      <w:r>
        <w:rPr>
          <w:rFonts w:hint="default" w:ascii="Times New Roman" w:hAnsi="Times New Roman" w:cs="Times New Roman"/>
          <w:color w:val="auto"/>
          <w:highlight w:val="none"/>
          <w:lang w:val="en-US" w:eastAsia="zh-CN"/>
        </w:rPr>
        <w:t>62</w:t>
      </w:r>
      <w:r>
        <w:rPr>
          <w:rFonts w:hint="default" w:ascii="Times New Roman" w:hAnsi="Times New Roman" w:cs="Times New Roman"/>
          <w:color w:val="auto"/>
          <w:highlight w:val="none"/>
        </w:rPr>
        <w:t>种，占云南省哺乳动物物种总数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313种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的1</w:t>
      </w:r>
      <w:r>
        <w:rPr>
          <w:rFonts w:hint="default" w:ascii="Times New Roman" w:hAnsi="Times New Roman" w:cs="Times New Roman"/>
          <w:color w:val="auto"/>
          <w:highlight w:val="none"/>
          <w:lang w:val="en-US" w:eastAsia="zh-CN"/>
        </w:rPr>
        <w:t>9</w:t>
      </w:r>
      <w:r>
        <w:rPr>
          <w:rFonts w:hint="default" w:ascii="Times New Roman" w:hAnsi="Times New Roman" w:cs="Times New Roman"/>
          <w:color w:val="auto"/>
          <w:highlight w:val="none"/>
        </w:rPr>
        <w:t>.8</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其中</w:t>
      </w:r>
      <w:r>
        <w:rPr>
          <w:rFonts w:hint="default" w:ascii="Times New Roman" w:hAnsi="Times New Roman" w:cs="Times New Roman"/>
          <w:color w:val="auto"/>
          <w:highlight w:val="none"/>
          <w:lang w:val="en-US" w:eastAsia="zh-CN"/>
        </w:rPr>
        <w:t>啮齿目哺乳类</w:t>
      </w:r>
      <w:r>
        <w:rPr>
          <w:rFonts w:hint="default" w:ascii="Times New Roman" w:hAnsi="Times New Roman" w:cs="Times New Roman"/>
          <w:color w:val="auto"/>
          <w:highlight w:val="none"/>
        </w:rPr>
        <w:t>最多，共</w:t>
      </w:r>
      <w:r>
        <w:rPr>
          <w:rFonts w:hint="default" w:ascii="Times New Roman" w:hAnsi="Times New Roman" w:cs="Times New Roman"/>
          <w:color w:val="auto"/>
          <w:highlight w:val="none"/>
          <w:lang w:val="en-US" w:eastAsia="zh-CN"/>
        </w:rPr>
        <w:t>25</w:t>
      </w:r>
      <w:r>
        <w:rPr>
          <w:rFonts w:hint="default" w:ascii="Times New Roman" w:hAnsi="Times New Roman" w:cs="Times New Roman"/>
          <w:color w:val="auto"/>
          <w:highlight w:val="none"/>
        </w:rPr>
        <w:t>种，占</w:t>
      </w:r>
      <w:r>
        <w:rPr>
          <w:rFonts w:hint="default" w:ascii="Times New Roman" w:hAnsi="Times New Roman" w:cs="Times New Roman"/>
          <w:color w:val="auto"/>
          <w:highlight w:val="none"/>
          <w:lang w:val="en-US" w:eastAsia="zh-CN"/>
        </w:rPr>
        <w:t>评价区内哺乳类物种总数的40.3</w:t>
      </w:r>
      <w:r>
        <w:rPr>
          <w:rFonts w:hint="default" w:ascii="Times New Roman" w:hAnsi="Times New Roman" w:cs="Times New Roman"/>
          <w:color w:val="auto"/>
          <w:highlight w:val="none"/>
        </w:rPr>
        <w:t>%。</w:t>
      </w:r>
    </w:p>
    <w:p w14:paraId="711077E8">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评价区可能分布有国家一级重点保护哺乳类</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种，即林麝</w:t>
      </w:r>
      <w:r>
        <w:rPr>
          <w:rFonts w:hint="default" w:ascii="Times New Roman" w:hAnsi="Times New Roman" w:cs="Times New Roman"/>
          <w:i/>
          <w:iCs/>
          <w:color w:val="auto"/>
          <w:highlight w:val="none"/>
        </w:rPr>
        <w:t>Moschus berezovskii</w:t>
      </w:r>
      <w:r>
        <w:rPr>
          <w:rFonts w:hint="default" w:ascii="Times New Roman" w:hAnsi="Times New Roman" w:cs="Times New Roman"/>
          <w:i w:val="0"/>
          <w:iCs w:val="0"/>
          <w:color w:val="auto"/>
          <w:highlight w:val="none"/>
        </w:rPr>
        <w:t>、</w:t>
      </w:r>
      <w:r>
        <w:rPr>
          <w:rFonts w:hint="default" w:ascii="Times New Roman" w:hAnsi="Times New Roman" w:cs="Times New Roman"/>
          <w:color w:val="auto"/>
          <w:highlight w:val="none"/>
        </w:rPr>
        <w:t>中华穿山甲</w:t>
      </w:r>
      <w:r>
        <w:rPr>
          <w:rFonts w:hint="default" w:ascii="Times New Roman" w:hAnsi="Times New Roman" w:cs="Times New Roman"/>
          <w:i/>
          <w:iCs/>
          <w:color w:val="auto"/>
          <w:highlight w:val="none"/>
        </w:rPr>
        <w:t>Manis pentadactyla</w:t>
      </w:r>
      <w:r>
        <w:rPr>
          <w:rFonts w:hint="default" w:ascii="Times New Roman" w:hAnsi="Times New Roman" w:cs="Times New Roman"/>
          <w:i w:val="0"/>
          <w:iCs w:val="0"/>
          <w:color w:val="auto"/>
          <w:highlight w:val="none"/>
          <w:lang w:eastAsia="zh-CN"/>
        </w:rPr>
        <w:t>、大灵猫</w:t>
      </w:r>
      <w:r>
        <w:rPr>
          <w:rFonts w:hint="default" w:ascii="Times New Roman" w:hAnsi="Times New Roman" w:cs="Times New Roman"/>
          <w:i/>
          <w:iCs/>
          <w:color w:val="auto"/>
          <w:highlight w:val="none"/>
          <w:lang w:eastAsia="zh-CN"/>
        </w:rPr>
        <w:t>Viverra zibetha</w:t>
      </w:r>
      <w:r>
        <w:rPr>
          <w:rFonts w:hint="default" w:ascii="Times New Roman" w:hAnsi="Times New Roman" w:cs="Times New Roman"/>
          <w:i w:val="0"/>
          <w:iCs w:val="0"/>
          <w:color w:val="auto"/>
          <w:highlight w:val="none"/>
          <w:lang w:eastAsia="zh-CN"/>
        </w:rPr>
        <w:t>、金猫</w:t>
      </w:r>
      <w:r>
        <w:rPr>
          <w:rFonts w:hint="default" w:ascii="Times New Roman" w:hAnsi="Times New Roman" w:cs="Times New Roman"/>
          <w:i/>
          <w:iCs/>
          <w:color w:val="auto"/>
          <w:highlight w:val="none"/>
          <w:lang w:eastAsia="zh-CN"/>
        </w:rPr>
        <w:t>Catopuma temminckii</w:t>
      </w:r>
      <w:r>
        <w:rPr>
          <w:rFonts w:hint="default" w:ascii="Times New Roman" w:hAnsi="Times New Roman" w:cs="Times New Roman"/>
          <w:i w:val="0"/>
          <w:iCs w:val="0"/>
          <w:color w:val="auto"/>
          <w:highlight w:val="none"/>
          <w:lang w:eastAsia="zh-CN"/>
        </w:rPr>
        <w:t>、小灵猫</w:t>
      </w:r>
      <w:r>
        <w:rPr>
          <w:rFonts w:hint="default" w:ascii="Times New Roman" w:hAnsi="Times New Roman" w:cs="Times New Roman"/>
          <w:i/>
          <w:iCs/>
          <w:color w:val="auto"/>
          <w:highlight w:val="none"/>
          <w:lang w:eastAsia="zh-CN"/>
        </w:rPr>
        <w:t>Viverricula indica</w:t>
      </w:r>
      <w:r>
        <w:rPr>
          <w:rFonts w:hint="default" w:ascii="Times New Roman" w:hAnsi="Times New Roman" w:cs="Times New Roman"/>
          <w:i w:val="0"/>
          <w:iCs w:val="0"/>
          <w:color w:val="auto"/>
          <w:highlight w:val="none"/>
          <w:lang w:eastAsia="zh-CN"/>
        </w:rPr>
        <w:t>；</w:t>
      </w:r>
      <w:r>
        <w:rPr>
          <w:rFonts w:hint="default" w:ascii="Times New Roman" w:hAnsi="Times New Roman" w:cs="Times New Roman"/>
          <w:color w:val="auto"/>
          <w:highlight w:val="none"/>
        </w:rPr>
        <w:t>有国家二级重点保护哺乳类</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种，即中华斑羚</w:t>
      </w:r>
      <w:r>
        <w:rPr>
          <w:rFonts w:hint="default" w:ascii="Times New Roman" w:hAnsi="Times New Roman" w:cs="Times New Roman"/>
          <w:i/>
          <w:iCs/>
          <w:color w:val="auto"/>
          <w:highlight w:val="none"/>
        </w:rPr>
        <w:t>Naemorhedus griseus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猕猴</w:t>
      </w:r>
      <w:r>
        <w:rPr>
          <w:rFonts w:hint="default" w:ascii="Times New Roman" w:hAnsi="Times New Roman" w:cs="Times New Roman"/>
          <w:i/>
          <w:iCs/>
          <w:color w:val="auto"/>
          <w:highlight w:val="none"/>
        </w:rPr>
        <w:t>Macaca mulatta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豹猫</w:t>
      </w:r>
      <w:r>
        <w:rPr>
          <w:rFonts w:hint="default" w:ascii="Times New Roman" w:hAnsi="Times New Roman" w:cs="Times New Roman"/>
          <w:i/>
          <w:iCs/>
          <w:color w:val="auto"/>
          <w:highlight w:val="none"/>
        </w:rPr>
        <w:t>Prionailurus bengalensis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赤狐</w:t>
      </w:r>
      <w:r>
        <w:rPr>
          <w:rFonts w:hint="default" w:ascii="Times New Roman" w:hAnsi="Times New Roman" w:cs="Times New Roman"/>
          <w:i/>
          <w:iCs/>
          <w:color w:val="auto"/>
          <w:highlight w:val="none"/>
        </w:rPr>
        <w:t>Vulpes vulpes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小爪水獭</w:t>
      </w:r>
      <w:r>
        <w:rPr>
          <w:rFonts w:hint="default" w:ascii="Times New Roman" w:hAnsi="Times New Roman" w:cs="Times New Roman"/>
          <w:i/>
          <w:iCs/>
          <w:color w:val="auto"/>
          <w:highlight w:val="none"/>
        </w:rPr>
        <w:t>Aonyx cinerea</w:t>
      </w:r>
      <w:r>
        <w:rPr>
          <w:rFonts w:hint="default" w:ascii="Times New Roman" w:hAnsi="Times New Roman" w:cs="Times New Roman"/>
          <w:i w:val="0"/>
          <w:iCs w:val="0"/>
          <w:color w:val="auto"/>
          <w:highlight w:val="none"/>
          <w:lang w:eastAsia="zh-CN"/>
        </w:rPr>
        <w:t>；</w:t>
      </w:r>
      <w:r>
        <w:rPr>
          <w:rFonts w:hint="default" w:ascii="Times New Roman" w:hAnsi="Times New Roman" w:cs="Times New Roman"/>
          <w:color w:val="auto"/>
          <w:highlight w:val="none"/>
        </w:rPr>
        <w:t>有云南省重点保护哺乳类</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种，即赤麂</w:t>
      </w:r>
      <w:r>
        <w:rPr>
          <w:rFonts w:hint="default" w:ascii="Times New Roman" w:hAnsi="Times New Roman" w:cs="Times New Roman"/>
          <w:i/>
          <w:iCs/>
          <w:color w:val="auto"/>
          <w:highlight w:val="none"/>
        </w:rPr>
        <w:t>Muntiacus vaginalis、</w:t>
      </w:r>
      <w:r>
        <w:rPr>
          <w:rFonts w:hint="default" w:ascii="Times New Roman" w:hAnsi="Times New Roman" w:cs="Times New Roman"/>
          <w:color w:val="auto"/>
          <w:highlight w:val="none"/>
        </w:rPr>
        <w:t>花面狸</w:t>
      </w:r>
      <w:r>
        <w:rPr>
          <w:rFonts w:hint="default" w:ascii="Times New Roman" w:hAnsi="Times New Roman" w:cs="Times New Roman"/>
          <w:i/>
          <w:iCs/>
          <w:color w:val="auto"/>
          <w:highlight w:val="none"/>
        </w:rPr>
        <w:t>Paguma larvata、</w:t>
      </w:r>
      <w:r>
        <w:rPr>
          <w:rFonts w:hint="default" w:ascii="Times New Roman" w:hAnsi="Times New Roman" w:cs="Times New Roman"/>
          <w:color w:val="auto"/>
          <w:highlight w:val="none"/>
        </w:rPr>
        <w:t>亚洲狗獾</w:t>
      </w:r>
      <w:r>
        <w:rPr>
          <w:rFonts w:hint="default" w:ascii="Times New Roman" w:hAnsi="Times New Roman" w:cs="Times New Roman"/>
          <w:i/>
          <w:iCs/>
          <w:color w:val="auto"/>
          <w:highlight w:val="none"/>
        </w:rPr>
        <w:t>Meles leucurus、</w:t>
      </w:r>
      <w:r>
        <w:rPr>
          <w:rFonts w:hint="default" w:ascii="Times New Roman" w:hAnsi="Times New Roman" w:cs="Times New Roman"/>
          <w:color w:val="auto"/>
          <w:highlight w:val="none"/>
        </w:rPr>
        <w:t>猪獾</w:t>
      </w:r>
      <w:r>
        <w:rPr>
          <w:rFonts w:hint="default" w:ascii="Times New Roman" w:hAnsi="Times New Roman" w:cs="Times New Roman"/>
          <w:i/>
          <w:iCs/>
          <w:color w:val="auto"/>
          <w:highlight w:val="none"/>
        </w:rPr>
        <w:t>Arctonyx collaris</w:t>
      </w:r>
      <w:r>
        <w:rPr>
          <w:rFonts w:hint="default" w:ascii="Times New Roman" w:hAnsi="Times New Roman" w:cs="Times New Roman"/>
          <w:i w:val="0"/>
          <w:iCs w:val="0"/>
          <w:color w:val="auto"/>
          <w:highlight w:val="none"/>
        </w:rPr>
        <w:t>。</w:t>
      </w:r>
      <w:r>
        <w:rPr>
          <w:rFonts w:hint="default" w:ascii="Times New Roman" w:hAnsi="Times New Roman" w:cs="Times New Roman"/>
          <w:color w:val="auto"/>
          <w:highlight w:val="none"/>
        </w:rPr>
        <w:t>其中，《中国生物多样性红色名录》中列入“极危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CR</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种，</w:t>
      </w:r>
      <w:r>
        <w:rPr>
          <w:rFonts w:hint="default" w:ascii="Times New Roman" w:hAnsi="Times New Roman" w:cs="Times New Roman"/>
          <w:color w:val="auto"/>
          <w:highlight w:val="none"/>
          <w:lang w:val="en-US" w:eastAsia="zh-CN"/>
        </w:rPr>
        <w:t>即</w:t>
      </w:r>
      <w:r>
        <w:rPr>
          <w:rFonts w:hint="default" w:ascii="Times New Roman" w:hAnsi="Times New Roman" w:cs="Times New Roman"/>
          <w:color w:val="auto"/>
          <w:highlight w:val="none"/>
        </w:rPr>
        <w:t>林麝、中华穿山甲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大灵猫、</w:t>
      </w:r>
      <w:r>
        <w:rPr>
          <w:rFonts w:hint="default" w:ascii="Times New Roman" w:hAnsi="Times New Roman" w:cs="Times New Roman"/>
          <w:color w:val="auto"/>
          <w:highlight w:val="none"/>
        </w:rPr>
        <w:t>小爪水獭；列入“</w:t>
      </w:r>
      <w:r>
        <w:rPr>
          <w:rFonts w:hint="default" w:ascii="Times New Roman" w:hAnsi="Times New Roman" w:cs="Times New Roman"/>
          <w:color w:val="auto"/>
          <w:highlight w:val="none"/>
          <w:lang w:val="en-US" w:eastAsia="zh-CN"/>
        </w:rPr>
        <w:t>濒</w:t>
      </w:r>
      <w:r>
        <w:rPr>
          <w:rFonts w:hint="default" w:ascii="Times New Roman" w:hAnsi="Times New Roman" w:cs="Times New Roman"/>
          <w:color w:val="auto"/>
          <w:highlight w:val="none"/>
        </w:rPr>
        <w:t>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EN</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的有1种，即金猫；</w:t>
      </w:r>
      <w:r>
        <w:rPr>
          <w:rFonts w:hint="default" w:ascii="Times New Roman" w:hAnsi="Times New Roman" w:cs="Times New Roman"/>
          <w:color w:val="auto"/>
          <w:highlight w:val="none"/>
        </w:rPr>
        <w:t>列入“易危”的有</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种，即豹猫、中华斑羚；列入“近危”的有1</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种，即赤麂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亚洲狗獾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花面狸</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小灵猫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猪獾</w:t>
      </w:r>
      <w:r>
        <w:rPr>
          <w:rFonts w:hint="default" w:ascii="Times New Roman" w:hAnsi="Times New Roman" w:cs="Times New Roman"/>
          <w:color w:val="auto"/>
          <w:highlight w:val="none"/>
          <w:lang w:eastAsia="zh-CN"/>
        </w:rPr>
        <w:t>、白尾鼹</w:t>
      </w:r>
      <w:r>
        <w:rPr>
          <w:rFonts w:hint="default" w:ascii="Times New Roman" w:hAnsi="Times New Roman" w:cs="Times New Roman"/>
          <w:i/>
          <w:iCs/>
          <w:color w:val="auto"/>
          <w:highlight w:val="none"/>
          <w:lang w:eastAsia="zh-CN"/>
        </w:rPr>
        <w:t>Parascaptor leucura</w:t>
      </w:r>
      <w:r>
        <w:rPr>
          <w:rFonts w:hint="default" w:ascii="Times New Roman" w:hAnsi="Times New Roman" w:cs="Times New Roman"/>
          <w:color w:val="auto"/>
          <w:highlight w:val="none"/>
          <w:lang w:eastAsia="zh-CN"/>
        </w:rPr>
        <w:t>、昭通绒鼠</w:t>
      </w:r>
      <w:r>
        <w:rPr>
          <w:rFonts w:hint="default" w:ascii="Times New Roman" w:hAnsi="Times New Roman" w:cs="Times New Roman"/>
          <w:i/>
          <w:iCs/>
          <w:color w:val="auto"/>
          <w:highlight w:val="none"/>
          <w:lang w:eastAsia="zh-CN"/>
        </w:rPr>
        <w:t>Eothenomys olitor</w:t>
      </w:r>
      <w:r>
        <w:rPr>
          <w:rFonts w:hint="default" w:ascii="Times New Roman" w:hAnsi="Times New Roman" w:cs="Times New Roman"/>
          <w:color w:val="auto"/>
          <w:highlight w:val="none"/>
          <w:lang w:eastAsia="zh-CN"/>
        </w:rPr>
        <w:t>、黄腹鼬</w:t>
      </w:r>
      <w:r>
        <w:rPr>
          <w:rFonts w:hint="default" w:ascii="Times New Roman" w:hAnsi="Times New Roman" w:cs="Times New Roman"/>
          <w:i/>
          <w:iCs/>
          <w:color w:val="auto"/>
          <w:highlight w:val="none"/>
          <w:lang w:eastAsia="zh-CN"/>
        </w:rPr>
        <w:t>Mustela kathiah</w:t>
      </w:r>
      <w:r>
        <w:rPr>
          <w:rFonts w:hint="default" w:ascii="Times New Roman" w:hAnsi="Times New Roman" w:cs="Times New Roman"/>
          <w:color w:val="auto"/>
          <w:highlight w:val="none"/>
          <w:lang w:eastAsia="zh-CN"/>
        </w:rPr>
        <w:t>、鼬獾</w:t>
      </w:r>
      <w:r>
        <w:rPr>
          <w:rFonts w:hint="default" w:ascii="Times New Roman" w:hAnsi="Times New Roman" w:cs="Times New Roman"/>
          <w:i/>
          <w:iCs/>
          <w:color w:val="auto"/>
          <w:highlight w:val="none"/>
          <w:lang w:eastAsia="zh-CN"/>
        </w:rPr>
        <w:t>Melogale moschata</w:t>
      </w:r>
      <w:r>
        <w:rPr>
          <w:rFonts w:hint="default" w:ascii="Times New Roman" w:hAnsi="Times New Roman" w:cs="Times New Roman"/>
          <w:color w:val="auto"/>
          <w:highlight w:val="none"/>
          <w:lang w:eastAsia="zh-CN"/>
        </w:rPr>
        <w:t>、云南兔</w:t>
      </w:r>
      <w:r>
        <w:rPr>
          <w:rFonts w:hint="default" w:ascii="Times New Roman" w:hAnsi="Times New Roman" w:cs="Times New Roman"/>
          <w:i/>
          <w:iCs/>
          <w:color w:val="auto"/>
          <w:highlight w:val="none"/>
          <w:lang w:eastAsia="zh-CN"/>
        </w:rPr>
        <w:t>Lepus comus</w:t>
      </w:r>
      <w:r>
        <w:rPr>
          <w:rFonts w:hint="default" w:ascii="Times New Roman" w:hAnsi="Times New Roman" w:cs="Times New Roman"/>
          <w:color w:val="auto"/>
          <w:highlight w:val="none"/>
          <w:lang w:eastAsia="zh-CN"/>
        </w:rPr>
        <w:t>、灰伏翼</w:t>
      </w:r>
      <w:r>
        <w:rPr>
          <w:rFonts w:hint="default" w:ascii="Times New Roman" w:hAnsi="Times New Roman" w:cs="Times New Roman"/>
          <w:i/>
          <w:iCs/>
          <w:color w:val="auto"/>
          <w:highlight w:val="none"/>
          <w:lang w:eastAsia="zh-CN"/>
        </w:rPr>
        <w:t>Hypsugo pulveratus</w:t>
      </w:r>
      <w:r>
        <w:rPr>
          <w:rFonts w:hint="default" w:ascii="Times New Roman" w:hAnsi="Times New Roman" w:cs="Times New Roman"/>
          <w:color w:val="auto"/>
          <w:highlight w:val="none"/>
          <w:lang w:eastAsia="zh-CN"/>
        </w:rPr>
        <w:t>、爪哇伏翼</w:t>
      </w:r>
      <w:r>
        <w:rPr>
          <w:rFonts w:hint="default" w:ascii="Times New Roman" w:hAnsi="Times New Roman" w:cs="Times New Roman"/>
          <w:i/>
          <w:iCs/>
          <w:color w:val="auto"/>
          <w:highlight w:val="none"/>
          <w:lang w:eastAsia="zh-CN"/>
        </w:rPr>
        <w:t>Pipistrellus javanicus</w:t>
      </w:r>
      <w:r>
        <w:rPr>
          <w:rFonts w:hint="default" w:ascii="Times New Roman" w:hAnsi="Times New Roman" w:cs="Times New Roman"/>
          <w:color w:val="auto"/>
          <w:highlight w:val="none"/>
          <w:lang w:eastAsia="zh-CN"/>
        </w:rPr>
        <w:t>、棕果蝠</w:t>
      </w:r>
      <w:r>
        <w:rPr>
          <w:rFonts w:hint="default" w:ascii="Times New Roman" w:hAnsi="Times New Roman" w:cs="Times New Roman"/>
          <w:i/>
          <w:iCs/>
          <w:color w:val="auto"/>
          <w:highlight w:val="none"/>
          <w:lang w:eastAsia="zh-CN"/>
        </w:rPr>
        <w:t>Rousettus leschenaultii</w:t>
      </w:r>
      <w:r>
        <w:rPr>
          <w:rFonts w:hint="default" w:ascii="Times New Roman" w:hAnsi="Times New Roman" w:cs="Times New Roman"/>
          <w:color w:val="auto"/>
          <w:highlight w:val="none"/>
        </w:rPr>
        <w:t>；其余为“无危”；</w:t>
      </w:r>
      <w:r>
        <w:rPr>
          <w:rFonts w:hint="default" w:ascii="Times New Roman" w:hAnsi="Times New Roman" w:cs="Times New Roman"/>
          <w:color w:val="auto"/>
          <w:highlight w:val="none"/>
          <w:lang w:val="en-US" w:eastAsia="zh-CN"/>
        </w:rPr>
        <w:t>有</w:t>
      </w:r>
      <w:r>
        <w:rPr>
          <w:rFonts w:hint="default" w:ascii="Times New Roman" w:hAnsi="Times New Roman" w:cs="Times New Roman"/>
          <w:color w:val="auto"/>
          <w:highlight w:val="none"/>
        </w:rPr>
        <w:t>中国特有种</w:t>
      </w:r>
      <w:r>
        <w:rPr>
          <w:rFonts w:hint="default" w:ascii="Times New Roman" w:hAnsi="Times New Roman" w:cs="Times New Roman"/>
          <w:color w:val="auto"/>
          <w:highlight w:val="none"/>
          <w:lang w:val="en-US" w:eastAsia="zh-CN"/>
        </w:rPr>
        <w:t>5种，即昭通绒鼠、侧纹岩松鼠</w:t>
      </w:r>
      <w:r>
        <w:rPr>
          <w:rFonts w:hint="default" w:ascii="Times New Roman" w:hAnsi="Times New Roman" w:cs="Times New Roman"/>
          <w:i/>
          <w:iCs/>
          <w:color w:val="auto"/>
          <w:highlight w:val="none"/>
          <w:lang w:val="en-US" w:eastAsia="zh-CN"/>
        </w:rPr>
        <w:t>Rupestes forresti</w:t>
      </w:r>
      <w:r>
        <w:rPr>
          <w:rFonts w:hint="default" w:ascii="Times New Roman" w:hAnsi="Times New Roman" w:cs="Times New Roman"/>
          <w:color w:val="auto"/>
          <w:highlight w:val="none"/>
          <w:lang w:val="en-US" w:eastAsia="zh-CN"/>
        </w:rPr>
        <w:t>、大绒鼠</w:t>
      </w:r>
      <w:r>
        <w:rPr>
          <w:rFonts w:hint="default" w:ascii="Times New Roman" w:hAnsi="Times New Roman" w:cs="Times New Roman"/>
          <w:i/>
          <w:iCs/>
          <w:color w:val="auto"/>
          <w:highlight w:val="none"/>
          <w:lang w:val="en-US" w:eastAsia="zh-CN"/>
        </w:rPr>
        <w:t>Eothenomys miletus</w:t>
      </w:r>
      <w:r>
        <w:rPr>
          <w:rFonts w:hint="default" w:ascii="Times New Roman" w:hAnsi="Times New Roman" w:cs="Times New Roman"/>
          <w:color w:val="auto"/>
          <w:highlight w:val="none"/>
          <w:lang w:val="en-US" w:eastAsia="zh-CN"/>
        </w:rPr>
        <w:t>、滇绒鼠</w:t>
      </w:r>
      <w:r>
        <w:rPr>
          <w:rFonts w:hint="default" w:ascii="Times New Roman" w:hAnsi="Times New Roman" w:cs="Times New Roman"/>
          <w:i/>
          <w:iCs/>
          <w:color w:val="auto"/>
          <w:highlight w:val="none"/>
          <w:lang w:val="en-US" w:eastAsia="zh-CN"/>
        </w:rPr>
        <w:t>Eothenomys eleusis</w:t>
      </w:r>
      <w:r>
        <w:rPr>
          <w:rFonts w:hint="default" w:ascii="Times New Roman" w:hAnsi="Times New Roman" w:cs="Times New Roman"/>
          <w:color w:val="auto"/>
          <w:highlight w:val="none"/>
          <w:lang w:val="en-US" w:eastAsia="zh-CN"/>
        </w:rPr>
        <w:t>、高山姬鼠</w:t>
      </w:r>
      <w:r>
        <w:rPr>
          <w:rFonts w:hint="default" w:ascii="Times New Roman" w:hAnsi="Times New Roman" w:cs="Times New Roman"/>
          <w:i/>
          <w:iCs/>
          <w:color w:val="auto"/>
          <w:highlight w:val="none"/>
          <w:lang w:val="en-US" w:eastAsia="zh-CN"/>
        </w:rPr>
        <w:t>Apodemus chevrieri</w:t>
      </w:r>
      <w:r>
        <w:rPr>
          <w:rFonts w:hint="default" w:ascii="Times New Roman" w:hAnsi="Times New Roman" w:cs="Times New Roman"/>
          <w:color w:val="auto"/>
          <w:highlight w:val="none"/>
        </w:rPr>
        <w:t>。小型兽类在评价区内分布较为广泛，大中型兽类主要分布于评价区内的</w:t>
      </w:r>
      <w:r>
        <w:rPr>
          <w:rFonts w:hint="default" w:ascii="Times New Roman" w:hAnsi="Times New Roman" w:cs="Times New Roman"/>
          <w:color w:val="auto"/>
          <w:highlight w:val="none"/>
          <w:lang w:val="en-US" w:eastAsia="zh-CN"/>
        </w:rPr>
        <w:t>沾益海峰自然保护区、</w:t>
      </w:r>
      <w:r>
        <w:rPr>
          <w:rFonts w:hint="default" w:ascii="Times New Roman" w:hAnsi="Times New Roman" w:cs="Times New Roman"/>
          <w:color w:val="auto"/>
          <w:highlight w:val="none"/>
        </w:rPr>
        <w:t>珠江源省级自然保护区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沾益西河湿地公园</w:t>
      </w:r>
      <w:r>
        <w:rPr>
          <w:rFonts w:hint="default" w:ascii="Times New Roman" w:hAnsi="Times New Roman" w:cs="Times New Roman"/>
          <w:color w:val="auto"/>
          <w:highlight w:val="none"/>
        </w:rPr>
        <w:t>及其周边</w:t>
      </w:r>
      <w:r>
        <w:rPr>
          <w:rFonts w:hint="default" w:ascii="Times New Roman" w:hAnsi="Times New Roman" w:cs="Times New Roman"/>
          <w:color w:val="auto"/>
          <w:highlight w:val="none"/>
          <w:lang w:val="en-US" w:eastAsia="zh-CN"/>
        </w:rPr>
        <w:t>植被较好的区域</w:t>
      </w:r>
      <w:r>
        <w:rPr>
          <w:rFonts w:hint="default" w:ascii="Times New Roman" w:hAnsi="Times New Roman" w:cs="Times New Roman"/>
          <w:color w:val="auto"/>
          <w:highlight w:val="none"/>
        </w:rPr>
        <w:t>。</w:t>
      </w:r>
    </w:p>
    <w:p w14:paraId="072F26A9">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B.区系类型</w:t>
      </w:r>
    </w:p>
    <w:p w14:paraId="0EAF9B84">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按区系类型划分，可将</w:t>
      </w:r>
      <w:r>
        <w:rPr>
          <w:rFonts w:hint="default" w:ascii="Times New Roman" w:hAnsi="Times New Roman" w:cs="Times New Roman"/>
          <w:color w:val="auto"/>
          <w:highlight w:val="none"/>
          <w:lang w:val="en-US" w:eastAsia="zh-CN"/>
        </w:rPr>
        <w:t>62</w:t>
      </w:r>
      <w:r>
        <w:rPr>
          <w:rFonts w:hint="default" w:ascii="Times New Roman" w:hAnsi="Times New Roman" w:cs="Times New Roman"/>
          <w:color w:val="auto"/>
          <w:highlight w:val="none"/>
        </w:rPr>
        <w:t>种哺乳类动物分为以下</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类：东洋种</w:t>
      </w:r>
      <w:r>
        <w:rPr>
          <w:rFonts w:hint="default" w:ascii="Times New Roman" w:hAnsi="Times New Roman" w:cs="Times New Roman"/>
          <w:color w:val="auto"/>
          <w:highlight w:val="none"/>
          <w:lang w:val="en-US" w:eastAsia="zh-CN"/>
        </w:rPr>
        <w:t>43</w:t>
      </w:r>
      <w:r>
        <w:rPr>
          <w:rFonts w:hint="default" w:ascii="Times New Roman" w:hAnsi="Times New Roman" w:cs="Times New Roman"/>
          <w:color w:val="auto"/>
          <w:highlight w:val="none"/>
        </w:rPr>
        <w:t>种，占</w:t>
      </w:r>
      <w:r>
        <w:rPr>
          <w:rFonts w:hint="default" w:ascii="Times New Roman" w:hAnsi="Times New Roman" w:cs="Times New Roman"/>
          <w:color w:val="auto"/>
          <w:highlight w:val="none"/>
          <w:lang w:val="en-US" w:eastAsia="zh-CN"/>
        </w:rPr>
        <w:t>总物种</w:t>
      </w:r>
      <w:r>
        <w:rPr>
          <w:rFonts w:hint="default" w:ascii="Times New Roman" w:hAnsi="Times New Roman" w:cs="Times New Roman"/>
          <w:color w:val="auto"/>
          <w:highlight w:val="none"/>
        </w:rPr>
        <w:t>数的</w:t>
      </w:r>
      <w:r>
        <w:rPr>
          <w:rFonts w:hint="default" w:ascii="Times New Roman" w:hAnsi="Times New Roman" w:cs="Times New Roman"/>
          <w:color w:val="auto"/>
          <w:highlight w:val="none"/>
          <w:lang w:val="en-US" w:eastAsia="zh-CN"/>
        </w:rPr>
        <w:t>69.4</w:t>
      </w:r>
      <w:r>
        <w:rPr>
          <w:rFonts w:hint="default" w:ascii="Times New Roman" w:hAnsi="Times New Roman" w:cs="Times New Roman"/>
          <w:color w:val="auto"/>
          <w:highlight w:val="none"/>
        </w:rPr>
        <w:t>%；广布种</w:t>
      </w:r>
      <w:r>
        <w:rPr>
          <w:rFonts w:hint="default" w:ascii="Times New Roman" w:hAnsi="Times New Roman" w:cs="Times New Roman"/>
          <w:color w:val="auto"/>
          <w:highlight w:val="none"/>
          <w:lang w:val="en-US" w:eastAsia="zh-CN"/>
        </w:rPr>
        <w:t>19</w:t>
      </w:r>
      <w:r>
        <w:rPr>
          <w:rFonts w:hint="default" w:ascii="Times New Roman" w:hAnsi="Times New Roman" w:cs="Times New Roman"/>
          <w:color w:val="auto"/>
          <w:highlight w:val="none"/>
        </w:rPr>
        <w:t>种，占种数的</w:t>
      </w:r>
      <w:r>
        <w:rPr>
          <w:rFonts w:hint="default" w:ascii="Times New Roman" w:hAnsi="Times New Roman" w:cs="Times New Roman"/>
          <w:color w:val="auto"/>
          <w:highlight w:val="none"/>
          <w:lang w:val="en-US" w:eastAsia="zh-CN"/>
        </w:rPr>
        <w:t>30.6</w:t>
      </w:r>
      <w:r>
        <w:rPr>
          <w:rFonts w:hint="default" w:ascii="Times New Roman" w:hAnsi="Times New Roman" w:cs="Times New Roman"/>
          <w:color w:val="auto"/>
          <w:highlight w:val="none"/>
        </w:rPr>
        <w:t>%。哺乳类的迁移能力较两栖、爬行类强，但弱于鸟类，从区系成分所占比例看，哺乳类区系成分中东洋界成分占绝对优势，这与项目所在地的位置和哺乳类的特点相吻合。</w:t>
      </w:r>
    </w:p>
    <w:p w14:paraId="58A8D6D2">
      <w:pPr>
        <w:pStyle w:val="37"/>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C.</w:t>
      </w:r>
      <w:r>
        <w:rPr>
          <w:rFonts w:hint="default" w:ascii="Times New Roman" w:hAnsi="Times New Roman" w:cs="Times New Roman"/>
          <w:color w:val="auto"/>
          <w:highlight w:val="none"/>
        </w:rPr>
        <w:t>生态类型</w:t>
      </w:r>
    </w:p>
    <w:p w14:paraId="49446971">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根据评价区分布的哺乳类生活习性的不同，可以将上述种类分为以下</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种生态类型：</w:t>
      </w:r>
    </w:p>
    <w:p w14:paraId="659A1F1E">
      <w:pPr>
        <w:pStyle w:val="37"/>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半水栖型（主要在地面活动，也可以在水中活动的兽类）：1种，即小爪水獭，多栖息于评价范围内河流、湖泊</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水库</w:t>
      </w:r>
      <w:r>
        <w:rPr>
          <w:rFonts w:hint="default" w:ascii="Times New Roman" w:hAnsi="Times New Roman" w:cs="Times New Roman"/>
          <w:color w:val="auto"/>
          <w:highlight w:val="none"/>
        </w:rPr>
        <w:t>，尤其喜欢生活在两岸林木茂密的溪河地带</w:t>
      </w:r>
      <w:r>
        <w:rPr>
          <w:rFonts w:hint="default" w:ascii="Times New Roman" w:hAnsi="Times New Roman" w:cs="Times New Roman"/>
          <w:color w:val="auto"/>
          <w:highlight w:val="none"/>
          <w:lang w:eastAsia="zh-CN"/>
        </w:rPr>
        <w:t>。</w:t>
      </w:r>
    </w:p>
    <w:p w14:paraId="7A5132DA">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半地下生活型（穴居型，主要在地面活动觅食、栖息、避敌于洞穴中，有的也在地下寻找食物）</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27种</w:t>
      </w:r>
      <w:r>
        <w:rPr>
          <w:rFonts w:hint="default" w:ascii="Times New Roman" w:hAnsi="Times New Roman" w:cs="Times New Roman"/>
          <w:color w:val="auto"/>
          <w:highlight w:val="none"/>
        </w:rPr>
        <w:t>：中华穿山甲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大灵猫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猪獾</w:t>
      </w:r>
      <w:r>
        <w:rPr>
          <w:rFonts w:hint="default" w:ascii="Times New Roman" w:hAnsi="Times New Roman" w:cs="Times New Roman"/>
          <w:color w:val="auto"/>
          <w:highlight w:val="none"/>
          <w:lang w:eastAsia="zh-CN"/>
        </w:rPr>
        <w:t>、白尾鼹、昭通绒鼠、黄腹鼬、鼬獾、云南兔、大绒鼠、滇绒鼠、高山姬鼠、灰麝鼩</w:t>
      </w:r>
      <w:r>
        <w:rPr>
          <w:rFonts w:hint="default" w:ascii="Times New Roman" w:hAnsi="Times New Roman" w:cs="Times New Roman"/>
          <w:i/>
          <w:iCs/>
          <w:color w:val="auto"/>
          <w:highlight w:val="none"/>
          <w:lang w:eastAsia="zh-CN"/>
        </w:rPr>
        <w:t>Crocidura attenuata</w:t>
      </w:r>
      <w:r>
        <w:rPr>
          <w:rFonts w:hint="default" w:ascii="Times New Roman" w:hAnsi="Times New Roman" w:cs="Times New Roman"/>
          <w:color w:val="auto"/>
          <w:highlight w:val="none"/>
          <w:lang w:eastAsia="zh-CN"/>
        </w:rPr>
        <w:t>、白尾梢大麝鼩</w:t>
      </w:r>
      <w:r>
        <w:rPr>
          <w:rFonts w:hint="default" w:ascii="Times New Roman" w:hAnsi="Times New Roman" w:cs="Times New Roman"/>
          <w:i/>
          <w:iCs/>
          <w:color w:val="auto"/>
          <w:highlight w:val="none"/>
          <w:lang w:eastAsia="zh-CN"/>
        </w:rPr>
        <w:t>Crocidura dracula</w:t>
      </w:r>
      <w:r>
        <w:rPr>
          <w:rFonts w:hint="default" w:ascii="Times New Roman" w:hAnsi="Times New Roman" w:cs="Times New Roman"/>
          <w:color w:val="auto"/>
          <w:highlight w:val="none"/>
          <w:lang w:eastAsia="zh-CN"/>
        </w:rPr>
        <w:t>、长吻鼹</w:t>
      </w:r>
      <w:r>
        <w:rPr>
          <w:rFonts w:hint="default" w:ascii="Times New Roman" w:hAnsi="Times New Roman" w:cs="Times New Roman"/>
          <w:i/>
          <w:iCs/>
          <w:color w:val="auto"/>
          <w:highlight w:val="none"/>
          <w:lang w:eastAsia="zh-CN"/>
        </w:rPr>
        <w:t>Euroscaptor longirostris</w:t>
      </w:r>
      <w:r>
        <w:rPr>
          <w:rFonts w:hint="default" w:ascii="Times New Roman" w:hAnsi="Times New Roman" w:cs="Times New Roman"/>
          <w:color w:val="auto"/>
          <w:highlight w:val="none"/>
          <w:lang w:eastAsia="zh-CN"/>
        </w:rPr>
        <w:t>、北社鼠</w:t>
      </w:r>
      <w:r>
        <w:rPr>
          <w:rFonts w:hint="default" w:ascii="Times New Roman" w:hAnsi="Times New Roman" w:cs="Times New Roman"/>
          <w:i/>
          <w:iCs/>
          <w:color w:val="auto"/>
          <w:highlight w:val="none"/>
          <w:lang w:eastAsia="zh-CN"/>
        </w:rPr>
        <w:t>Niviventer confucianus</w:t>
      </w:r>
      <w:r>
        <w:rPr>
          <w:rFonts w:hint="default" w:ascii="Times New Roman" w:hAnsi="Times New Roman" w:cs="Times New Roman"/>
          <w:color w:val="auto"/>
          <w:highlight w:val="none"/>
          <w:lang w:eastAsia="zh-CN"/>
        </w:rPr>
        <w:t>、大足鼠</w:t>
      </w:r>
      <w:r>
        <w:rPr>
          <w:rFonts w:hint="default" w:ascii="Times New Roman" w:hAnsi="Times New Roman" w:cs="Times New Roman"/>
          <w:i/>
          <w:iCs/>
          <w:color w:val="auto"/>
          <w:highlight w:val="none"/>
          <w:lang w:eastAsia="zh-CN"/>
        </w:rPr>
        <w:t>Rattus nitidus</w:t>
      </w:r>
      <w:r>
        <w:rPr>
          <w:rFonts w:hint="default" w:ascii="Times New Roman" w:hAnsi="Times New Roman" w:cs="Times New Roman"/>
          <w:color w:val="auto"/>
          <w:highlight w:val="none"/>
          <w:lang w:eastAsia="zh-CN"/>
        </w:rPr>
        <w:t>、马来豪猪</w:t>
      </w:r>
      <w:r>
        <w:rPr>
          <w:rFonts w:hint="default" w:ascii="Times New Roman" w:hAnsi="Times New Roman" w:cs="Times New Roman"/>
          <w:i/>
          <w:iCs/>
          <w:color w:val="auto"/>
          <w:highlight w:val="none"/>
          <w:lang w:eastAsia="zh-CN"/>
        </w:rPr>
        <w:t>Hystrix brachyura</w:t>
      </w:r>
      <w:r>
        <w:rPr>
          <w:rFonts w:hint="default" w:ascii="Times New Roman" w:hAnsi="Times New Roman" w:cs="Times New Roman"/>
          <w:color w:val="auto"/>
          <w:highlight w:val="none"/>
          <w:lang w:eastAsia="zh-CN"/>
        </w:rPr>
        <w:t>、褐家鼠</w:t>
      </w:r>
      <w:r>
        <w:rPr>
          <w:rFonts w:hint="default" w:ascii="Times New Roman" w:hAnsi="Times New Roman" w:cs="Times New Roman"/>
          <w:i/>
          <w:iCs/>
          <w:color w:val="auto"/>
          <w:highlight w:val="none"/>
          <w:lang w:eastAsia="zh-CN"/>
        </w:rPr>
        <w:t>Rattus norvegicus</w:t>
      </w:r>
      <w:r>
        <w:rPr>
          <w:rFonts w:hint="default" w:ascii="Times New Roman" w:hAnsi="Times New Roman" w:cs="Times New Roman"/>
          <w:color w:val="auto"/>
          <w:highlight w:val="none"/>
          <w:lang w:eastAsia="zh-CN"/>
        </w:rPr>
        <w:t>、黑家鼠</w:t>
      </w:r>
      <w:r>
        <w:rPr>
          <w:rFonts w:hint="default" w:ascii="Times New Roman" w:hAnsi="Times New Roman" w:cs="Times New Roman"/>
          <w:i/>
          <w:iCs/>
          <w:color w:val="auto"/>
          <w:highlight w:val="none"/>
          <w:lang w:eastAsia="zh-CN"/>
        </w:rPr>
        <w:t>Rattus rattus</w:t>
      </w:r>
      <w:r>
        <w:rPr>
          <w:rFonts w:hint="default" w:ascii="Times New Roman" w:hAnsi="Times New Roman" w:cs="Times New Roman"/>
          <w:color w:val="auto"/>
          <w:highlight w:val="none"/>
          <w:lang w:eastAsia="zh-CN"/>
        </w:rPr>
        <w:t>、红耳巢鼠</w:t>
      </w:r>
      <w:r>
        <w:rPr>
          <w:rFonts w:hint="default" w:ascii="Times New Roman" w:hAnsi="Times New Roman" w:cs="Times New Roman"/>
          <w:i/>
          <w:iCs/>
          <w:color w:val="auto"/>
          <w:highlight w:val="none"/>
          <w:lang w:eastAsia="zh-CN"/>
        </w:rPr>
        <w:t>Micromys erythrotis</w:t>
      </w:r>
      <w:r>
        <w:rPr>
          <w:rFonts w:hint="default" w:ascii="Times New Roman" w:hAnsi="Times New Roman" w:cs="Times New Roman"/>
          <w:color w:val="auto"/>
          <w:highlight w:val="none"/>
          <w:lang w:eastAsia="zh-CN"/>
        </w:rPr>
        <w:t>、黄胸鼠</w:t>
      </w:r>
      <w:r>
        <w:rPr>
          <w:rFonts w:hint="default" w:ascii="Times New Roman" w:hAnsi="Times New Roman" w:cs="Times New Roman"/>
          <w:i/>
          <w:iCs/>
          <w:color w:val="auto"/>
          <w:highlight w:val="none"/>
          <w:lang w:eastAsia="zh-CN"/>
        </w:rPr>
        <w:t>Rattus tanezumi</w:t>
      </w:r>
      <w:r>
        <w:rPr>
          <w:rFonts w:hint="default" w:ascii="Times New Roman" w:hAnsi="Times New Roman" w:cs="Times New Roman"/>
          <w:color w:val="auto"/>
          <w:highlight w:val="none"/>
          <w:lang w:eastAsia="zh-CN"/>
        </w:rPr>
        <w:t>、锡金小鼠</w:t>
      </w:r>
      <w:r>
        <w:rPr>
          <w:rFonts w:hint="default" w:ascii="Times New Roman" w:hAnsi="Times New Roman" w:cs="Times New Roman"/>
          <w:i/>
          <w:iCs/>
          <w:color w:val="auto"/>
          <w:highlight w:val="none"/>
          <w:lang w:eastAsia="zh-CN"/>
        </w:rPr>
        <w:t>Mus pahari</w:t>
      </w:r>
      <w:r>
        <w:rPr>
          <w:rFonts w:hint="default" w:ascii="Times New Roman" w:hAnsi="Times New Roman" w:cs="Times New Roman"/>
          <w:color w:val="auto"/>
          <w:highlight w:val="none"/>
          <w:lang w:eastAsia="zh-CN"/>
        </w:rPr>
        <w:t>、小家鼠</w:t>
      </w:r>
      <w:r>
        <w:rPr>
          <w:rFonts w:hint="default" w:ascii="Times New Roman" w:hAnsi="Times New Roman" w:cs="Times New Roman"/>
          <w:i/>
          <w:iCs/>
          <w:color w:val="auto"/>
          <w:highlight w:val="none"/>
          <w:lang w:eastAsia="zh-CN"/>
        </w:rPr>
        <w:t>Mus musculus</w:t>
      </w:r>
      <w:r>
        <w:rPr>
          <w:rFonts w:hint="default" w:ascii="Times New Roman" w:hAnsi="Times New Roman" w:cs="Times New Roman"/>
          <w:color w:val="auto"/>
          <w:highlight w:val="none"/>
          <w:lang w:eastAsia="zh-CN"/>
        </w:rPr>
        <w:t>、银星竹鼠</w:t>
      </w:r>
      <w:r>
        <w:rPr>
          <w:rFonts w:hint="default" w:ascii="Times New Roman" w:hAnsi="Times New Roman" w:cs="Times New Roman"/>
          <w:i/>
          <w:iCs/>
          <w:color w:val="auto"/>
          <w:highlight w:val="none"/>
          <w:lang w:eastAsia="zh-CN"/>
        </w:rPr>
        <w:t>Rhizomys pruinosus</w:t>
      </w:r>
      <w:r>
        <w:rPr>
          <w:rFonts w:hint="default" w:ascii="Times New Roman" w:hAnsi="Times New Roman" w:cs="Times New Roman"/>
          <w:color w:val="auto"/>
          <w:highlight w:val="none"/>
          <w:lang w:eastAsia="zh-CN"/>
        </w:rPr>
        <w:t>、针毛鼠</w:t>
      </w:r>
      <w:r>
        <w:rPr>
          <w:rFonts w:hint="default" w:ascii="Times New Roman" w:hAnsi="Times New Roman" w:cs="Times New Roman"/>
          <w:i/>
          <w:iCs/>
          <w:color w:val="auto"/>
          <w:highlight w:val="none"/>
          <w:lang w:eastAsia="zh-CN"/>
        </w:rPr>
        <w:t>Niviventer fulvescens</w:t>
      </w:r>
      <w:r>
        <w:rPr>
          <w:rFonts w:hint="default" w:ascii="Times New Roman" w:hAnsi="Times New Roman" w:cs="Times New Roman"/>
          <w:color w:val="auto"/>
          <w:highlight w:val="none"/>
          <w:lang w:eastAsia="zh-CN"/>
        </w:rPr>
        <w:t>、黄鼬</w:t>
      </w:r>
      <w:r>
        <w:rPr>
          <w:rFonts w:hint="default" w:ascii="Times New Roman" w:hAnsi="Times New Roman" w:cs="Times New Roman"/>
          <w:i/>
          <w:iCs/>
          <w:color w:val="auto"/>
          <w:highlight w:val="none"/>
          <w:lang w:eastAsia="zh-CN"/>
        </w:rPr>
        <w:t>Mustela sibirica</w:t>
      </w:r>
      <w:r>
        <w:rPr>
          <w:rFonts w:hint="default" w:ascii="Times New Roman" w:hAnsi="Times New Roman" w:cs="Times New Roman"/>
          <w:color w:val="auto"/>
          <w:highlight w:val="none"/>
        </w:rPr>
        <w:t>，主要在评价范围内</w:t>
      </w:r>
      <w:r>
        <w:rPr>
          <w:rFonts w:hint="default" w:ascii="Times New Roman" w:hAnsi="Times New Roman" w:cs="Times New Roman"/>
          <w:color w:val="auto"/>
          <w:highlight w:val="none"/>
          <w:lang w:val="en-US" w:eastAsia="zh-CN"/>
        </w:rPr>
        <w:t>森林、</w:t>
      </w:r>
      <w:r>
        <w:rPr>
          <w:rFonts w:hint="default" w:ascii="Times New Roman" w:hAnsi="Times New Roman" w:cs="Times New Roman"/>
          <w:color w:val="auto"/>
          <w:highlight w:val="none"/>
        </w:rPr>
        <w:t>林下灌丛和农田中</w:t>
      </w:r>
      <w:r>
        <w:rPr>
          <w:rFonts w:hint="default" w:ascii="Times New Roman" w:hAnsi="Times New Roman" w:cs="Times New Roman"/>
          <w:color w:val="auto"/>
          <w:highlight w:val="none"/>
          <w:lang w:val="en-US" w:eastAsia="zh-CN"/>
        </w:rPr>
        <w:t>营穴居生活</w:t>
      </w:r>
      <w:r>
        <w:rPr>
          <w:rFonts w:hint="default" w:ascii="Times New Roman" w:hAnsi="Times New Roman" w:cs="Times New Roman"/>
          <w:color w:val="auto"/>
          <w:highlight w:val="none"/>
        </w:rPr>
        <w:t>，其中褐家鼠、</w:t>
      </w:r>
      <w:r>
        <w:rPr>
          <w:rFonts w:hint="default" w:ascii="Times New Roman" w:hAnsi="Times New Roman" w:cs="Times New Roman"/>
          <w:color w:val="auto"/>
          <w:highlight w:val="none"/>
          <w:lang w:eastAsia="zh-CN"/>
        </w:rPr>
        <w:t>黑家鼠、</w:t>
      </w:r>
      <w:r>
        <w:rPr>
          <w:rFonts w:hint="default" w:ascii="Times New Roman" w:hAnsi="Times New Roman" w:cs="Times New Roman"/>
          <w:color w:val="auto"/>
          <w:highlight w:val="none"/>
        </w:rPr>
        <w:t>黄胸鼠、针毛鼠、小家鼠等鼠类与人类关系密切。</w:t>
      </w:r>
    </w:p>
    <w:p w14:paraId="416071D5">
      <w:pPr>
        <w:pStyle w:val="37"/>
        <w:rPr>
          <w:rFonts w:hint="default" w:ascii="Times New Roman" w:hAnsi="Times New Roman" w:cs="Times New Roman"/>
          <w:color w:val="auto"/>
          <w:kern w:val="0"/>
          <w:szCs w:val="24"/>
          <w:highlight w:val="none"/>
          <w:lang w:bidi="ar"/>
        </w:rPr>
      </w:pPr>
      <w:r>
        <w:rPr>
          <w:rFonts w:hint="default" w:ascii="Times New Roman" w:hAnsi="Times New Roman" w:cs="Times New Roman"/>
          <w:color w:val="auto"/>
          <w:highlight w:val="none"/>
        </w:rPr>
        <w:t>地面生活型（主要在地面活动、觅食的兽类）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1</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rPr>
        <w:t>种：即赤麂</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林麝</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中华斑羚</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豹猫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亚洲狗獾</w:t>
      </w:r>
      <w:r>
        <w:rPr>
          <w:rFonts w:hint="default" w:ascii="Times New Roman" w:hAnsi="Times New Roman" w:cs="Times New Roman"/>
          <w:color w:val="auto"/>
          <w:highlight w:val="none"/>
          <w:lang w:eastAsia="zh-CN"/>
        </w:rPr>
        <w:t>、野猪</w:t>
      </w:r>
      <w:r>
        <w:rPr>
          <w:rFonts w:hint="default" w:ascii="Times New Roman" w:hAnsi="Times New Roman" w:cs="Times New Roman"/>
          <w:i/>
          <w:iCs/>
          <w:color w:val="auto"/>
          <w:highlight w:val="none"/>
          <w:lang w:eastAsia="zh-CN"/>
        </w:rPr>
        <w:t>Sus scrofa</w:t>
      </w:r>
      <w:r>
        <w:rPr>
          <w:rFonts w:hint="default" w:ascii="Times New Roman" w:hAnsi="Times New Roman" w:cs="Times New Roman"/>
          <w:color w:val="auto"/>
          <w:highlight w:val="none"/>
          <w:lang w:eastAsia="zh-CN"/>
        </w:rPr>
        <w:t>、臭鼩</w:t>
      </w:r>
      <w:r>
        <w:rPr>
          <w:rFonts w:hint="default" w:ascii="Times New Roman" w:hAnsi="Times New Roman" w:cs="Times New Roman"/>
          <w:i/>
          <w:iCs/>
          <w:color w:val="auto"/>
          <w:highlight w:val="none"/>
          <w:lang w:eastAsia="zh-CN"/>
        </w:rPr>
        <w:t>Suncus murinus</w:t>
      </w:r>
      <w:r>
        <w:rPr>
          <w:rFonts w:hint="default" w:ascii="Times New Roman" w:hAnsi="Times New Roman" w:cs="Times New Roman"/>
          <w:color w:val="auto"/>
          <w:highlight w:val="none"/>
          <w:lang w:eastAsia="zh-CN"/>
        </w:rPr>
        <w:t>、四川短尾鼩</w:t>
      </w:r>
      <w:r>
        <w:rPr>
          <w:rFonts w:hint="default" w:ascii="Times New Roman" w:hAnsi="Times New Roman" w:cs="Times New Roman"/>
          <w:i/>
          <w:iCs/>
          <w:color w:val="auto"/>
          <w:highlight w:val="none"/>
          <w:lang w:eastAsia="zh-CN"/>
        </w:rPr>
        <w:t>Anourosorex squamipes</w:t>
      </w:r>
      <w:r>
        <w:rPr>
          <w:rFonts w:hint="default" w:ascii="Times New Roman" w:hAnsi="Times New Roman" w:cs="Times New Roman"/>
          <w:color w:val="auto"/>
          <w:highlight w:val="none"/>
          <w:lang w:eastAsia="zh-CN"/>
        </w:rPr>
        <w:t>、大耳姬鼠</w:t>
      </w:r>
      <w:r>
        <w:rPr>
          <w:rFonts w:hint="default" w:ascii="Times New Roman" w:hAnsi="Times New Roman" w:cs="Times New Roman"/>
          <w:i/>
          <w:iCs/>
          <w:color w:val="auto"/>
          <w:highlight w:val="none"/>
          <w:lang w:eastAsia="zh-CN"/>
        </w:rPr>
        <w:t>Apodemus latronum</w:t>
      </w:r>
      <w:r>
        <w:rPr>
          <w:rFonts w:hint="default" w:ascii="Times New Roman" w:hAnsi="Times New Roman" w:cs="Times New Roman"/>
          <w:color w:val="auto"/>
          <w:highlight w:val="none"/>
          <w:lang w:eastAsia="zh-CN"/>
        </w:rPr>
        <w:t>、青毛巨鼠</w:t>
      </w:r>
      <w:r>
        <w:rPr>
          <w:rFonts w:hint="default" w:ascii="Times New Roman" w:hAnsi="Times New Roman" w:cs="Times New Roman"/>
          <w:i/>
          <w:iCs/>
          <w:color w:val="auto"/>
          <w:highlight w:val="none"/>
          <w:lang w:eastAsia="zh-CN"/>
        </w:rPr>
        <w:t>Berylmys bowersi</w:t>
      </w:r>
      <w:r>
        <w:rPr>
          <w:rFonts w:hint="default" w:ascii="Times New Roman" w:hAnsi="Times New Roman" w:cs="Times New Roman"/>
          <w:color w:val="auto"/>
          <w:highlight w:val="none"/>
          <w:lang w:eastAsia="zh-CN"/>
        </w:rPr>
        <w:t>、中华姬鼠</w:t>
      </w:r>
      <w:r>
        <w:rPr>
          <w:rFonts w:hint="default" w:ascii="Times New Roman" w:hAnsi="Times New Roman" w:cs="Times New Roman"/>
          <w:i/>
          <w:iCs/>
          <w:color w:val="auto"/>
          <w:highlight w:val="none"/>
          <w:lang w:eastAsia="zh-CN"/>
        </w:rPr>
        <w:t>Apodemus draco</w:t>
      </w:r>
      <w:r>
        <w:rPr>
          <w:rFonts w:hint="default" w:ascii="Times New Roman" w:hAnsi="Times New Roman" w:cs="Times New Roman"/>
          <w:i w:val="0"/>
          <w:iCs w:val="0"/>
          <w:color w:val="auto"/>
          <w:highlight w:val="none"/>
        </w:rPr>
        <w:t>，</w:t>
      </w:r>
      <w:r>
        <w:rPr>
          <w:rFonts w:hint="default" w:ascii="Times New Roman" w:hAnsi="Times New Roman" w:cs="Times New Roman"/>
          <w:color w:val="auto"/>
          <w:kern w:val="0"/>
          <w:szCs w:val="24"/>
          <w:highlight w:val="none"/>
          <w:lang w:bidi="ar"/>
        </w:rPr>
        <w:t>主要分布在评价区的山林中。</w:t>
      </w:r>
    </w:p>
    <w:p w14:paraId="037CE2A2">
      <w:pPr>
        <w:pStyle w:val="37"/>
        <w:rPr>
          <w:rFonts w:hint="default" w:ascii="Times New Roman" w:hAnsi="Times New Roman" w:eastAsia="宋体" w:cs="Times New Roman"/>
          <w:color w:val="auto"/>
          <w:kern w:val="0"/>
          <w:szCs w:val="24"/>
          <w:highlight w:val="none"/>
          <w:lang w:val="en-US" w:eastAsia="zh-CN" w:bidi="ar"/>
        </w:rPr>
      </w:pPr>
      <w:r>
        <w:rPr>
          <w:rFonts w:hint="default" w:ascii="Times New Roman" w:hAnsi="Times New Roman" w:cs="Times New Roman"/>
          <w:color w:val="auto"/>
          <w:kern w:val="0"/>
          <w:szCs w:val="24"/>
          <w:highlight w:val="none"/>
          <w:lang w:val="en-US" w:eastAsia="zh-CN" w:bidi="ar"/>
        </w:rPr>
        <w:t>半地面半树栖型（活动场所灵活，可在地面或树上觅食、活动，也可在大树、岩壁缝隙或陡崖上过夜休息），4种：即猕猴、花面狸、金猫、小灵猫，</w:t>
      </w:r>
      <w:r>
        <w:rPr>
          <w:rFonts w:hint="default" w:ascii="Times New Roman" w:hAnsi="Times New Roman" w:cs="Times New Roman"/>
          <w:color w:val="auto"/>
          <w:kern w:val="0"/>
          <w:szCs w:val="24"/>
          <w:highlight w:val="none"/>
          <w:lang w:bidi="ar"/>
        </w:rPr>
        <w:t>主要在评价区范围内</w:t>
      </w:r>
      <w:r>
        <w:rPr>
          <w:rFonts w:hint="default" w:ascii="Times New Roman" w:hAnsi="Times New Roman" w:cs="Times New Roman"/>
          <w:color w:val="auto"/>
          <w:kern w:val="0"/>
          <w:szCs w:val="24"/>
          <w:highlight w:val="none"/>
          <w:lang w:val="en-US" w:eastAsia="zh-CN" w:bidi="ar"/>
        </w:rPr>
        <w:t>森林植被较为完整的区域活动</w:t>
      </w:r>
      <w:r>
        <w:rPr>
          <w:rFonts w:hint="default" w:ascii="Times New Roman" w:hAnsi="Times New Roman" w:cs="Times New Roman"/>
          <w:color w:val="auto"/>
          <w:kern w:val="0"/>
          <w:szCs w:val="24"/>
          <w:highlight w:val="none"/>
          <w:lang w:bidi="ar"/>
        </w:rPr>
        <w:t>。</w:t>
      </w:r>
    </w:p>
    <w:p w14:paraId="4328DCC8">
      <w:pPr>
        <w:pStyle w:val="37"/>
        <w:rPr>
          <w:rFonts w:hint="default" w:ascii="Times New Roman" w:hAnsi="Times New Roman" w:cs="Times New Roman"/>
          <w:color w:val="auto"/>
          <w:kern w:val="0"/>
          <w:szCs w:val="24"/>
          <w:highlight w:val="none"/>
          <w:lang w:bidi="ar"/>
        </w:rPr>
      </w:pPr>
      <w:r>
        <w:rPr>
          <w:rFonts w:hint="default" w:ascii="Times New Roman" w:hAnsi="Times New Roman" w:cs="Times New Roman"/>
          <w:color w:val="auto"/>
          <w:kern w:val="0"/>
          <w:szCs w:val="24"/>
          <w:highlight w:val="none"/>
          <w:lang w:bidi="ar"/>
        </w:rPr>
        <w:t>树栖型（主要在树上栖息、觅食的兽类），</w:t>
      </w:r>
      <w:r>
        <w:rPr>
          <w:rFonts w:hint="default" w:ascii="Times New Roman" w:hAnsi="Times New Roman" w:cs="Times New Roman"/>
          <w:color w:val="auto"/>
          <w:kern w:val="0"/>
          <w:szCs w:val="24"/>
          <w:highlight w:val="none"/>
          <w:lang w:val="en-US" w:eastAsia="zh-CN" w:bidi="ar"/>
        </w:rPr>
        <w:t>8</w:t>
      </w:r>
      <w:r>
        <w:rPr>
          <w:rFonts w:hint="default" w:ascii="Times New Roman" w:hAnsi="Times New Roman" w:cs="Times New Roman"/>
          <w:color w:val="auto"/>
          <w:kern w:val="0"/>
          <w:szCs w:val="24"/>
          <w:highlight w:val="none"/>
          <w:lang w:bidi="ar"/>
        </w:rPr>
        <w:t>种</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即侧纹岩松鼠</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赤腹松鼠</w:t>
      </w:r>
      <w:r>
        <w:rPr>
          <w:rFonts w:hint="default" w:ascii="Times New Roman" w:hAnsi="Times New Roman" w:cs="Times New Roman"/>
          <w:i/>
          <w:iCs/>
          <w:color w:val="auto"/>
          <w:kern w:val="0"/>
          <w:szCs w:val="24"/>
          <w:highlight w:val="none"/>
          <w:lang w:bidi="ar"/>
        </w:rPr>
        <w:t>Callosciurus erythraeus</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红颊长吻松鼠</w:t>
      </w:r>
      <w:r>
        <w:rPr>
          <w:rFonts w:hint="default" w:ascii="Times New Roman" w:hAnsi="Times New Roman" w:cs="Times New Roman"/>
          <w:i/>
          <w:iCs/>
          <w:color w:val="auto"/>
          <w:kern w:val="0"/>
          <w:szCs w:val="24"/>
          <w:highlight w:val="none"/>
          <w:lang w:bidi="ar"/>
        </w:rPr>
        <w:t>Dremomys rufigenis</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灰头小鼯鼠</w:t>
      </w:r>
      <w:r>
        <w:rPr>
          <w:rFonts w:hint="default" w:ascii="Times New Roman" w:hAnsi="Times New Roman" w:cs="Times New Roman"/>
          <w:i/>
          <w:iCs/>
          <w:color w:val="auto"/>
          <w:kern w:val="0"/>
          <w:szCs w:val="24"/>
          <w:highlight w:val="none"/>
          <w:lang w:bidi="ar"/>
        </w:rPr>
        <w:t>Petaurista caniceps</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珀氏长吻松鼠</w:t>
      </w:r>
      <w:r>
        <w:rPr>
          <w:rFonts w:hint="default" w:ascii="Times New Roman" w:hAnsi="Times New Roman" w:cs="Times New Roman"/>
          <w:i/>
          <w:iCs/>
          <w:color w:val="auto"/>
          <w:kern w:val="0"/>
          <w:szCs w:val="24"/>
          <w:highlight w:val="none"/>
          <w:lang w:bidi="ar"/>
        </w:rPr>
        <w:t>Dremomys pernyi</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纹腹松鼠</w:t>
      </w:r>
      <w:r>
        <w:rPr>
          <w:rFonts w:hint="default" w:ascii="Times New Roman" w:hAnsi="Times New Roman" w:cs="Times New Roman"/>
          <w:i/>
          <w:iCs/>
          <w:color w:val="auto"/>
          <w:kern w:val="0"/>
          <w:szCs w:val="24"/>
          <w:highlight w:val="none"/>
          <w:lang w:bidi="ar"/>
        </w:rPr>
        <w:t>Callosciurus quinquestriatus</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隐纹花鼠</w:t>
      </w:r>
      <w:r>
        <w:rPr>
          <w:rFonts w:hint="default" w:ascii="Times New Roman" w:hAnsi="Times New Roman" w:cs="Times New Roman"/>
          <w:i/>
          <w:iCs/>
          <w:color w:val="auto"/>
          <w:kern w:val="0"/>
          <w:szCs w:val="24"/>
          <w:highlight w:val="none"/>
          <w:lang w:bidi="ar"/>
        </w:rPr>
        <w:t>Tamiops swinhoei</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北树鼩</w:t>
      </w:r>
      <w:r>
        <w:rPr>
          <w:rFonts w:hint="default" w:ascii="Times New Roman" w:hAnsi="Times New Roman" w:cs="Times New Roman"/>
          <w:i/>
          <w:iCs/>
          <w:color w:val="auto"/>
          <w:kern w:val="0"/>
          <w:szCs w:val="24"/>
          <w:highlight w:val="none"/>
          <w:lang w:bidi="ar"/>
        </w:rPr>
        <w:t>Tupaia belangeri</w:t>
      </w:r>
      <w:r>
        <w:rPr>
          <w:rFonts w:hint="default" w:ascii="Times New Roman" w:hAnsi="Times New Roman" w:cs="Times New Roman"/>
          <w:color w:val="auto"/>
          <w:kern w:val="0"/>
          <w:szCs w:val="24"/>
          <w:highlight w:val="none"/>
          <w:lang w:bidi="ar"/>
        </w:rPr>
        <w:t>，主要在评价区范围内乔木林的树上栖息。</w:t>
      </w:r>
    </w:p>
    <w:p w14:paraId="695089B1">
      <w:pPr>
        <w:pStyle w:val="37"/>
        <w:rPr>
          <w:rFonts w:hint="default" w:ascii="Times New Roman" w:hAnsi="Times New Roman" w:cs="Times New Roman"/>
          <w:color w:val="auto"/>
          <w:highlight w:val="none"/>
        </w:rPr>
      </w:pPr>
      <w:r>
        <w:rPr>
          <w:rFonts w:hint="default" w:ascii="Times New Roman" w:hAnsi="Times New Roman" w:cs="Times New Roman"/>
          <w:color w:val="auto"/>
          <w:kern w:val="0"/>
          <w:szCs w:val="24"/>
          <w:highlight w:val="none"/>
          <w:lang w:bidi="ar"/>
        </w:rPr>
        <w:t>岩洞栖息型</w:t>
      </w:r>
      <w:r>
        <w:rPr>
          <w:rFonts w:hint="default" w:ascii="Times New Roman" w:hAnsi="Times New Roman" w:cs="Times New Roman"/>
          <w:color w:val="auto"/>
          <w:kern w:val="0"/>
          <w:szCs w:val="24"/>
          <w:highlight w:val="none"/>
          <w:lang w:val="en-US" w:eastAsia="zh-CN" w:bidi="ar"/>
        </w:rPr>
        <w:t>11</w:t>
      </w:r>
      <w:r>
        <w:rPr>
          <w:rFonts w:hint="default" w:ascii="Times New Roman" w:hAnsi="Times New Roman" w:cs="Times New Roman"/>
          <w:color w:val="auto"/>
          <w:kern w:val="0"/>
          <w:szCs w:val="24"/>
          <w:highlight w:val="none"/>
          <w:lang w:bidi="ar"/>
        </w:rPr>
        <w:t>种（在岩洞中倒挂栖息的小型兽类）：即灰伏翼</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爪哇伏翼</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bidi="ar"/>
        </w:rPr>
        <w:t>棕果蝠</w:t>
      </w:r>
      <w:r>
        <w:rPr>
          <w:rFonts w:hint="default" w:ascii="Times New Roman" w:hAnsi="Times New Roman" w:cs="Times New Roman"/>
          <w:color w:val="auto"/>
          <w:kern w:val="0"/>
          <w:szCs w:val="24"/>
          <w:highlight w:val="none"/>
          <w:lang w:eastAsia="zh-CN" w:bidi="ar"/>
        </w:rPr>
        <w:t>、东方蝙蝠</w:t>
      </w:r>
      <w:r>
        <w:rPr>
          <w:rFonts w:hint="default" w:ascii="Times New Roman" w:hAnsi="Times New Roman" w:cs="Times New Roman"/>
          <w:i/>
          <w:iCs/>
          <w:color w:val="auto"/>
          <w:kern w:val="0"/>
          <w:szCs w:val="24"/>
          <w:highlight w:val="none"/>
          <w:lang w:eastAsia="zh-CN" w:bidi="ar"/>
        </w:rPr>
        <w:t>Vespertilio sinensis</w:t>
      </w:r>
      <w:r>
        <w:rPr>
          <w:rFonts w:hint="default" w:ascii="Times New Roman" w:hAnsi="Times New Roman" w:cs="Times New Roman"/>
          <w:color w:val="auto"/>
          <w:kern w:val="0"/>
          <w:szCs w:val="24"/>
          <w:highlight w:val="none"/>
          <w:lang w:eastAsia="zh-CN" w:bidi="ar"/>
        </w:rPr>
        <w:t>、东方棕蝠</w:t>
      </w:r>
      <w:r>
        <w:rPr>
          <w:rFonts w:hint="default" w:ascii="Times New Roman" w:hAnsi="Times New Roman" w:cs="Times New Roman"/>
          <w:i/>
          <w:iCs/>
          <w:color w:val="auto"/>
          <w:kern w:val="0"/>
          <w:szCs w:val="24"/>
          <w:highlight w:val="none"/>
          <w:lang w:eastAsia="zh-CN" w:bidi="ar"/>
        </w:rPr>
        <w:t>Eptesicus pachyomus</w:t>
      </w:r>
      <w:r>
        <w:rPr>
          <w:rFonts w:hint="default" w:ascii="Times New Roman" w:hAnsi="Times New Roman" w:cs="Times New Roman"/>
          <w:color w:val="auto"/>
          <w:kern w:val="0"/>
          <w:szCs w:val="24"/>
          <w:highlight w:val="none"/>
          <w:lang w:eastAsia="zh-CN" w:bidi="ar"/>
        </w:rPr>
        <w:t>、东亚伏翼</w:t>
      </w:r>
      <w:r>
        <w:rPr>
          <w:rFonts w:hint="default" w:ascii="Times New Roman" w:hAnsi="Times New Roman" w:cs="Times New Roman"/>
          <w:i/>
          <w:iCs/>
          <w:color w:val="auto"/>
          <w:kern w:val="0"/>
          <w:szCs w:val="24"/>
          <w:highlight w:val="none"/>
          <w:lang w:eastAsia="zh-CN" w:bidi="ar"/>
        </w:rPr>
        <w:t>Pipistrellus abramus</w:t>
      </w:r>
      <w:r>
        <w:rPr>
          <w:rFonts w:hint="default" w:ascii="Times New Roman" w:hAnsi="Times New Roman" w:cs="Times New Roman"/>
          <w:color w:val="auto"/>
          <w:kern w:val="0"/>
          <w:szCs w:val="24"/>
          <w:highlight w:val="none"/>
          <w:lang w:eastAsia="zh-CN" w:bidi="ar"/>
        </w:rPr>
        <w:t>、马铁菊头蝠</w:t>
      </w:r>
      <w:r>
        <w:rPr>
          <w:rFonts w:hint="default" w:ascii="Times New Roman" w:hAnsi="Times New Roman" w:cs="Times New Roman"/>
          <w:i/>
          <w:iCs/>
          <w:color w:val="auto"/>
          <w:kern w:val="0"/>
          <w:szCs w:val="24"/>
          <w:highlight w:val="none"/>
          <w:lang w:eastAsia="zh-CN" w:bidi="ar"/>
        </w:rPr>
        <w:t>Rhinolophus nippon</w:t>
      </w:r>
      <w:r>
        <w:rPr>
          <w:rFonts w:hint="default" w:ascii="Times New Roman" w:hAnsi="Times New Roman" w:cs="Times New Roman"/>
          <w:color w:val="auto"/>
          <w:kern w:val="0"/>
          <w:szCs w:val="24"/>
          <w:highlight w:val="none"/>
          <w:lang w:eastAsia="zh-CN" w:bidi="ar"/>
        </w:rPr>
        <w:t>、皮氏菊头蝠</w:t>
      </w:r>
      <w:r>
        <w:rPr>
          <w:rFonts w:hint="default" w:ascii="Times New Roman" w:hAnsi="Times New Roman" w:cs="Times New Roman"/>
          <w:i/>
          <w:iCs/>
          <w:color w:val="auto"/>
          <w:kern w:val="0"/>
          <w:szCs w:val="24"/>
          <w:highlight w:val="none"/>
          <w:lang w:eastAsia="zh-CN" w:bidi="ar"/>
        </w:rPr>
        <w:t>Rhinolophus pearsonii</w:t>
      </w:r>
      <w:r>
        <w:rPr>
          <w:rFonts w:hint="default" w:ascii="Times New Roman" w:hAnsi="Times New Roman" w:cs="Times New Roman"/>
          <w:color w:val="auto"/>
          <w:kern w:val="0"/>
          <w:szCs w:val="24"/>
          <w:highlight w:val="none"/>
          <w:lang w:eastAsia="zh-CN" w:bidi="ar"/>
        </w:rPr>
        <w:t>、普通伏翼</w:t>
      </w:r>
      <w:r>
        <w:rPr>
          <w:rFonts w:hint="default" w:ascii="Times New Roman" w:hAnsi="Times New Roman" w:cs="Times New Roman"/>
          <w:i/>
          <w:iCs/>
          <w:color w:val="auto"/>
          <w:kern w:val="0"/>
          <w:szCs w:val="24"/>
          <w:highlight w:val="none"/>
          <w:lang w:eastAsia="zh-CN" w:bidi="ar"/>
        </w:rPr>
        <w:t>Pipistrellus pipistrellus</w:t>
      </w:r>
      <w:r>
        <w:rPr>
          <w:rFonts w:hint="default" w:ascii="Times New Roman" w:hAnsi="Times New Roman" w:cs="Times New Roman"/>
          <w:color w:val="auto"/>
          <w:kern w:val="0"/>
          <w:szCs w:val="24"/>
          <w:highlight w:val="none"/>
          <w:lang w:eastAsia="zh-CN" w:bidi="ar"/>
        </w:rPr>
        <w:t>、中菊头蝠</w:t>
      </w:r>
      <w:r>
        <w:rPr>
          <w:rFonts w:hint="default" w:ascii="Times New Roman" w:hAnsi="Times New Roman" w:cs="Times New Roman"/>
          <w:i/>
          <w:iCs/>
          <w:color w:val="auto"/>
          <w:kern w:val="0"/>
          <w:szCs w:val="24"/>
          <w:highlight w:val="none"/>
          <w:lang w:eastAsia="zh-CN" w:bidi="ar"/>
        </w:rPr>
        <w:t>Rhinolophus affinis</w:t>
      </w:r>
      <w:r>
        <w:rPr>
          <w:rFonts w:hint="default" w:ascii="Times New Roman" w:hAnsi="Times New Roman" w:cs="Times New Roman"/>
          <w:color w:val="auto"/>
          <w:kern w:val="0"/>
          <w:szCs w:val="24"/>
          <w:highlight w:val="none"/>
          <w:lang w:eastAsia="zh-CN" w:bidi="ar"/>
        </w:rPr>
        <w:t>、中蹄蝠</w:t>
      </w:r>
      <w:r>
        <w:rPr>
          <w:rFonts w:hint="default" w:ascii="Times New Roman" w:hAnsi="Times New Roman" w:cs="Times New Roman"/>
          <w:i/>
          <w:iCs/>
          <w:color w:val="auto"/>
          <w:kern w:val="0"/>
          <w:szCs w:val="24"/>
          <w:highlight w:val="none"/>
          <w:lang w:eastAsia="zh-CN" w:bidi="ar"/>
        </w:rPr>
        <w:t>Hipposideros larvatus</w:t>
      </w:r>
      <w:r>
        <w:rPr>
          <w:rFonts w:hint="default" w:ascii="Times New Roman" w:hAnsi="Times New Roman" w:cs="Times New Roman"/>
          <w:color w:val="auto"/>
          <w:kern w:val="0"/>
          <w:szCs w:val="24"/>
          <w:highlight w:val="none"/>
          <w:lang w:bidi="ar"/>
        </w:rPr>
        <w:t>，主要分布在评价区范围的岩洞</w:t>
      </w:r>
      <w:r>
        <w:rPr>
          <w:rFonts w:hint="default" w:ascii="Times New Roman" w:hAnsi="Times New Roman" w:cs="Times New Roman"/>
          <w:color w:val="auto"/>
          <w:kern w:val="0"/>
          <w:szCs w:val="24"/>
          <w:highlight w:val="none"/>
          <w:lang w:eastAsia="zh-CN" w:bidi="ar"/>
        </w:rPr>
        <w:t>、</w:t>
      </w:r>
      <w:r>
        <w:rPr>
          <w:rFonts w:hint="default" w:ascii="Times New Roman" w:hAnsi="Times New Roman" w:cs="Times New Roman"/>
          <w:color w:val="auto"/>
          <w:kern w:val="0"/>
          <w:szCs w:val="24"/>
          <w:highlight w:val="none"/>
          <w:lang w:val="en-US" w:eastAsia="zh-CN" w:bidi="ar"/>
        </w:rPr>
        <w:t>建筑物屋檐等隐蔽区域</w:t>
      </w:r>
      <w:r>
        <w:rPr>
          <w:rFonts w:hint="default" w:ascii="Times New Roman" w:hAnsi="Times New Roman" w:cs="Times New Roman"/>
          <w:color w:val="auto"/>
          <w:kern w:val="0"/>
          <w:szCs w:val="24"/>
          <w:highlight w:val="none"/>
          <w:lang w:bidi="ar"/>
        </w:rPr>
        <w:t>，傍晚接近天黑时出来活动。</w:t>
      </w:r>
    </w:p>
    <w:p w14:paraId="5576C5E5">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鸟类</w:t>
      </w:r>
    </w:p>
    <w:p w14:paraId="6BFF837F">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A.种类、数量及分布</w:t>
      </w:r>
    </w:p>
    <w:p w14:paraId="082045AF">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评价区分布的鸟类共有18目</w:t>
      </w:r>
      <w:r>
        <w:rPr>
          <w:rFonts w:hint="default" w:ascii="Times New Roman" w:hAnsi="Times New Roman" w:cs="Times New Roman"/>
          <w:color w:val="auto"/>
          <w:highlight w:val="none"/>
          <w:lang w:val="en-US" w:eastAsia="zh-CN"/>
        </w:rPr>
        <w:t>72</w:t>
      </w:r>
      <w:r>
        <w:rPr>
          <w:rFonts w:hint="default" w:ascii="Times New Roman" w:hAnsi="Times New Roman" w:cs="Times New Roman"/>
          <w:color w:val="auto"/>
          <w:highlight w:val="none"/>
        </w:rPr>
        <w:t>科</w:t>
      </w:r>
      <w:r>
        <w:rPr>
          <w:rFonts w:hint="default" w:ascii="Times New Roman" w:hAnsi="Times New Roman" w:cs="Times New Roman"/>
          <w:color w:val="auto"/>
          <w:highlight w:val="none"/>
          <w:lang w:val="en-US" w:eastAsia="zh-CN"/>
        </w:rPr>
        <w:t>379</w:t>
      </w:r>
      <w:r>
        <w:rPr>
          <w:rFonts w:hint="default" w:ascii="Times New Roman" w:hAnsi="Times New Roman" w:cs="Times New Roman"/>
          <w:color w:val="auto"/>
          <w:highlight w:val="none"/>
        </w:rPr>
        <w:t>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占云南省</w:t>
      </w:r>
      <w:r>
        <w:rPr>
          <w:rFonts w:hint="default" w:ascii="Times New Roman" w:hAnsi="Times New Roman" w:cs="Times New Roman"/>
          <w:color w:val="auto"/>
          <w:highlight w:val="none"/>
          <w:lang w:val="en-US" w:eastAsia="zh-CN"/>
        </w:rPr>
        <w:t>鸟类</w:t>
      </w:r>
      <w:r>
        <w:rPr>
          <w:rFonts w:hint="default" w:ascii="Times New Roman" w:hAnsi="Times New Roman" w:cs="Times New Roman"/>
          <w:color w:val="auto"/>
          <w:highlight w:val="none"/>
        </w:rPr>
        <w:t>物种总数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945种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w:t>
      </w:r>
      <w:r>
        <w:rPr>
          <w:rFonts w:hint="default" w:ascii="Times New Roman" w:hAnsi="Times New Roman" w:cs="Times New Roman"/>
          <w:color w:val="auto"/>
          <w:highlight w:val="none"/>
          <w:lang w:val="en-US" w:eastAsia="zh-CN"/>
        </w:rPr>
        <w:t>40.11</w:t>
      </w:r>
      <w:r>
        <w:rPr>
          <w:rFonts w:hint="default" w:ascii="Times New Roman" w:hAnsi="Times New Roman" w:cs="Times New Roman"/>
          <w:color w:val="auto"/>
          <w:highlight w:val="none"/>
        </w:rPr>
        <w:t>%，其中雀形目鸟类最多，共</w:t>
      </w:r>
      <w:r>
        <w:rPr>
          <w:rFonts w:hint="default" w:ascii="Times New Roman" w:hAnsi="Times New Roman" w:cs="Times New Roman"/>
          <w:color w:val="auto"/>
          <w:highlight w:val="none"/>
          <w:lang w:val="en-US" w:eastAsia="zh-CN"/>
        </w:rPr>
        <w:t>229</w:t>
      </w:r>
      <w:r>
        <w:rPr>
          <w:rFonts w:hint="default" w:ascii="Times New Roman" w:hAnsi="Times New Roman" w:cs="Times New Roman"/>
          <w:color w:val="auto"/>
          <w:highlight w:val="none"/>
        </w:rPr>
        <w:t>种，占</w:t>
      </w:r>
      <w:r>
        <w:rPr>
          <w:rFonts w:hint="default" w:ascii="Times New Roman" w:hAnsi="Times New Roman" w:cs="Times New Roman"/>
          <w:color w:val="auto"/>
          <w:highlight w:val="none"/>
          <w:lang w:val="en-US" w:eastAsia="zh-CN"/>
        </w:rPr>
        <w:t>评价区内鸟类物种总数的60.4</w:t>
      </w:r>
      <w:r>
        <w:rPr>
          <w:rFonts w:hint="default" w:ascii="Times New Roman" w:hAnsi="Times New Roman" w:cs="Times New Roman"/>
          <w:color w:val="auto"/>
          <w:highlight w:val="none"/>
        </w:rPr>
        <w:t>%。</w:t>
      </w:r>
    </w:p>
    <w:p w14:paraId="16401AC6">
      <w:pPr>
        <w:pStyle w:val="37"/>
        <w:rPr>
          <w:rFonts w:hint="default" w:ascii="Times New Roman" w:hAnsi="Times New Roman" w:cs="Times New Roman"/>
          <w:i w:val="0"/>
          <w:iCs w:val="0"/>
          <w:color w:val="auto"/>
          <w:highlight w:val="none"/>
          <w:lang w:eastAsia="zh-CN"/>
        </w:rPr>
      </w:pPr>
      <w:r>
        <w:rPr>
          <w:rFonts w:hint="default" w:ascii="Times New Roman" w:hAnsi="Times New Roman" w:cs="Times New Roman"/>
          <w:color w:val="auto"/>
          <w:highlight w:val="none"/>
        </w:rPr>
        <w:t>评价区内可能分布的国家一级重点保护鸟类有</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种，即东方白鹳</w:t>
      </w:r>
      <w:r>
        <w:rPr>
          <w:rFonts w:hint="default" w:ascii="Times New Roman" w:hAnsi="Times New Roman" w:cs="Times New Roman"/>
          <w:i/>
          <w:iCs/>
          <w:color w:val="auto"/>
          <w:highlight w:val="none"/>
        </w:rPr>
        <w:t>Ciconia boyciana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黑鹳</w:t>
      </w:r>
      <w:r>
        <w:rPr>
          <w:rFonts w:hint="default" w:ascii="Times New Roman" w:hAnsi="Times New Roman" w:eastAsia="宋体" w:cs="Times New Roman"/>
          <w:i/>
          <w:iCs/>
          <w:color w:val="auto"/>
          <w:highlight w:val="none"/>
        </w:rPr>
        <w:t>Ciconia nigra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白鹤</w:t>
      </w:r>
      <w:r>
        <w:rPr>
          <w:rFonts w:hint="default" w:ascii="Times New Roman" w:hAnsi="Times New Roman" w:eastAsia="宋体" w:cs="Times New Roman"/>
          <w:i/>
          <w:iCs/>
          <w:color w:val="auto"/>
          <w:highlight w:val="none"/>
        </w:rPr>
        <w:t>Leucogeranus leucogeranus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黑颈鹤</w:t>
      </w:r>
      <w:r>
        <w:rPr>
          <w:rFonts w:hint="default" w:ascii="Times New Roman" w:hAnsi="Times New Roman" w:eastAsia="宋体" w:cs="Times New Roman"/>
          <w:i/>
          <w:iCs/>
          <w:color w:val="auto"/>
          <w:highlight w:val="none"/>
        </w:rPr>
        <w:t>Grus nigricollis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黑颈长尾雉</w:t>
      </w:r>
      <w:r>
        <w:rPr>
          <w:rFonts w:hint="default" w:ascii="Times New Roman" w:hAnsi="Times New Roman" w:eastAsia="宋体" w:cs="Times New Roman"/>
          <w:i/>
          <w:iCs/>
          <w:color w:val="auto"/>
          <w:highlight w:val="none"/>
        </w:rPr>
        <w:t>Syrmaticus humiae</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中华秋沙鸭</w:t>
      </w:r>
      <w:r>
        <w:rPr>
          <w:rFonts w:hint="default" w:ascii="Times New Roman" w:hAnsi="Times New Roman" w:eastAsia="宋体" w:cs="Times New Roman"/>
          <w:i/>
          <w:iCs/>
          <w:color w:val="auto"/>
          <w:highlight w:val="none"/>
        </w:rPr>
        <w:t>Mergus squamatus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白肩雕</w:t>
      </w:r>
      <w:r>
        <w:rPr>
          <w:rFonts w:hint="default" w:ascii="Times New Roman" w:hAnsi="Times New Roman" w:eastAsia="宋体" w:cs="Times New Roman"/>
          <w:i/>
          <w:iCs/>
          <w:color w:val="auto"/>
          <w:highlight w:val="none"/>
        </w:rPr>
        <w:t>Aquila heliaca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金雕</w:t>
      </w:r>
      <w:r>
        <w:rPr>
          <w:rFonts w:hint="default" w:ascii="Times New Roman" w:hAnsi="Times New Roman" w:eastAsia="宋体" w:cs="Times New Roman"/>
          <w:i/>
          <w:iCs/>
          <w:color w:val="auto"/>
          <w:highlight w:val="none"/>
        </w:rPr>
        <w:t>Aquila chrysaetos</w:t>
      </w:r>
      <w:r>
        <w:rPr>
          <w:rFonts w:hint="default" w:ascii="Times New Roman" w:hAnsi="Times New Roman" w:cs="Times New Roman"/>
          <w:color w:val="auto"/>
          <w:highlight w:val="none"/>
        </w:rPr>
        <w:t>；国家二级重点保护鸟类有</w:t>
      </w:r>
      <w:r>
        <w:rPr>
          <w:rFonts w:hint="default" w:ascii="Times New Roman" w:hAnsi="Times New Roman" w:cs="Times New Roman"/>
          <w:color w:val="auto"/>
          <w:highlight w:val="none"/>
          <w:lang w:val="en-US" w:eastAsia="zh-CN"/>
        </w:rPr>
        <w:t>52</w:t>
      </w:r>
      <w:r>
        <w:rPr>
          <w:rFonts w:hint="default" w:ascii="Times New Roman" w:hAnsi="Times New Roman" w:cs="Times New Roman"/>
          <w:color w:val="auto"/>
          <w:highlight w:val="none"/>
        </w:rPr>
        <w:t>种，即白胸翡翠</w:t>
      </w:r>
      <w:r>
        <w:rPr>
          <w:rFonts w:hint="default" w:ascii="Times New Roman" w:hAnsi="Times New Roman" w:eastAsia="宋体" w:cs="Times New Roman"/>
          <w:i/>
          <w:iCs/>
          <w:color w:val="auto"/>
          <w:highlight w:val="none"/>
        </w:rPr>
        <w:t>Halcyon smyrnensis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棕背田鸡</w:t>
      </w:r>
      <w:r>
        <w:rPr>
          <w:rFonts w:hint="default" w:ascii="Times New Roman" w:hAnsi="Times New Roman" w:eastAsia="宋体" w:cs="Times New Roman"/>
          <w:i/>
          <w:iCs/>
          <w:color w:val="auto"/>
          <w:highlight w:val="none"/>
        </w:rPr>
        <w:t>Zapornia bicolor</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灰鹤</w:t>
      </w:r>
      <w:r>
        <w:rPr>
          <w:rFonts w:hint="default" w:ascii="Times New Roman" w:hAnsi="Times New Roman" w:eastAsia="宋体" w:cs="Times New Roman"/>
          <w:i/>
          <w:iCs/>
          <w:color w:val="auto"/>
          <w:highlight w:val="none"/>
        </w:rPr>
        <w:t>Grus grus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水雉</w:t>
      </w:r>
      <w:r>
        <w:rPr>
          <w:rFonts w:hint="default" w:ascii="Times New Roman" w:hAnsi="Times New Roman" w:eastAsia="宋体" w:cs="Times New Roman"/>
          <w:i/>
          <w:iCs/>
          <w:color w:val="auto"/>
          <w:highlight w:val="none"/>
        </w:rPr>
        <w:t>Hydrophasianus chirurgus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小鸥</w:t>
      </w:r>
      <w:r>
        <w:rPr>
          <w:rFonts w:hint="default" w:ascii="Times New Roman" w:hAnsi="Times New Roman" w:eastAsia="宋体" w:cs="Times New Roman"/>
          <w:i/>
          <w:iCs/>
          <w:color w:val="auto"/>
          <w:highlight w:val="none"/>
        </w:rPr>
        <w:t>Hydrocoloeus minutus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白鹇</w:t>
      </w:r>
      <w:r>
        <w:rPr>
          <w:rFonts w:hint="default" w:ascii="Times New Roman" w:hAnsi="Times New Roman" w:eastAsia="宋体" w:cs="Times New Roman"/>
          <w:i/>
          <w:iCs/>
          <w:color w:val="auto"/>
          <w:highlight w:val="none"/>
        </w:rPr>
        <w:t>Lophura nycthemera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白腹锦鸡</w:t>
      </w:r>
      <w:r>
        <w:rPr>
          <w:rFonts w:hint="default" w:ascii="Times New Roman" w:hAnsi="Times New Roman" w:eastAsia="宋体" w:cs="Times New Roman"/>
          <w:i/>
          <w:iCs/>
          <w:color w:val="auto"/>
          <w:highlight w:val="none"/>
        </w:rPr>
        <w:t>Chrysolophus amherstiae</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褐翅鸦鹃</w:t>
      </w:r>
      <w:r>
        <w:rPr>
          <w:rFonts w:hint="default" w:ascii="Times New Roman" w:hAnsi="Times New Roman" w:eastAsia="宋体" w:cs="Times New Roman"/>
          <w:i/>
          <w:iCs/>
          <w:color w:val="auto"/>
          <w:highlight w:val="none"/>
        </w:rPr>
        <w:t>Centropus sinensis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黑颈䴙䴘</w:t>
      </w:r>
      <w:r>
        <w:rPr>
          <w:rFonts w:hint="default" w:ascii="Times New Roman" w:hAnsi="Times New Roman" w:eastAsia="宋体" w:cs="Times New Roman"/>
          <w:i/>
          <w:iCs/>
          <w:color w:val="auto"/>
          <w:highlight w:val="none"/>
        </w:rPr>
        <w:t>Podiceps nigricollis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大仙鹟</w:t>
      </w:r>
      <w:r>
        <w:rPr>
          <w:rFonts w:hint="default" w:ascii="Times New Roman" w:hAnsi="Times New Roman" w:eastAsia="宋体" w:cs="Times New Roman"/>
          <w:i/>
          <w:iCs/>
          <w:color w:val="auto"/>
          <w:highlight w:val="none"/>
        </w:rPr>
        <w:t>Niltava grandis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滇䴓</w:t>
      </w:r>
      <w:r>
        <w:rPr>
          <w:rFonts w:hint="default" w:ascii="Times New Roman" w:hAnsi="Times New Roman" w:eastAsia="宋体" w:cs="Times New Roman"/>
          <w:i/>
          <w:iCs/>
          <w:color w:val="auto"/>
          <w:highlight w:val="none"/>
        </w:rPr>
        <w:t>Sitta yunnanensis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红喉歌鸲</w:t>
      </w:r>
      <w:r>
        <w:rPr>
          <w:rFonts w:hint="default" w:ascii="Times New Roman" w:hAnsi="Times New Roman" w:eastAsia="宋体" w:cs="Times New Roman"/>
          <w:i/>
          <w:iCs/>
          <w:color w:val="auto"/>
          <w:highlight w:val="none"/>
        </w:rPr>
        <w:t>Calliope calliope</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蓝喉歌鸲</w:t>
      </w:r>
      <w:r>
        <w:rPr>
          <w:rFonts w:hint="default" w:ascii="Times New Roman" w:hAnsi="Times New Roman" w:eastAsia="宋体" w:cs="Times New Roman"/>
          <w:i/>
          <w:iCs/>
          <w:color w:val="auto"/>
          <w:highlight w:val="none"/>
        </w:rPr>
        <w:t>Luscinia svecica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蓝绿鹊</w:t>
      </w:r>
      <w:r>
        <w:rPr>
          <w:rFonts w:hint="default" w:ascii="Times New Roman" w:hAnsi="Times New Roman" w:eastAsia="宋体" w:cs="Times New Roman"/>
          <w:i/>
          <w:iCs/>
          <w:color w:val="auto"/>
          <w:highlight w:val="none"/>
        </w:rPr>
        <w:t>Cissa chinensis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眼纹噪鹛</w:t>
      </w:r>
      <w:r>
        <w:rPr>
          <w:rFonts w:hint="default" w:ascii="Times New Roman" w:hAnsi="Times New Roman" w:eastAsia="宋体" w:cs="Times New Roman"/>
          <w:i/>
          <w:iCs/>
          <w:color w:val="auto"/>
          <w:highlight w:val="none"/>
        </w:rPr>
        <w:t>Ianthocincla ocellata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橙翅噪鹛</w:t>
      </w:r>
      <w:r>
        <w:rPr>
          <w:rFonts w:hint="default" w:ascii="Times New Roman" w:hAnsi="Times New Roman" w:eastAsia="宋体" w:cs="Times New Roman"/>
          <w:i/>
          <w:iCs/>
          <w:color w:val="auto"/>
          <w:highlight w:val="none"/>
        </w:rPr>
        <w:t>Trochalopteron elliotii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红胁绣眼鸟</w:t>
      </w:r>
      <w:r>
        <w:rPr>
          <w:rFonts w:hint="default" w:ascii="Times New Roman" w:hAnsi="Times New Roman" w:eastAsia="宋体" w:cs="Times New Roman"/>
          <w:i/>
          <w:iCs/>
          <w:color w:val="auto"/>
          <w:highlight w:val="none"/>
        </w:rPr>
        <w:t>Zosterops erythropleurus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银耳相思鸟</w:t>
      </w:r>
      <w:r>
        <w:rPr>
          <w:rFonts w:hint="default" w:ascii="Times New Roman" w:hAnsi="Times New Roman" w:eastAsia="宋体" w:cs="Times New Roman"/>
          <w:i/>
          <w:iCs/>
          <w:color w:val="auto"/>
          <w:highlight w:val="none"/>
        </w:rPr>
        <w:t>Leiothrix argentauris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画眉</w:t>
      </w:r>
      <w:r>
        <w:rPr>
          <w:rFonts w:hint="default" w:ascii="Times New Roman" w:hAnsi="Times New Roman" w:eastAsia="宋体" w:cs="Times New Roman"/>
          <w:i/>
          <w:iCs/>
          <w:color w:val="auto"/>
          <w:highlight w:val="none"/>
        </w:rPr>
        <w:t>Garrulax canorus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红嘴相思鸟</w:t>
      </w:r>
      <w:r>
        <w:rPr>
          <w:rFonts w:hint="default" w:ascii="Times New Roman" w:hAnsi="Times New Roman" w:eastAsia="宋体" w:cs="Times New Roman"/>
          <w:i/>
          <w:iCs/>
          <w:color w:val="auto"/>
          <w:highlight w:val="none"/>
        </w:rPr>
        <w:t>Leiothrix lutea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燕隼</w:t>
      </w:r>
      <w:r>
        <w:rPr>
          <w:rFonts w:hint="default" w:ascii="Times New Roman" w:hAnsi="Times New Roman" w:eastAsia="宋体" w:cs="Times New Roman"/>
          <w:i/>
          <w:iCs/>
          <w:color w:val="auto"/>
          <w:highlight w:val="none"/>
        </w:rPr>
        <w:t>Falco subbuteo</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灰背隼Falco columbarius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黄爪隼</w:t>
      </w:r>
      <w:r>
        <w:rPr>
          <w:rFonts w:hint="default" w:ascii="Times New Roman" w:hAnsi="Times New Roman" w:eastAsia="宋体" w:cs="Times New Roman"/>
          <w:i/>
          <w:iCs/>
          <w:color w:val="auto"/>
          <w:highlight w:val="none"/>
        </w:rPr>
        <w:t xml:space="preserve">Falco </w:t>
      </w:r>
      <w:r>
        <w:rPr>
          <w:rFonts w:hint="default" w:ascii="Times New Roman" w:hAnsi="Times New Roman" w:cs="Times New Roman"/>
          <w:i/>
          <w:iCs/>
          <w:color w:val="auto"/>
          <w:highlight w:val="none"/>
        </w:rPr>
        <w:t>naumanni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游隼</w:t>
      </w:r>
      <w:r>
        <w:rPr>
          <w:rFonts w:hint="default" w:ascii="Times New Roman" w:hAnsi="Times New Roman" w:eastAsia="宋体" w:cs="Times New Roman"/>
          <w:i/>
          <w:iCs/>
          <w:color w:val="auto"/>
          <w:highlight w:val="none"/>
        </w:rPr>
        <w:t>Falco peregrinus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红隼</w:t>
      </w:r>
      <w:r>
        <w:rPr>
          <w:rFonts w:hint="default" w:ascii="Times New Roman" w:hAnsi="Times New Roman" w:eastAsia="宋体" w:cs="Times New Roman"/>
          <w:i/>
          <w:iCs/>
          <w:color w:val="auto"/>
          <w:highlight w:val="none"/>
        </w:rPr>
        <w:t>Falco tinnunculus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白琵鹭</w:t>
      </w:r>
      <w:r>
        <w:rPr>
          <w:rFonts w:hint="default" w:ascii="Times New Roman" w:hAnsi="Times New Roman" w:eastAsia="宋体" w:cs="Times New Roman"/>
          <w:i/>
          <w:iCs/>
          <w:color w:val="auto"/>
          <w:highlight w:val="none"/>
        </w:rPr>
        <w:t>Platalea leucorodia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仓鸮</w:t>
      </w:r>
      <w:r>
        <w:rPr>
          <w:rFonts w:hint="default" w:ascii="Times New Roman" w:hAnsi="Times New Roman" w:eastAsia="宋体" w:cs="Times New Roman"/>
          <w:i/>
          <w:iCs/>
          <w:color w:val="auto"/>
          <w:highlight w:val="none"/>
        </w:rPr>
        <w:t>Tyto javanica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 xml:space="preserve">褐林鸮Strix </w:t>
      </w:r>
      <w:r>
        <w:rPr>
          <w:rFonts w:hint="default" w:ascii="Times New Roman" w:hAnsi="Times New Roman" w:eastAsia="宋体" w:cs="Times New Roman"/>
          <w:i/>
          <w:iCs/>
          <w:color w:val="auto"/>
          <w:highlight w:val="none"/>
        </w:rPr>
        <w:t>leptogrammica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黄嘴角鸮</w:t>
      </w:r>
      <w:r>
        <w:rPr>
          <w:rFonts w:hint="default" w:ascii="Times New Roman" w:hAnsi="Times New Roman" w:eastAsia="宋体" w:cs="Times New Roman"/>
          <w:i/>
          <w:iCs/>
          <w:color w:val="auto"/>
          <w:highlight w:val="none"/>
        </w:rPr>
        <w:t>Otus spilocephalus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领鸺鹠</w:t>
      </w:r>
      <w:r>
        <w:rPr>
          <w:rFonts w:hint="default" w:ascii="Times New Roman" w:hAnsi="Times New Roman" w:eastAsia="宋体" w:cs="Times New Roman"/>
          <w:i/>
          <w:iCs/>
          <w:color w:val="auto"/>
          <w:highlight w:val="none"/>
        </w:rPr>
        <w:t>Glaucidium brodiei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褐渔鸮</w:t>
      </w:r>
      <w:r>
        <w:rPr>
          <w:rFonts w:hint="default" w:ascii="Times New Roman" w:hAnsi="Times New Roman" w:eastAsia="宋体" w:cs="Times New Roman"/>
          <w:i/>
          <w:iCs/>
          <w:color w:val="auto"/>
          <w:highlight w:val="none"/>
        </w:rPr>
        <w:t>Ketupa zeylonensis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领角鸮</w:t>
      </w:r>
      <w:r>
        <w:rPr>
          <w:rFonts w:hint="default" w:ascii="Times New Roman" w:hAnsi="Times New Roman" w:eastAsia="宋体" w:cs="Times New Roman"/>
          <w:i/>
          <w:iCs/>
          <w:color w:val="auto"/>
          <w:highlight w:val="none"/>
        </w:rPr>
        <w:t xml:space="preserve">Otus </w:t>
      </w:r>
      <w:r>
        <w:rPr>
          <w:rFonts w:hint="default" w:ascii="Times New Roman" w:hAnsi="Times New Roman" w:cs="Times New Roman"/>
          <w:color w:val="auto"/>
          <w:highlight w:val="none"/>
        </w:rPr>
        <w:t>lettia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草鸮</w:t>
      </w:r>
      <w:r>
        <w:rPr>
          <w:rFonts w:hint="default" w:ascii="Times New Roman" w:hAnsi="Times New Roman" w:eastAsia="宋体" w:cs="Times New Roman"/>
          <w:i/>
          <w:iCs/>
          <w:color w:val="auto"/>
          <w:highlight w:val="none"/>
        </w:rPr>
        <w:t>Tyto longimembris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斑头鸺鹠</w:t>
      </w:r>
      <w:r>
        <w:rPr>
          <w:rFonts w:hint="default" w:ascii="Times New Roman" w:hAnsi="Times New Roman" w:eastAsia="宋体" w:cs="Times New Roman"/>
          <w:i/>
          <w:iCs/>
          <w:color w:val="auto"/>
          <w:highlight w:val="none"/>
        </w:rPr>
        <w:t>Glaucidium cuculoides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灰林鸮</w:t>
      </w:r>
      <w:r>
        <w:rPr>
          <w:rFonts w:hint="default" w:ascii="Times New Roman" w:hAnsi="Times New Roman" w:eastAsia="宋体" w:cs="Times New Roman"/>
          <w:i/>
          <w:iCs/>
          <w:color w:val="auto"/>
          <w:highlight w:val="none"/>
        </w:rPr>
        <w:t xml:space="preserve">Strix </w:t>
      </w:r>
      <w:r>
        <w:rPr>
          <w:rFonts w:hint="default" w:ascii="Times New Roman" w:hAnsi="Times New Roman" w:cs="Times New Roman"/>
          <w:i/>
          <w:iCs/>
          <w:color w:val="auto"/>
          <w:highlight w:val="none"/>
        </w:rPr>
        <w:t>nivicolum</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鸳鸯</w:t>
      </w:r>
      <w:r>
        <w:rPr>
          <w:rFonts w:hint="default" w:ascii="Times New Roman" w:hAnsi="Times New Roman" w:cs="Times New Roman"/>
          <w:i/>
          <w:iCs/>
          <w:color w:val="auto"/>
          <w:highlight w:val="none"/>
        </w:rPr>
        <w:t>Aix galericulata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白头鹞</w:t>
      </w:r>
      <w:r>
        <w:rPr>
          <w:rFonts w:hint="default" w:ascii="Times New Roman" w:hAnsi="Times New Roman" w:eastAsia="宋体" w:cs="Times New Roman"/>
          <w:i/>
          <w:iCs/>
          <w:color w:val="auto"/>
          <w:highlight w:val="none"/>
        </w:rPr>
        <w:t>Circus aeruginosus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赤腹鹰</w:t>
      </w:r>
      <w:r>
        <w:rPr>
          <w:rFonts w:hint="default" w:ascii="Times New Roman" w:hAnsi="Times New Roman" w:eastAsia="宋体" w:cs="Times New Roman"/>
          <w:i/>
          <w:iCs/>
          <w:color w:val="auto"/>
          <w:highlight w:val="none"/>
        </w:rPr>
        <w:t xml:space="preserve">Accipiter </w:t>
      </w:r>
      <w:r>
        <w:rPr>
          <w:rFonts w:hint="default" w:ascii="Times New Roman" w:hAnsi="Times New Roman" w:cs="Times New Roman"/>
          <w:i/>
          <w:iCs/>
          <w:color w:val="auto"/>
          <w:highlight w:val="none"/>
        </w:rPr>
        <w:t>soloensis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黑鸢</w:t>
      </w:r>
      <w:r>
        <w:rPr>
          <w:rFonts w:hint="default" w:ascii="Times New Roman" w:hAnsi="Times New Roman" w:cs="Times New Roman"/>
          <w:i/>
          <w:iCs/>
          <w:color w:val="auto"/>
          <w:highlight w:val="none"/>
        </w:rPr>
        <w:t>Milvus migrans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栗鸢</w:t>
      </w:r>
      <w:r>
        <w:rPr>
          <w:rFonts w:hint="default" w:ascii="Times New Roman" w:hAnsi="Times New Roman" w:cs="Times New Roman"/>
          <w:i/>
          <w:iCs/>
          <w:color w:val="auto"/>
          <w:highlight w:val="none"/>
        </w:rPr>
        <w:t>Haliastur indus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日本松雀鹰</w:t>
      </w:r>
      <w:r>
        <w:rPr>
          <w:rFonts w:hint="default" w:ascii="Times New Roman" w:hAnsi="Times New Roman" w:cs="Times New Roman"/>
          <w:i/>
          <w:iCs/>
          <w:color w:val="auto"/>
          <w:highlight w:val="none"/>
        </w:rPr>
        <w:t>Accipiter gularis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蛇雕</w:t>
      </w:r>
      <w:r>
        <w:rPr>
          <w:rFonts w:hint="default" w:ascii="Times New Roman" w:hAnsi="Times New Roman" w:cs="Times New Roman"/>
          <w:i/>
          <w:iCs/>
          <w:color w:val="auto"/>
          <w:highlight w:val="none"/>
        </w:rPr>
        <w:t>Spilornis cheela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苍鹰</w:t>
      </w:r>
      <w:r>
        <w:rPr>
          <w:rFonts w:hint="default" w:ascii="Times New Roman" w:hAnsi="Times New Roman" w:cs="Times New Roman"/>
          <w:i/>
          <w:iCs/>
          <w:color w:val="auto"/>
          <w:highlight w:val="none"/>
        </w:rPr>
        <w:t>Accipiter gentilis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鹊鹞</w:t>
      </w:r>
      <w:r>
        <w:rPr>
          <w:rFonts w:hint="default" w:ascii="Times New Roman" w:hAnsi="Times New Roman" w:cs="Times New Roman"/>
          <w:i/>
          <w:iCs/>
          <w:color w:val="auto"/>
          <w:highlight w:val="none"/>
        </w:rPr>
        <w:t>Circus melanoleucos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凤头蜂鹰</w:t>
      </w:r>
      <w:r>
        <w:rPr>
          <w:rFonts w:hint="default" w:ascii="Times New Roman" w:hAnsi="Times New Roman" w:cs="Times New Roman"/>
          <w:i/>
          <w:iCs/>
          <w:color w:val="auto"/>
          <w:highlight w:val="none"/>
        </w:rPr>
        <w:t>Pernis ptilorhynchus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白腹鹞</w:t>
      </w:r>
      <w:r>
        <w:rPr>
          <w:rFonts w:hint="default" w:ascii="Times New Roman" w:hAnsi="Times New Roman" w:cs="Times New Roman"/>
          <w:i/>
          <w:iCs/>
          <w:color w:val="auto"/>
          <w:highlight w:val="none"/>
        </w:rPr>
        <w:t>Circus spilonotus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凤头鹰</w:t>
      </w:r>
      <w:r>
        <w:rPr>
          <w:rFonts w:hint="default" w:ascii="Times New Roman" w:hAnsi="Times New Roman" w:cs="Times New Roman"/>
          <w:i/>
          <w:iCs/>
          <w:color w:val="auto"/>
          <w:highlight w:val="none"/>
        </w:rPr>
        <w:t>Accipiter trivirgatus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雀鹰</w:t>
      </w:r>
      <w:r>
        <w:rPr>
          <w:rFonts w:hint="default" w:ascii="Times New Roman" w:hAnsi="Times New Roman" w:cs="Times New Roman"/>
          <w:i/>
          <w:iCs/>
          <w:color w:val="auto"/>
          <w:highlight w:val="none"/>
        </w:rPr>
        <w:t>Accipiter nisus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黑翅鸢</w:t>
      </w:r>
      <w:r>
        <w:rPr>
          <w:rFonts w:hint="default" w:ascii="Times New Roman" w:hAnsi="Times New Roman" w:cs="Times New Roman"/>
          <w:i/>
          <w:iCs/>
          <w:color w:val="auto"/>
          <w:highlight w:val="none"/>
        </w:rPr>
        <w:t>Elanus caeruleus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白尾鹞</w:t>
      </w:r>
      <w:r>
        <w:rPr>
          <w:rFonts w:hint="default" w:ascii="Times New Roman" w:hAnsi="Times New Roman" w:cs="Times New Roman"/>
          <w:i/>
          <w:iCs/>
          <w:color w:val="auto"/>
          <w:highlight w:val="none"/>
        </w:rPr>
        <w:t>Circus cyaneus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松雀鹰</w:t>
      </w:r>
      <w:r>
        <w:rPr>
          <w:rFonts w:hint="default" w:ascii="Times New Roman" w:hAnsi="Times New Roman" w:cs="Times New Roman"/>
          <w:i/>
          <w:iCs/>
          <w:color w:val="auto"/>
          <w:highlight w:val="none"/>
        </w:rPr>
        <w:t>Accipiter virgatus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普通鵟</w:t>
      </w:r>
      <w:r>
        <w:rPr>
          <w:rFonts w:hint="default" w:ascii="Times New Roman" w:hAnsi="Times New Roman" w:cs="Times New Roman"/>
          <w:i/>
          <w:iCs/>
          <w:color w:val="auto"/>
          <w:highlight w:val="none"/>
        </w:rPr>
        <w:t>Buteo japonicus</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省级</w:t>
      </w:r>
      <w:r>
        <w:rPr>
          <w:rFonts w:hint="default" w:ascii="Times New Roman" w:hAnsi="Times New Roman" w:cs="Times New Roman"/>
          <w:color w:val="auto"/>
          <w:highlight w:val="none"/>
        </w:rPr>
        <w:t>重点保护鸟类1种，即中华鹧鸪</w:t>
      </w:r>
      <w:r>
        <w:rPr>
          <w:rFonts w:hint="default" w:ascii="Times New Roman" w:hAnsi="Times New Roman" w:cs="Times New Roman"/>
          <w:i/>
          <w:iCs/>
          <w:color w:val="auto"/>
          <w:highlight w:val="none"/>
        </w:rPr>
        <w:t>Francolinus pintadeanus</w:t>
      </w:r>
      <w:r>
        <w:rPr>
          <w:rFonts w:hint="default" w:ascii="Times New Roman" w:hAnsi="Times New Roman" w:cs="Times New Roman"/>
          <w:i w:val="0"/>
          <w:iCs w:val="0"/>
          <w:color w:val="auto"/>
          <w:highlight w:val="none"/>
          <w:lang w:eastAsia="zh-CN"/>
        </w:rPr>
        <w:t>。</w:t>
      </w:r>
    </w:p>
    <w:p w14:paraId="7B0A9F24">
      <w:pPr>
        <w:pStyle w:val="37"/>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《中国生物多样性红色名录》中列入“极危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CR</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”的有1种，即白鹤，列入“濒危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EN</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种，即东方白鹳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褐渔鸮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中华秋沙鸭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白肩雕；列入“易危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VU</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种，即黑鹳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黑颈长尾雉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中华鹧鸪</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黄爪隼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栗鸢；列入“近危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NT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w:t>
      </w:r>
      <w:r>
        <w:rPr>
          <w:rFonts w:hint="default" w:ascii="Times New Roman" w:hAnsi="Times New Roman" w:cs="Times New Roman"/>
          <w:color w:val="auto"/>
          <w:highlight w:val="none"/>
          <w:lang w:val="en-US" w:eastAsia="zh-CN"/>
        </w:rPr>
        <w:t>38</w:t>
      </w:r>
      <w:r>
        <w:rPr>
          <w:rFonts w:hint="default" w:ascii="Times New Roman" w:hAnsi="Times New Roman" w:cs="Times New Roman"/>
          <w:color w:val="auto"/>
          <w:highlight w:val="none"/>
        </w:rPr>
        <w:t>种，即灰鹤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水雉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白腹锦鸡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黑颈䴙䴘</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滇䴓</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蓝绿鹊</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眼纹噪鹛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画眉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灰背隼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游隼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白琵鹭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仓鸮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褐林鸮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黄嘴角鸮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草鸮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灰林鸮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鸳鸯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白头鹞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蛇雕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苍鹰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鹊鹞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凤头蜂鹰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白腹鹞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黑翅鸢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白尾鹞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宝兴歌鸫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冠鱼狗</w:t>
      </w:r>
      <w:r>
        <w:rPr>
          <w:rFonts w:hint="default" w:ascii="Times New Roman" w:hAnsi="Times New Roman" w:cs="Times New Roman"/>
          <w:i/>
          <w:iCs/>
          <w:color w:val="auto"/>
          <w:highlight w:val="none"/>
        </w:rPr>
        <w:t>Megaceryle lugubris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棕胸佛法僧</w:t>
      </w:r>
      <w:r>
        <w:rPr>
          <w:rFonts w:hint="default" w:ascii="Times New Roman" w:hAnsi="Times New Roman" w:cs="Times New Roman"/>
          <w:i/>
          <w:iCs/>
          <w:color w:val="auto"/>
          <w:highlight w:val="none"/>
        </w:rPr>
        <w:t>Coracias affinis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董鸡</w:t>
      </w:r>
      <w:r>
        <w:rPr>
          <w:rFonts w:hint="default" w:ascii="Times New Roman" w:hAnsi="Times New Roman" w:cs="Times New Roman"/>
          <w:i/>
          <w:iCs/>
          <w:color w:val="auto"/>
          <w:highlight w:val="none"/>
        </w:rPr>
        <w:t>Gallicrex cinerea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红胸田鸡</w:t>
      </w:r>
      <w:r>
        <w:rPr>
          <w:rFonts w:hint="default" w:ascii="Times New Roman" w:hAnsi="Times New Roman" w:cs="Times New Roman"/>
          <w:i/>
          <w:iCs/>
          <w:color w:val="auto"/>
          <w:highlight w:val="none"/>
        </w:rPr>
        <w:t>Zapornia fusca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白颈鸦</w:t>
      </w:r>
      <w:r>
        <w:rPr>
          <w:rFonts w:hint="default" w:ascii="Times New Roman" w:hAnsi="Times New Roman" w:cs="Times New Roman"/>
          <w:i/>
          <w:iCs/>
          <w:color w:val="auto"/>
          <w:highlight w:val="none"/>
        </w:rPr>
        <w:t>Corvus pectoralis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寿带</w:t>
      </w:r>
      <w:r>
        <w:rPr>
          <w:rFonts w:hint="default" w:ascii="Times New Roman" w:hAnsi="Times New Roman" w:cs="Times New Roman"/>
          <w:i/>
          <w:iCs/>
          <w:color w:val="auto"/>
          <w:highlight w:val="none"/>
        </w:rPr>
        <w:t>Terpsiphone incei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黑背燕尾</w:t>
      </w:r>
      <w:r>
        <w:rPr>
          <w:rFonts w:hint="default" w:ascii="Times New Roman" w:hAnsi="Times New Roman" w:cs="Times New Roman"/>
          <w:i/>
          <w:iCs/>
          <w:color w:val="auto"/>
          <w:highlight w:val="none"/>
        </w:rPr>
        <w:t>Enicurus immaculatus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栗背伯劳</w:t>
      </w:r>
      <w:r>
        <w:rPr>
          <w:rFonts w:hint="default" w:ascii="Times New Roman" w:hAnsi="Times New Roman" w:cs="Times New Roman"/>
          <w:i/>
          <w:iCs/>
          <w:color w:val="auto"/>
          <w:highlight w:val="none"/>
        </w:rPr>
        <w:t>Lanius collurioides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白眼潜鸭</w:t>
      </w:r>
      <w:r>
        <w:rPr>
          <w:rFonts w:hint="default" w:ascii="Times New Roman" w:hAnsi="Times New Roman" w:cs="Times New Roman"/>
          <w:i/>
          <w:iCs/>
          <w:color w:val="auto"/>
          <w:highlight w:val="none"/>
        </w:rPr>
        <w:t>Aythya nyroca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罗纹鸭</w:t>
      </w:r>
      <w:r>
        <w:rPr>
          <w:rFonts w:hint="default" w:ascii="Times New Roman" w:hAnsi="Times New Roman" w:cs="Times New Roman"/>
          <w:i/>
          <w:iCs/>
          <w:color w:val="auto"/>
          <w:highlight w:val="none"/>
        </w:rPr>
        <w:t>Mareca falcata</w:t>
      </w:r>
      <w:r>
        <w:rPr>
          <w:rFonts w:hint="default" w:ascii="Times New Roman" w:hAnsi="Times New Roman" w:cs="Times New Roman"/>
          <w:color w:val="auto"/>
          <w:highlight w:val="none"/>
          <w:lang w:eastAsia="zh-CN"/>
        </w:rPr>
        <w:t>。</w:t>
      </w:r>
    </w:p>
    <w:p w14:paraId="0EA34C24">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有中国特有种</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种，即滇䴓</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橙翅噪鹛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宝兴歌鸫、黄腹山雀</w:t>
      </w:r>
      <w:r>
        <w:rPr>
          <w:rFonts w:hint="default" w:ascii="Times New Roman" w:hAnsi="Times New Roman" w:cs="Times New Roman"/>
          <w:i/>
          <w:iCs/>
          <w:color w:val="auto"/>
          <w:highlight w:val="none"/>
        </w:rPr>
        <w:t>Pardaliparus venustulus</w:t>
      </w:r>
      <w:r>
        <w:rPr>
          <w:rFonts w:hint="default" w:ascii="Times New Roman" w:hAnsi="Times New Roman" w:cs="Times New Roman"/>
          <w:color w:val="auto"/>
          <w:highlight w:val="none"/>
        </w:rPr>
        <w:t>。</w:t>
      </w:r>
    </w:p>
    <w:p w14:paraId="012DC038">
      <w:pPr>
        <w:pStyle w:val="3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B.区系类型</w:t>
      </w:r>
      <w:r>
        <w:rPr>
          <w:rFonts w:hint="default" w:ascii="Times New Roman" w:hAnsi="Times New Roman" w:cs="Times New Roman"/>
          <w:color w:val="auto"/>
          <w:highlight w:val="none"/>
          <w:lang w:val="en-US" w:eastAsia="zh-CN"/>
        </w:rPr>
        <w:t>和</w:t>
      </w:r>
      <w:r>
        <w:rPr>
          <w:rFonts w:hint="default" w:ascii="Times New Roman" w:hAnsi="Times New Roman" w:cs="Times New Roman"/>
          <w:color w:val="auto"/>
          <w:highlight w:val="none"/>
        </w:rPr>
        <w:t>居留型</w:t>
      </w:r>
    </w:p>
    <w:p w14:paraId="76ECBCDA">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鸟类区系类型，是指以鸟类在自然条件下的繁殖分布区所属的世界动物地理区划为依据，对鸟类进行地理归属划分后形成的区系成分类型。</w:t>
      </w:r>
      <w:r>
        <w:rPr>
          <w:rFonts w:hint="default" w:ascii="Times New Roman" w:hAnsi="Times New Roman" w:cs="Times New Roman"/>
          <w:color w:val="auto"/>
          <w:highlight w:val="none"/>
        </w:rPr>
        <w:t>在评价区内的</w:t>
      </w:r>
      <w:r>
        <w:rPr>
          <w:rFonts w:hint="default" w:ascii="Times New Roman" w:hAnsi="Times New Roman" w:cs="Times New Roman"/>
          <w:color w:val="auto"/>
          <w:highlight w:val="none"/>
          <w:lang w:val="en-US" w:eastAsia="zh-CN"/>
        </w:rPr>
        <w:t>379</w:t>
      </w:r>
      <w:r>
        <w:rPr>
          <w:rFonts w:hint="default" w:ascii="Times New Roman" w:hAnsi="Times New Roman" w:cs="Times New Roman"/>
          <w:color w:val="auto"/>
          <w:highlight w:val="none"/>
        </w:rPr>
        <w:t>种鸟类中，东洋种有</w:t>
      </w:r>
      <w:r>
        <w:rPr>
          <w:rFonts w:hint="default" w:ascii="Times New Roman" w:hAnsi="Times New Roman" w:cs="Times New Roman"/>
          <w:color w:val="auto"/>
          <w:highlight w:val="none"/>
          <w:lang w:val="en-US" w:eastAsia="zh-CN"/>
        </w:rPr>
        <w:t>197</w:t>
      </w:r>
      <w:r>
        <w:rPr>
          <w:rFonts w:hint="default" w:ascii="Times New Roman" w:hAnsi="Times New Roman" w:cs="Times New Roman"/>
          <w:color w:val="auto"/>
          <w:highlight w:val="none"/>
        </w:rPr>
        <w:t>种，占</w:t>
      </w:r>
      <w:r>
        <w:rPr>
          <w:rFonts w:hint="default" w:ascii="Times New Roman" w:hAnsi="Times New Roman" w:cs="Times New Roman"/>
          <w:color w:val="auto"/>
          <w:highlight w:val="none"/>
          <w:lang w:val="en-US" w:eastAsia="zh-CN"/>
        </w:rPr>
        <w:t>52.0</w:t>
      </w:r>
      <w:r>
        <w:rPr>
          <w:rFonts w:hint="default" w:ascii="Times New Roman" w:hAnsi="Times New Roman" w:cs="Times New Roman"/>
          <w:color w:val="auto"/>
          <w:highlight w:val="none"/>
        </w:rPr>
        <w:t>%；古北种有</w:t>
      </w:r>
      <w:r>
        <w:rPr>
          <w:rFonts w:hint="default" w:ascii="Times New Roman" w:hAnsi="Times New Roman" w:cs="Times New Roman"/>
          <w:color w:val="auto"/>
          <w:highlight w:val="none"/>
          <w:lang w:val="en-US" w:eastAsia="zh-CN"/>
        </w:rPr>
        <w:t>81</w:t>
      </w:r>
      <w:r>
        <w:rPr>
          <w:rFonts w:hint="default" w:ascii="Times New Roman" w:hAnsi="Times New Roman" w:cs="Times New Roman"/>
          <w:color w:val="auto"/>
          <w:highlight w:val="none"/>
        </w:rPr>
        <w:t>种，占2</w:t>
      </w:r>
      <w:r>
        <w:rPr>
          <w:rFonts w:hint="default" w:ascii="Times New Roman" w:hAnsi="Times New Roman" w:cs="Times New Roman"/>
          <w:color w:val="auto"/>
          <w:highlight w:val="none"/>
          <w:lang w:val="en-US" w:eastAsia="zh-CN"/>
        </w:rPr>
        <w:t>1.4</w:t>
      </w:r>
      <w:r>
        <w:rPr>
          <w:rFonts w:hint="default" w:ascii="Times New Roman" w:hAnsi="Times New Roman" w:cs="Times New Roman"/>
          <w:color w:val="auto"/>
          <w:highlight w:val="none"/>
        </w:rPr>
        <w:t>%；广布种有</w:t>
      </w:r>
      <w:r>
        <w:rPr>
          <w:rFonts w:hint="default" w:ascii="Times New Roman" w:hAnsi="Times New Roman" w:cs="Times New Roman"/>
          <w:color w:val="auto"/>
          <w:highlight w:val="none"/>
          <w:lang w:val="en-US" w:eastAsia="zh-CN"/>
        </w:rPr>
        <w:t>101</w:t>
      </w:r>
      <w:r>
        <w:rPr>
          <w:rFonts w:hint="default" w:ascii="Times New Roman" w:hAnsi="Times New Roman" w:cs="Times New Roman"/>
          <w:color w:val="auto"/>
          <w:highlight w:val="none"/>
        </w:rPr>
        <w:t>种，占</w:t>
      </w:r>
      <w:r>
        <w:rPr>
          <w:rFonts w:hint="default" w:ascii="Times New Roman" w:hAnsi="Times New Roman" w:cs="Times New Roman"/>
          <w:color w:val="auto"/>
          <w:highlight w:val="none"/>
          <w:lang w:val="en-US" w:eastAsia="zh-CN"/>
        </w:rPr>
        <w:t>26.6</w:t>
      </w:r>
      <w:r>
        <w:rPr>
          <w:rFonts w:hint="default" w:ascii="Times New Roman" w:hAnsi="Times New Roman" w:cs="Times New Roman"/>
          <w:color w:val="auto"/>
          <w:highlight w:val="none"/>
        </w:rPr>
        <w:t>%。</w:t>
      </w:r>
    </w:p>
    <w:p w14:paraId="3F078D14">
      <w:pPr>
        <w:pStyle w:val="37"/>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在评价区内的</w:t>
      </w:r>
      <w:r>
        <w:rPr>
          <w:rFonts w:hint="default" w:ascii="Times New Roman" w:hAnsi="Times New Roman" w:cs="Times New Roman"/>
          <w:color w:val="auto"/>
          <w:highlight w:val="none"/>
          <w:lang w:val="en-US" w:eastAsia="zh-CN"/>
        </w:rPr>
        <w:t>379</w:t>
      </w:r>
      <w:r>
        <w:rPr>
          <w:rFonts w:hint="default" w:ascii="Times New Roman" w:hAnsi="Times New Roman" w:cs="Times New Roman"/>
          <w:color w:val="auto"/>
          <w:highlight w:val="none"/>
        </w:rPr>
        <w:t>种鸟类中，</w:t>
      </w:r>
      <w:r>
        <w:rPr>
          <w:rFonts w:hint="default" w:ascii="Times New Roman" w:hAnsi="Times New Roman" w:cs="Times New Roman"/>
          <w:color w:val="auto"/>
          <w:highlight w:val="none"/>
          <w:lang w:val="en-US" w:eastAsia="zh-CN"/>
        </w:rPr>
        <w:t>留鸟223种，夏候鸟38种，冬候鸟或旅鸟118种，</w:t>
      </w:r>
      <w:r>
        <w:rPr>
          <w:rFonts w:hint="default" w:ascii="Times New Roman" w:hAnsi="Times New Roman" w:cs="Times New Roman"/>
          <w:color w:val="auto"/>
          <w:highlight w:val="none"/>
        </w:rPr>
        <w:t>以评价区内的留鸟种数为基准</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冬候鸟或旅鸟</w:t>
      </w:r>
      <w:r>
        <w:rPr>
          <w:rFonts w:hint="default" w:ascii="Times New Roman" w:hAnsi="Times New Roman" w:cs="Times New Roman"/>
          <w:color w:val="auto"/>
          <w:highlight w:val="none"/>
          <w:lang w:val="en-US" w:eastAsia="zh-CN"/>
        </w:rPr>
        <w:t>占52.91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夏候鸟</w:t>
      </w:r>
      <w:r>
        <w:rPr>
          <w:rFonts w:hint="default" w:ascii="Times New Roman" w:hAnsi="Times New Roman" w:cs="Times New Roman"/>
          <w:color w:val="auto"/>
          <w:highlight w:val="none"/>
          <w:lang w:val="en-US" w:eastAsia="zh-CN"/>
        </w:rPr>
        <w:t>占</w:t>
      </w:r>
      <w:r>
        <w:rPr>
          <w:rFonts w:hint="default" w:ascii="Times New Roman" w:hAnsi="Times New Roman" w:cs="Times New Roman"/>
          <w:color w:val="auto"/>
          <w:highlight w:val="none"/>
        </w:rPr>
        <w:t>17.</w:t>
      </w:r>
      <w:r>
        <w:rPr>
          <w:rFonts w:hint="default" w:ascii="Times New Roman" w:hAnsi="Times New Roman" w:cs="Times New Roman"/>
          <w:color w:val="auto"/>
          <w:highlight w:val="none"/>
          <w:lang w:val="en-US" w:eastAsia="zh-CN"/>
        </w:rPr>
        <w:t>04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冬候鸟</w:t>
      </w:r>
      <w:r>
        <w:rPr>
          <w:rFonts w:hint="default" w:ascii="Times New Roman" w:hAnsi="Times New Roman" w:cs="Times New Roman"/>
          <w:color w:val="auto"/>
          <w:highlight w:val="none"/>
          <w:lang w:val="en-US" w:eastAsia="zh-CN"/>
        </w:rPr>
        <w:t>占</w:t>
      </w:r>
      <w:r>
        <w:rPr>
          <w:rFonts w:hint="default" w:ascii="Times New Roman" w:hAnsi="Times New Roman" w:cs="Times New Roman"/>
          <w:color w:val="auto"/>
          <w:highlight w:val="none"/>
        </w:rPr>
        <w:t>4</w:t>
      </w:r>
      <w:r>
        <w:rPr>
          <w:rFonts w:hint="default" w:ascii="Times New Roman" w:hAnsi="Times New Roman" w:cs="Times New Roman"/>
          <w:color w:val="auto"/>
          <w:highlight w:val="none"/>
          <w:lang w:val="en-US" w:eastAsia="zh-CN"/>
        </w:rPr>
        <w:t>4.84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p>
    <w:p w14:paraId="21DECC3C">
      <w:pPr>
        <w:pStyle w:val="3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叠加鸟类区系类型分析，223种留鸟中有东洋界物种173种、广布种45种、古北界5种（均为</w:t>
      </w:r>
      <w:r>
        <w:rPr>
          <w:rFonts w:hint="default" w:ascii="Times New Roman" w:hAnsi="Times New Roman" w:eastAsia="Segoe UI" w:cs="Times New Roman"/>
          <w:i w:val="0"/>
          <w:iCs w:val="0"/>
          <w:caps w:val="0"/>
          <w:color w:val="auto"/>
          <w:spacing w:val="0"/>
          <w:sz w:val="24"/>
          <w:szCs w:val="24"/>
          <w:highlight w:val="none"/>
          <w:shd w:val="clear" w:fill="FFFFFF"/>
        </w:rPr>
        <w:t>垂直迁徙型留鸟</w:t>
      </w:r>
      <w:r>
        <w:rPr>
          <w:rFonts w:hint="default" w:ascii="Times New Roman" w:hAnsi="Times New Roman" w:cs="Times New Roman"/>
          <w:color w:val="auto"/>
          <w:highlight w:val="none"/>
          <w:lang w:val="en-US" w:eastAsia="zh-CN"/>
        </w:rPr>
        <w:t>）；38种夏候鸟中有东洋界物种23种，广布种15种，无古北界物种；118种</w:t>
      </w:r>
      <w:r>
        <w:rPr>
          <w:rFonts w:hint="default" w:ascii="Times New Roman" w:hAnsi="Times New Roman" w:cs="Times New Roman"/>
          <w:color w:val="auto"/>
          <w:highlight w:val="none"/>
        </w:rPr>
        <w:t>冬候鸟或旅鸟</w:t>
      </w:r>
      <w:r>
        <w:rPr>
          <w:rFonts w:hint="default" w:ascii="Times New Roman" w:hAnsi="Times New Roman" w:cs="Times New Roman"/>
          <w:color w:val="auto"/>
          <w:highlight w:val="none"/>
          <w:lang w:val="en-US" w:eastAsia="zh-CN"/>
        </w:rPr>
        <w:t>中有古北界物种76种，广布种41种，东洋界物种1种。从区系成分所占比例看，东洋界成分在全部鸟类中占明显优势；若仅统计繁殖鸟类，则东洋界成分占绝对优势，达75.1%。这与项目所在地的位置和鸟类区系特点相吻合。</w:t>
      </w:r>
    </w:p>
    <w:p w14:paraId="66927F60">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C</w:t>
      </w:r>
      <w:r>
        <w:rPr>
          <w:rFonts w:hint="default" w:ascii="Times New Roman" w:hAnsi="Times New Roman" w:cs="Times New Roman"/>
          <w:color w:val="auto"/>
          <w:highlight w:val="none"/>
        </w:rPr>
        <w:t>.生态类型</w:t>
      </w:r>
    </w:p>
    <w:p w14:paraId="4CA5B9D8">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按生活习性的不同，可以将评价区内的鸟类分为以下六类：</w:t>
      </w:r>
    </w:p>
    <w:p w14:paraId="46832E06">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游禽（脚向后伸，趾间有蹼，有扁阔的或尖嘴，善于游泳、潜水和在水中掏取食物）：共27种，包括鲣鸟目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鸻形目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䴙䴘目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雁形目的部分种类，具体种类为黑颈䴙䴘</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中华秋沙鸭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鸳鸯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白眼潜鸭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罗纹鸭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红嘴鸥</w:t>
      </w:r>
      <w:r>
        <w:rPr>
          <w:rFonts w:hint="default" w:ascii="Times New Roman" w:hAnsi="Times New Roman" w:cs="Times New Roman"/>
          <w:i/>
          <w:iCs/>
          <w:color w:val="auto"/>
          <w:highlight w:val="none"/>
        </w:rPr>
        <w:t>Chroicocephalus ridibundus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棕头鸥</w:t>
      </w:r>
      <w:r>
        <w:rPr>
          <w:rFonts w:hint="default" w:ascii="Times New Roman" w:hAnsi="Times New Roman" w:cs="Times New Roman"/>
          <w:i/>
          <w:iCs/>
          <w:color w:val="auto"/>
          <w:highlight w:val="none"/>
        </w:rPr>
        <w:t>Chroicocephalus brunnicephalus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普通鸬鹚</w:t>
      </w:r>
      <w:r>
        <w:rPr>
          <w:rFonts w:hint="default" w:ascii="Times New Roman" w:hAnsi="Times New Roman" w:cs="Times New Roman"/>
          <w:i/>
          <w:iCs/>
          <w:color w:val="auto"/>
          <w:highlight w:val="none"/>
        </w:rPr>
        <w:t>Phalacrocorax carbo</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凤头䴙䴘</w:t>
      </w:r>
      <w:r>
        <w:rPr>
          <w:rFonts w:hint="default" w:ascii="Times New Roman" w:hAnsi="Times New Roman" w:cs="Times New Roman"/>
          <w:i/>
          <w:iCs/>
          <w:color w:val="auto"/>
          <w:highlight w:val="none"/>
        </w:rPr>
        <w:t>Podiceps cristatus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小䴙䴘</w:t>
      </w:r>
      <w:r>
        <w:rPr>
          <w:rFonts w:hint="default" w:ascii="Times New Roman" w:hAnsi="Times New Roman" w:cs="Times New Roman"/>
          <w:i/>
          <w:iCs/>
          <w:color w:val="auto"/>
          <w:highlight w:val="none"/>
        </w:rPr>
        <w:t>Tachybaptus ruficollis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白眉鸭</w:t>
      </w:r>
      <w:r>
        <w:rPr>
          <w:rFonts w:hint="default" w:ascii="Times New Roman" w:hAnsi="Times New Roman" w:cs="Times New Roman"/>
          <w:i/>
          <w:iCs/>
          <w:color w:val="auto"/>
          <w:highlight w:val="none"/>
        </w:rPr>
        <w:t>Spatula querquedula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凤头潜鸭</w:t>
      </w:r>
      <w:r>
        <w:rPr>
          <w:rFonts w:hint="default" w:ascii="Times New Roman" w:hAnsi="Times New Roman" w:cs="Times New Roman"/>
          <w:i/>
          <w:iCs/>
          <w:color w:val="auto"/>
          <w:highlight w:val="none"/>
        </w:rPr>
        <w:t>Aythya fuligula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南亚斑嘴鸭</w:t>
      </w:r>
      <w:r>
        <w:rPr>
          <w:rFonts w:hint="default" w:ascii="Times New Roman" w:hAnsi="Times New Roman" w:cs="Times New Roman"/>
          <w:i/>
          <w:iCs/>
          <w:color w:val="auto"/>
          <w:highlight w:val="none"/>
        </w:rPr>
        <w:t>Anas poecilorhyncha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翘鼻麻鸭</w:t>
      </w:r>
      <w:r>
        <w:rPr>
          <w:rFonts w:hint="default" w:ascii="Times New Roman" w:hAnsi="Times New Roman" w:cs="Times New Roman"/>
          <w:i/>
          <w:iCs/>
          <w:color w:val="auto"/>
          <w:highlight w:val="none"/>
        </w:rPr>
        <w:t>Tadorna tadorna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赤嘴潜鸭</w:t>
      </w:r>
      <w:r>
        <w:rPr>
          <w:rFonts w:hint="default" w:ascii="Times New Roman" w:hAnsi="Times New Roman" w:cs="Times New Roman"/>
          <w:i/>
          <w:iCs/>
          <w:color w:val="auto"/>
          <w:highlight w:val="none"/>
        </w:rPr>
        <w:t>Netta rufina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灰雁</w:t>
      </w:r>
      <w:r>
        <w:rPr>
          <w:rFonts w:hint="default" w:ascii="Times New Roman" w:hAnsi="Times New Roman" w:cs="Times New Roman"/>
          <w:i/>
          <w:iCs/>
          <w:color w:val="auto"/>
          <w:highlight w:val="none"/>
        </w:rPr>
        <w:t>Anser anser</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赤膀鸭</w:t>
      </w:r>
      <w:r>
        <w:rPr>
          <w:rFonts w:hint="default" w:ascii="Times New Roman" w:hAnsi="Times New Roman" w:cs="Times New Roman"/>
          <w:i/>
          <w:iCs/>
          <w:color w:val="auto"/>
          <w:highlight w:val="none"/>
        </w:rPr>
        <w:t>Mareca strepera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红头潜鸭</w:t>
      </w:r>
      <w:r>
        <w:rPr>
          <w:rFonts w:hint="default" w:ascii="Times New Roman" w:hAnsi="Times New Roman" w:cs="Times New Roman"/>
          <w:i/>
          <w:iCs/>
          <w:color w:val="auto"/>
          <w:highlight w:val="none"/>
        </w:rPr>
        <w:t>Aythya ferina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琵嘴鸭</w:t>
      </w:r>
      <w:r>
        <w:rPr>
          <w:rFonts w:hint="default" w:ascii="Times New Roman" w:hAnsi="Times New Roman" w:cs="Times New Roman"/>
          <w:i/>
          <w:iCs/>
          <w:color w:val="auto"/>
          <w:highlight w:val="none"/>
        </w:rPr>
        <w:t>Spatula clypeata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针尾鸭</w:t>
      </w:r>
      <w:r>
        <w:rPr>
          <w:rFonts w:hint="default" w:ascii="Times New Roman" w:hAnsi="Times New Roman" w:cs="Times New Roman"/>
          <w:i/>
          <w:iCs/>
          <w:color w:val="auto"/>
          <w:highlight w:val="none"/>
        </w:rPr>
        <w:t>Anas acuta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斑头雁</w:t>
      </w:r>
      <w:r>
        <w:rPr>
          <w:rFonts w:hint="default" w:ascii="Times New Roman" w:hAnsi="Times New Roman" w:cs="Times New Roman"/>
          <w:i/>
          <w:iCs/>
          <w:color w:val="auto"/>
          <w:highlight w:val="none"/>
        </w:rPr>
        <w:t>Anser indicus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斑嘴鸭</w:t>
      </w:r>
      <w:r>
        <w:rPr>
          <w:rFonts w:hint="default" w:ascii="Times New Roman" w:hAnsi="Times New Roman" w:cs="Times New Roman"/>
          <w:i/>
          <w:iCs/>
          <w:color w:val="auto"/>
          <w:highlight w:val="none"/>
        </w:rPr>
        <w:t>Anas zonorhyncha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赤颈鸭</w:t>
      </w:r>
      <w:r>
        <w:rPr>
          <w:rFonts w:hint="default" w:ascii="Times New Roman" w:hAnsi="Times New Roman" w:cs="Times New Roman"/>
          <w:i/>
          <w:iCs/>
          <w:color w:val="auto"/>
          <w:highlight w:val="none"/>
        </w:rPr>
        <w:t>Mareca penelope</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普通秋沙鸭</w:t>
      </w:r>
      <w:r>
        <w:rPr>
          <w:rFonts w:hint="default" w:ascii="Times New Roman" w:hAnsi="Times New Roman" w:cs="Times New Roman"/>
          <w:i/>
          <w:iCs/>
          <w:color w:val="auto"/>
          <w:highlight w:val="none"/>
        </w:rPr>
        <w:t>Mergus merganser</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赤麻鸭</w:t>
      </w:r>
      <w:r>
        <w:rPr>
          <w:rFonts w:hint="default" w:ascii="Times New Roman" w:hAnsi="Times New Roman" w:cs="Times New Roman"/>
          <w:i/>
          <w:iCs/>
          <w:color w:val="auto"/>
          <w:highlight w:val="none"/>
        </w:rPr>
        <w:t>Tadorna ferruginea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绿翅鸭</w:t>
      </w:r>
      <w:r>
        <w:rPr>
          <w:rFonts w:hint="default" w:ascii="Times New Roman" w:hAnsi="Times New Roman" w:cs="Times New Roman"/>
          <w:i/>
          <w:iCs/>
          <w:color w:val="auto"/>
          <w:highlight w:val="none"/>
        </w:rPr>
        <w:t>Anas crecca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绿头鸭</w:t>
      </w:r>
      <w:r>
        <w:rPr>
          <w:rFonts w:hint="default" w:ascii="Times New Roman" w:hAnsi="Times New Roman" w:cs="Times New Roman"/>
          <w:i/>
          <w:iCs/>
          <w:color w:val="auto"/>
          <w:highlight w:val="none"/>
        </w:rPr>
        <w:t>Anas platyrhynchos</w:t>
      </w:r>
      <w:r>
        <w:rPr>
          <w:rFonts w:hint="default" w:ascii="Times New Roman" w:hAnsi="Times New Roman" w:cs="Times New Roman"/>
          <w:color w:val="auto"/>
          <w:highlight w:val="none"/>
        </w:rPr>
        <w:t>，主要分布在评价区河流、池塘、水库周边。</w:t>
      </w:r>
    </w:p>
    <w:p w14:paraId="700B875F">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涉禽（嘴、颈和脚都比较长，脚趾也很长，适于涉水行进，不会游泳，常用长嘴插入水底或地面取食）：共</w:t>
      </w:r>
      <w:r>
        <w:rPr>
          <w:rFonts w:hint="default" w:ascii="Times New Roman" w:hAnsi="Times New Roman" w:cs="Times New Roman"/>
          <w:color w:val="auto"/>
          <w:highlight w:val="none"/>
          <w:lang w:val="en-US" w:eastAsia="zh-CN"/>
        </w:rPr>
        <w:t>51</w:t>
      </w:r>
      <w:r>
        <w:rPr>
          <w:rFonts w:hint="default" w:ascii="Times New Roman" w:hAnsi="Times New Roman" w:cs="Times New Roman"/>
          <w:color w:val="auto"/>
          <w:highlight w:val="none"/>
        </w:rPr>
        <w:t>种，包括鹳形目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鹤形目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鹈形目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鸻形目的部分种类，具体种类为东方白鹳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棕背田鸡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水雉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白琵鹭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董鸡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红胸田鸡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钳嘴鹳</w:t>
      </w:r>
      <w:r>
        <w:rPr>
          <w:rFonts w:hint="default" w:ascii="Times New Roman" w:hAnsi="Times New Roman" w:cs="Times New Roman"/>
          <w:i/>
          <w:iCs/>
          <w:color w:val="auto"/>
          <w:highlight w:val="none"/>
        </w:rPr>
        <w:t>Anastomus oscitans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白骨顶</w:t>
      </w:r>
      <w:r>
        <w:rPr>
          <w:rFonts w:hint="default" w:ascii="Times New Roman" w:hAnsi="Times New Roman" w:cs="Times New Roman"/>
          <w:i/>
          <w:iCs/>
          <w:color w:val="auto"/>
          <w:highlight w:val="none"/>
        </w:rPr>
        <w:t>Fulica atra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灰胸秧鸡</w:t>
      </w:r>
      <w:r>
        <w:rPr>
          <w:rFonts w:hint="default" w:ascii="Times New Roman" w:hAnsi="Times New Roman" w:cs="Times New Roman"/>
          <w:i/>
          <w:iCs/>
          <w:color w:val="auto"/>
          <w:highlight w:val="none"/>
        </w:rPr>
        <w:t>Lewinia striata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小田鸡</w:t>
      </w:r>
      <w:r>
        <w:rPr>
          <w:rFonts w:hint="default" w:ascii="Times New Roman" w:hAnsi="Times New Roman" w:cs="Times New Roman"/>
          <w:i/>
          <w:iCs/>
          <w:color w:val="auto"/>
          <w:highlight w:val="none"/>
        </w:rPr>
        <w:t>Zapornia pusilla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白胸苦恶鸟</w:t>
      </w:r>
      <w:r>
        <w:rPr>
          <w:rFonts w:hint="default" w:ascii="Times New Roman" w:hAnsi="Times New Roman" w:cs="Times New Roman"/>
          <w:i/>
          <w:iCs/>
          <w:color w:val="auto"/>
          <w:highlight w:val="none"/>
        </w:rPr>
        <w:t>Amaurornis phoenicurus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黑水鸡</w:t>
      </w:r>
      <w:r>
        <w:rPr>
          <w:rFonts w:hint="default" w:ascii="Times New Roman" w:hAnsi="Times New Roman" w:cs="Times New Roman"/>
          <w:i/>
          <w:iCs/>
          <w:color w:val="auto"/>
          <w:highlight w:val="none"/>
        </w:rPr>
        <w:t>Gallinula chloropus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彩鹬</w:t>
      </w:r>
      <w:r>
        <w:rPr>
          <w:rFonts w:hint="default" w:ascii="Times New Roman" w:hAnsi="Times New Roman" w:cs="Times New Roman"/>
          <w:i/>
          <w:iCs/>
          <w:color w:val="auto"/>
          <w:highlight w:val="none"/>
        </w:rPr>
        <w:t>Rostratula benghalensis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鹤鹬</w:t>
      </w:r>
      <w:r>
        <w:rPr>
          <w:rFonts w:hint="default" w:ascii="Times New Roman" w:hAnsi="Times New Roman" w:cs="Times New Roman"/>
          <w:i/>
          <w:iCs/>
          <w:color w:val="auto"/>
          <w:highlight w:val="none"/>
        </w:rPr>
        <w:t>Tringa erythropus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黑尾塍鹬</w:t>
      </w:r>
      <w:r>
        <w:rPr>
          <w:rFonts w:hint="default" w:ascii="Times New Roman" w:hAnsi="Times New Roman" w:cs="Times New Roman"/>
          <w:i/>
          <w:iCs/>
          <w:color w:val="auto"/>
          <w:highlight w:val="none"/>
        </w:rPr>
        <w:t>Limosa limosa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红颈滨鹬</w:t>
      </w:r>
      <w:r>
        <w:rPr>
          <w:rFonts w:hint="default" w:ascii="Times New Roman" w:hAnsi="Times New Roman" w:cs="Times New Roman"/>
          <w:i/>
          <w:iCs/>
          <w:color w:val="auto"/>
          <w:highlight w:val="none"/>
        </w:rPr>
        <w:t>Calidris ruficollis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灰鸻</w:t>
      </w:r>
      <w:r>
        <w:rPr>
          <w:rFonts w:hint="default" w:ascii="Times New Roman" w:hAnsi="Times New Roman" w:cs="Times New Roman"/>
          <w:i/>
          <w:iCs/>
          <w:color w:val="auto"/>
          <w:highlight w:val="none"/>
        </w:rPr>
        <w:t>Pluvialis squatarola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流苏鹬</w:t>
      </w:r>
      <w:r>
        <w:rPr>
          <w:rFonts w:hint="default" w:ascii="Times New Roman" w:hAnsi="Times New Roman" w:cs="Times New Roman"/>
          <w:i/>
          <w:iCs/>
          <w:color w:val="auto"/>
          <w:highlight w:val="none"/>
        </w:rPr>
        <w:t>Calidris pugnax</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普通燕鸥</w:t>
      </w:r>
      <w:r>
        <w:rPr>
          <w:rFonts w:hint="default" w:ascii="Times New Roman" w:hAnsi="Times New Roman" w:cs="Times New Roman"/>
          <w:i/>
          <w:iCs/>
          <w:color w:val="auto"/>
          <w:highlight w:val="none"/>
        </w:rPr>
        <w:t>Sterna hirundo</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普通燕鸻</w:t>
      </w:r>
      <w:r>
        <w:rPr>
          <w:rFonts w:hint="default" w:ascii="Times New Roman" w:hAnsi="Times New Roman" w:cs="Times New Roman"/>
          <w:i/>
          <w:iCs/>
          <w:color w:val="auto"/>
          <w:highlight w:val="none"/>
        </w:rPr>
        <w:t>Glareola maldivarum</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青脚滨鹬</w:t>
      </w:r>
      <w:r>
        <w:rPr>
          <w:rFonts w:hint="default" w:ascii="Times New Roman" w:hAnsi="Times New Roman" w:cs="Times New Roman"/>
          <w:i/>
          <w:iCs/>
          <w:color w:val="auto"/>
          <w:highlight w:val="none"/>
        </w:rPr>
        <w:t>Calidris temminckii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泽鹬</w:t>
      </w:r>
      <w:r>
        <w:rPr>
          <w:rFonts w:hint="default" w:ascii="Times New Roman" w:hAnsi="Times New Roman" w:cs="Times New Roman"/>
          <w:i/>
          <w:iCs/>
          <w:color w:val="auto"/>
          <w:highlight w:val="none"/>
        </w:rPr>
        <w:t>Tringa stagnatilis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黑翅长脚鹬</w:t>
      </w:r>
      <w:r>
        <w:rPr>
          <w:rFonts w:hint="default" w:ascii="Times New Roman" w:hAnsi="Times New Roman" w:cs="Times New Roman"/>
          <w:i/>
          <w:iCs/>
          <w:color w:val="auto"/>
          <w:highlight w:val="none"/>
        </w:rPr>
        <w:t>Himantopus himantopus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丘鹬</w:t>
      </w:r>
      <w:r>
        <w:rPr>
          <w:rFonts w:hint="default" w:ascii="Times New Roman" w:hAnsi="Times New Roman" w:cs="Times New Roman"/>
          <w:i/>
          <w:iCs/>
          <w:color w:val="auto"/>
          <w:highlight w:val="none"/>
        </w:rPr>
        <w:t>Scolopax rusticola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反嘴鹬</w:t>
      </w:r>
      <w:r>
        <w:rPr>
          <w:rFonts w:hint="default" w:ascii="Times New Roman" w:hAnsi="Times New Roman" w:cs="Times New Roman"/>
          <w:i/>
          <w:iCs/>
          <w:color w:val="auto"/>
          <w:highlight w:val="none"/>
        </w:rPr>
        <w:t>Recurvirostra avosetta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林鹬</w:t>
      </w:r>
      <w:r>
        <w:rPr>
          <w:rFonts w:hint="default" w:ascii="Times New Roman" w:hAnsi="Times New Roman" w:cs="Times New Roman"/>
          <w:i/>
          <w:iCs/>
          <w:color w:val="auto"/>
          <w:highlight w:val="none"/>
        </w:rPr>
        <w:t>Tringa glareola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凤头麦鸡</w:t>
      </w:r>
      <w:r>
        <w:rPr>
          <w:rFonts w:hint="default" w:ascii="Times New Roman" w:hAnsi="Times New Roman" w:cs="Times New Roman"/>
          <w:i/>
          <w:iCs/>
          <w:color w:val="auto"/>
          <w:highlight w:val="none"/>
        </w:rPr>
        <w:t>Vanellus vanellus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扇尾沙锥</w:t>
      </w:r>
      <w:r>
        <w:rPr>
          <w:rFonts w:hint="default" w:ascii="Times New Roman" w:hAnsi="Times New Roman" w:cs="Times New Roman"/>
          <w:i/>
          <w:iCs/>
          <w:color w:val="auto"/>
          <w:highlight w:val="none"/>
        </w:rPr>
        <w:t>Gallinago gallinago</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针尾沙锥</w:t>
      </w:r>
      <w:r>
        <w:rPr>
          <w:rFonts w:hint="default" w:ascii="Times New Roman" w:hAnsi="Times New Roman" w:cs="Times New Roman"/>
          <w:i/>
          <w:iCs/>
          <w:color w:val="auto"/>
          <w:highlight w:val="none"/>
        </w:rPr>
        <w:t>Gallinago stenura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灰头麦鸡</w:t>
      </w:r>
      <w:r>
        <w:rPr>
          <w:rFonts w:hint="default" w:ascii="Times New Roman" w:hAnsi="Times New Roman" w:cs="Times New Roman"/>
          <w:i/>
          <w:iCs/>
          <w:color w:val="auto"/>
          <w:highlight w:val="none"/>
        </w:rPr>
        <w:t>Vanellus cinereu</w:t>
      </w:r>
      <w:r>
        <w:rPr>
          <w:rFonts w:hint="default" w:ascii="Times New Roman" w:hAnsi="Times New Roman" w:cs="Times New Roman"/>
          <w:color w:val="auto"/>
          <w:highlight w:val="none"/>
        </w:rPr>
        <w:t>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金眶鸻</w:t>
      </w:r>
      <w:r>
        <w:rPr>
          <w:rFonts w:hint="default" w:ascii="Times New Roman" w:hAnsi="Times New Roman" w:cs="Times New Roman"/>
          <w:i/>
          <w:iCs/>
          <w:color w:val="auto"/>
          <w:highlight w:val="none"/>
        </w:rPr>
        <w:t>Charadrius dubius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青脚鹬</w:t>
      </w:r>
      <w:r>
        <w:rPr>
          <w:rFonts w:hint="default" w:ascii="Times New Roman" w:hAnsi="Times New Roman" w:cs="Times New Roman"/>
          <w:i/>
          <w:iCs/>
          <w:color w:val="auto"/>
          <w:highlight w:val="none"/>
        </w:rPr>
        <w:t>Tringa nebularia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矶鹬</w:t>
      </w:r>
      <w:r>
        <w:rPr>
          <w:rFonts w:hint="default" w:ascii="Times New Roman" w:hAnsi="Times New Roman" w:cs="Times New Roman"/>
          <w:i/>
          <w:iCs/>
          <w:color w:val="auto"/>
          <w:highlight w:val="none"/>
        </w:rPr>
        <w:t>Actitis hypoleucos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白腰草鹬</w:t>
      </w:r>
      <w:r>
        <w:rPr>
          <w:rFonts w:hint="default" w:ascii="Times New Roman" w:hAnsi="Times New Roman" w:cs="Times New Roman"/>
          <w:i/>
          <w:iCs/>
          <w:color w:val="auto"/>
          <w:highlight w:val="none"/>
        </w:rPr>
        <w:t>Tringa ochropus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夜鹭</w:t>
      </w:r>
      <w:r>
        <w:rPr>
          <w:rFonts w:hint="default" w:ascii="Times New Roman" w:hAnsi="Times New Roman" w:cs="Times New Roman"/>
          <w:i/>
          <w:iCs/>
          <w:color w:val="auto"/>
          <w:highlight w:val="none"/>
        </w:rPr>
        <w:t>Nycticorax nycticorax</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白鹭</w:t>
      </w:r>
      <w:r>
        <w:rPr>
          <w:rFonts w:hint="default" w:ascii="Times New Roman" w:hAnsi="Times New Roman" w:cs="Times New Roman"/>
          <w:i/>
          <w:iCs/>
          <w:color w:val="auto"/>
          <w:highlight w:val="none"/>
        </w:rPr>
        <w:t>Egretta garzetta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绿鹭</w:t>
      </w:r>
      <w:r>
        <w:rPr>
          <w:rFonts w:hint="default" w:ascii="Times New Roman" w:hAnsi="Times New Roman" w:cs="Times New Roman"/>
          <w:i/>
          <w:iCs/>
          <w:color w:val="auto"/>
          <w:highlight w:val="none"/>
        </w:rPr>
        <w:t>Butorides striata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大白鹭</w:t>
      </w:r>
      <w:r>
        <w:rPr>
          <w:rFonts w:hint="default" w:ascii="Times New Roman" w:hAnsi="Times New Roman" w:cs="Times New Roman"/>
          <w:i/>
          <w:iCs/>
          <w:color w:val="auto"/>
          <w:highlight w:val="none"/>
        </w:rPr>
        <w:t>Ardea alba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大麻鳽</w:t>
      </w:r>
      <w:r>
        <w:rPr>
          <w:rFonts w:hint="default" w:ascii="Times New Roman" w:hAnsi="Times New Roman" w:cs="Times New Roman"/>
          <w:i/>
          <w:iCs/>
          <w:color w:val="auto"/>
          <w:highlight w:val="none"/>
        </w:rPr>
        <w:t>Botaurus stellaris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草鹭</w:t>
      </w:r>
      <w:r>
        <w:rPr>
          <w:rFonts w:hint="default" w:ascii="Times New Roman" w:hAnsi="Times New Roman" w:cs="Times New Roman"/>
          <w:i/>
          <w:iCs/>
          <w:color w:val="auto"/>
          <w:highlight w:val="none"/>
        </w:rPr>
        <w:t>Ardea purpurea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黄斑苇鳽</w:t>
      </w:r>
      <w:r>
        <w:rPr>
          <w:rFonts w:hint="default" w:ascii="Times New Roman" w:hAnsi="Times New Roman" w:cs="Times New Roman"/>
          <w:i/>
          <w:iCs/>
          <w:color w:val="auto"/>
          <w:highlight w:val="none"/>
        </w:rPr>
        <w:t>Ixobrychus sinensis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栗苇鳽</w:t>
      </w:r>
      <w:r>
        <w:rPr>
          <w:rFonts w:hint="default" w:ascii="Times New Roman" w:hAnsi="Times New Roman" w:cs="Times New Roman"/>
          <w:i/>
          <w:iCs/>
          <w:color w:val="auto"/>
          <w:highlight w:val="none"/>
        </w:rPr>
        <w:t>Ixobrychus cinnamomeus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中白鹭</w:t>
      </w:r>
      <w:r>
        <w:rPr>
          <w:rFonts w:hint="default" w:ascii="Times New Roman" w:hAnsi="Times New Roman" w:cs="Times New Roman"/>
          <w:i/>
          <w:iCs/>
          <w:color w:val="auto"/>
          <w:highlight w:val="none"/>
        </w:rPr>
        <w:t>Ardea intermedia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牛背鹭</w:t>
      </w:r>
      <w:r>
        <w:rPr>
          <w:rFonts w:hint="default" w:ascii="Times New Roman" w:hAnsi="Times New Roman" w:cs="Times New Roman"/>
          <w:i/>
          <w:iCs/>
          <w:color w:val="auto"/>
          <w:highlight w:val="none"/>
        </w:rPr>
        <w:t>Bubulcus coromandus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池鹭</w:t>
      </w:r>
      <w:r>
        <w:rPr>
          <w:rFonts w:hint="default" w:ascii="Times New Roman" w:hAnsi="Times New Roman" w:cs="Times New Roman"/>
          <w:i/>
          <w:iCs/>
          <w:color w:val="auto"/>
          <w:highlight w:val="none"/>
        </w:rPr>
        <w:t>Ardeola bacchus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苍鹭</w:t>
      </w:r>
      <w:r>
        <w:rPr>
          <w:rFonts w:hint="default" w:ascii="Times New Roman" w:hAnsi="Times New Roman" w:cs="Times New Roman"/>
          <w:i/>
          <w:iCs/>
          <w:color w:val="auto"/>
          <w:highlight w:val="none"/>
        </w:rPr>
        <w:t>Ardea cinerea</w:t>
      </w:r>
      <w:r>
        <w:rPr>
          <w:rFonts w:hint="default" w:ascii="Times New Roman" w:hAnsi="Times New Roman" w:cs="Times New Roman"/>
          <w:color w:val="auto"/>
          <w:highlight w:val="none"/>
        </w:rPr>
        <w:t>，主要栖息于评价区的河流、水库及水田附近。</w:t>
      </w:r>
    </w:p>
    <w:p w14:paraId="37DDC03F">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陆禽（体格结实，嘴坚硬，脚强而有力，适于挖土，多在地面活动觅食）：共</w:t>
      </w:r>
      <w:r>
        <w:rPr>
          <w:rFonts w:hint="default" w:ascii="Times New Roman" w:hAnsi="Times New Roman" w:cs="Times New Roman"/>
          <w:color w:val="auto"/>
          <w:highlight w:val="none"/>
          <w:lang w:val="en-US" w:eastAsia="zh-CN"/>
        </w:rPr>
        <w:t>12</w:t>
      </w:r>
      <w:r>
        <w:rPr>
          <w:rFonts w:hint="default" w:ascii="Times New Roman" w:hAnsi="Times New Roman" w:cs="Times New Roman"/>
          <w:color w:val="auto"/>
          <w:highlight w:val="none"/>
        </w:rPr>
        <w:t>种，包括鸡形目和鸽形目的部分种类，具体种类为白鹇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黑颈长尾雉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中华鹧鸪</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白腹锦鸡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斑林鸽</w:t>
      </w:r>
      <w:r>
        <w:rPr>
          <w:rFonts w:hint="default" w:ascii="Times New Roman" w:hAnsi="Times New Roman" w:cs="Times New Roman"/>
          <w:i/>
          <w:iCs/>
          <w:color w:val="auto"/>
          <w:highlight w:val="none"/>
        </w:rPr>
        <w:t>Columba hodgsonii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绿翅金鸠</w:t>
      </w:r>
      <w:r>
        <w:rPr>
          <w:rFonts w:hint="default" w:ascii="Times New Roman" w:hAnsi="Times New Roman" w:cs="Times New Roman"/>
          <w:i/>
          <w:iCs/>
          <w:color w:val="auto"/>
          <w:highlight w:val="none"/>
        </w:rPr>
        <w:t>Chalcophaps indica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火斑鸠</w:t>
      </w:r>
      <w:r>
        <w:rPr>
          <w:rFonts w:hint="default" w:ascii="Times New Roman" w:hAnsi="Times New Roman" w:cs="Times New Roman"/>
          <w:i/>
          <w:iCs/>
          <w:color w:val="auto"/>
          <w:highlight w:val="none"/>
        </w:rPr>
        <w:t>Streptopelia tranquebarica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山斑鸠</w:t>
      </w:r>
      <w:r>
        <w:rPr>
          <w:rFonts w:hint="default" w:ascii="Times New Roman" w:hAnsi="Times New Roman" w:cs="Times New Roman"/>
          <w:i/>
          <w:iCs/>
          <w:color w:val="auto"/>
          <w:highlight w:val="none"/>
        </w:rPr>
        <w:t>Streptopelia orientalis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珠颈斑鸠</w:t>
      </w:r>
      <w:r>
        <w:rPr>
          <w:rFonts w:hint="default" w:ascii="Times New Roman" w:hAnsi="Times New Roman" w:cs="Times New Roman"/>
          <w:i/>
          <w:iCs/>
          <w:color w:val="auto"/>
          <w:highlight w:val="none"/>
        </w:rPr>
        <w:t>Spilopelia chinensis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西鹌鹑</w:t>
      </w:r>
      <w:r>
        <w:rPr>
          <w:rFonts w:hint="default" w:ascii="Times New Roman" w:hAnsi="Times New Roman" w:cs="Times New Roman"/>
          <w:i/>
          <w:iCs/>
          <w:color w:val="auto"/>
          <w:highlight w:val="none"/>
        </w:rPr>
        <w:t>Coturnix coturnix</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环颈雉</w:t>
      </w:r>
      <w:r>
        <w:rPr>
          <w:rFonts w:hint="default" w:ascii="Times New Roman" w:hAnsi="Times New Roman" w:cs="Times New Roman"/>
          <w:i/>
          <w:iCs/>
          <w:color w:val="auto"/>
          <w:highlight w:val="none"/>
        </w:rPr>
        <w:t>Phasianus colchicus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棕胸竹鸡</w:t>
      </w:r>
      <w:r>
        <w:rPr>
          <w:rFonts w:hint="default" w:ascii="Times New Roman" w:hAnsi="Times New Roman" w:cs="Times New Roman"/>
          <w:i/>
          <w:iCs/>
          <w:color w:val="auto"/>
          <w:highlight w:val="none"/>
        </w:rPr>
        <w:t>Bambusicola fytchii</w:t>
      </w:r>
      <w:r>
        <w:rPr>
          <w:rFonts w:hint="default" w:ascii="Times New Roman" w:hAnsi="Times New Roman" w:cs="Times New Roman"/>
          <w:color w:val="auto"/>
          <w:highlight w:val="none"/>
        </w:rPr>
        <w:t>，主要活动于评价区内</w:t>
      </w:r>
      <w:r>
        <w:rPr>
          <w:rFonts w:hint="default" w:ascii="Times New Roman" w:hAnsi="Times New Roman" w:cs="Times New Roman"/>
          <w:color w:val="auto"/>
          <w:highlight w:val="none"/>
          <w:lang w:val="en-US" w:eastAsia="zh-CN"/>
        </w:rPr>
        <w:t>林地、灌丛</w:t>
      </w:r>
      <w:r>
        <w:rPr>
          <w:rFonts w:hint="default" w:ascii="Times New Roman" w:hAnsi="Times New Roman" w:cs="Times New Roman"/>
          <w:color w:val="auto"/>
          <w:highlight w:val="none"/>
        </w:rPr>
        <w:t>及农田生境。</w:t>
      </w:r>
    </w:p>
    <w:p w14:paraId="66D0781F">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猛禽（具有弯曲如钩的锐利嘴和爪，翅膀强大有力，能在天空翱翔或滑翔，捕食空中或地下活的猎物）：共</w:t>
      </w:r>
      <w:r>
        <w:rPr>
          <w:rFonts w:hint="default" w:ascii="Times New Roman" w:hAnsi="Times New Roman" w:cs="Times New Roman"/>
          <w:color w:val="auto"/>
          <w:highlight w:val="none"/>
          <w:lang w:val="en-US" w:eastAsia="zh-CN"/>
        </w:rPr>
        <w:t>32</w:t>
      </w:r>
      <w:r>
        <w:rPr>
          <w:rFonts w:hint="default" w:ascii="Times New Roman" w:hAnsi="Times New Roman" w:cs="Times New Roman"/>
          <w:color w:val="auto"/>
          <w:highlight w:val="none"/>
        </w:rPr>
        <w:t>种，包括鹰形目、隼形目和鸮形目的部分种类，具体种类为燕隼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灰背隼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黄爪隼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游隼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仓鸮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褐林鸮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黄嘴角鸮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领鸺鹠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褐渔鸮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领角鸮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草鸮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斑头鸺鹠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灰林鸮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白肩雕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白头鹞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赤腹鹰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栗鸢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日本松雀鹰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蛇雕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苍鹰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鹊鹞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凤头蜂鹰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白腹鹞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雀鹰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黑翅鸢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白尾鹞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松雀鹰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普通鵟，主要栖息于评价区内的</w:t>
      </w:r>
      <w:r>
        <w:rPr>
          <w:rFonts w:hint="default" w:ascii="Times New Roman" w:hAnsi="Times New Roman" w:cs="Times New Roman"/>
          <w:color w:val="auto"/>
          <w:highlight w:val="none"/>
          <w:lang w:val="en-US" w:eastAsia="zh-CN"/>
        </w:rPr>
        <w:t>山林、林缘开阔地带或农田上空</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该类群</w:t>
      </w:r>
      <w:r>
        <w:rPr>
          <w:rFonts w:hint="default" w:ascii="Times New Roman" w:hAnsi="Times New Roman" w:cs="Times New Roman"/>
          <w:color w:val="auto"/>
          <w:highlight w:val="none"/>
        </w:rPr>
        <w:t>活动范围较广。</w:t>
      </w:r>
    </w:p>
    <w:p w14:paraId="61B89F17">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攀禽（嘴、脚和尾的构造都很特殊，善于在树上攀缘）：共</w:t>
      </w:r>
      <w:r>
        <w:rPr>
          <w:rFonts w:hint="default" w:ascii="Times New Roman" w:hAnsi="Times New Roman" w:cs="Times New Roman"/>
          <w:color w:val="auto"/>
          <w:highlight w:val="none"/>
          <w:lang w:val="en-US" w:eastAsia="zh-CN"/>
        </w:rPr>
        <w:t>28</w:t>
      </w:r>
      <w:r>
        <w:rPr>
          <w:rFonts w:hint="default" w:ascii="Times New Roman" w:hAnsi="Times New Roman" w:cs="Times New Roman"/>
          <w:color w:val="auto"/>
          <w:highlight w:val="none"/>
        </w:rPr>
        <w:t>种，包括鹃形目、啄木鸟目、佛法僧目、夜鹰目、犀鸟目的部分种类，具体种类为白胸翡翠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褐翅鸦鹃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冠鱼狗</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棕胸佛法僧</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斑鱼狗</w:t>
      </w:r>
      <w:r>
        <w:rPr>
          <w:rFonts w:hint="default" w:ascii="Times New Roman" w:hAnsi="Times New Roman" w:cs="Times New Roman"/>
          <w:i/>
          <w:iCs/>
          <w:color w:val="auto"/>
          <w:highlight w:val="none"/>
        </w:rPr>
        <w:t>Ceryle rudis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蓝翡翠</w:t>
      </w:r>
      <w:r>
        <w:rPr>
          <w:rFonts w:hint="default" w:ascii="Times New Roman" w:hAnsi="Times New Roman" w:cs="Times New Roman"/>
          <w:i/>
          <w:iCs/>
          <w:color w:val="auto"/>
          <w:highlight w:val="none"/>
        </w:rPr>
        <w:t>Halcyon pileata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普通翠鸟</w:t>
      </w:r>
      <w:r>
        <w:rPr>
          <w:rFonts w:hint="default" w:ascii="Times New Roman" w:hAnsi="Times New Roman" w:cs="Times New Roman"/>
          <w:i/>
          <w:iCs/>
          <w:color w:val="auto"/>
          <w:highlight w:val="none"/>
        </w:rPr>
        <w:t>Alcedo atthis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绿嘴地鹃</w:t>
      </w:r>
      <w:r>
        <w:rPr>
          <w:rFonts w:hint="default" w:ascii="Times New Roman" w:hAnsi="Times New Roman" w:cs="Times New Roman"/>
          <w:i/>
          <w:iCs/>
          <w:color w:val="auto"/>
          <w:highlight w:val="none"/>
        </w:rPr>
        <w:t>Phaenicophaeus tristis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乌鹃</w:t>
      </w:r>
      <w:r>
        <w:rPr>
          <w:rFonts w:hint="default" w:ascii="Times New Roman" w:hAnsi="Times New Roman" w:cs="Times New Roman"/>
          <w:i/>
          <w:iCs/>
          <w:color w:val="auto"/>
          <w:highlight w:val="none"/>
        </w:rPr>
        <w:t>Surniculus lugubris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大鹰鹃</w:t>
      </w:r>
      <w:r>
        <w:rPr>
          <w:rFonts w:hint="default" w:ascii="Times New Roman" w:hAnsi="Times New Roman" w:cs="Times New Roman"/>
          <w:i/>
          <w:iCs/>
          <w:color w:val="auto"/>
          <w:highlight w:val="none"/>
        </w:rPr>
        <w:t>Hierococcyx sparverioides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小杜鹃</w:t>
      </w:r>
      <w:r>
        <w:rPr>
          <w:rFonts w:hint="default" w:ascii="Times New Roman" w:hAnsi="Times New Roman" w:cs="Times New Roman"/>
          <w:i/>
          <w:iCs/>
          <w:color w:val="auto"/>
          <w:highlight w:val="none"/>
        </w:rPr>
        <w:t>Cuculus poliocephalus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八声杜鹃</w:t>
      </w:r>
      <w:r>
        <w:rPr>
          <w:rFonts w:hint="default" w:ascii="Times New Roman" w:hAnsi="Times New Roman" w:cs="Times New Roman"/>
          <w:i/>
          <w:iCs/>
          <w:color w:val="auto"/>
          <w:highlight w:val="none"/>
        </w:rPr>
        <w:t>Cacomantis merulinus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四声杜鹃</w:t>
      </w:r>
      <w:r>
        <w:rPr>
          <w:rFonts w:hint="default" w:ascii="Times New Roman" w:hAnsi="Times New Roman" w:cs="Times New Roman"/>
          <w:i/>
          <w:iCs/>
          <w:color w:val="auto"/>
          <w:highlight w:val="none"/>
        </w:rPr>
        <w:t>Cuculus micropterus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噪鹃</w:t>
      </w:r>
      <w:r>
        <w:rPr>
          <w:rFonts w:hint="default" w:ascii="Times New Roman" w:hAnsi="Times New Roman" w:cs="Times New Roman"/>
          <w:i/>
          <w:iCs/>
          <w:color w:val="auto"/>
          <w:highlight w:val="none"/>
        </w:rPr>
        <w:t>Eudynamys scolopaceus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大杜鹃</w:t>
      </w:r>
      <w:r>
        <w:rPr>
          <w:rFonts w:hint="default" w:ascii="Times New Roman" w:hAnsi="Times New Roman" w:cs="Times New Roman"/>
          <w:i/>
          <w:iCs/>
          <w:color w:val="auto"/>
          <w:highlight w:val="none"/>
        </w:rPr>
        <w:t>Cuculus canorus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戴胜</w:t>
      </w:r>
      <w:r>
        <w:rPr>
          <w:rFonts w:hint="default" w:ascii="Times New Roman" w:hAnsi="Times New Roman" w:cs="Times New Roman"/>
          <w:i/>
          <w:iCs/>
          <w:color w:val="auto"/>
          <w:highlight w:val="none"/>
        </w:rPr>
        <w:t>Upupa epops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普通夜鹰</w:t>
      </w:r>
      <w:r>
        <w:rPr>
          <w:rFonts w:hint="default" w:ascii="Times New Roman" w:hAnsi="Times New Roman" w:cs="Times New Roman"/>
          <w:i/>
          <w:iCs/>
          <w:color w:val="auto"/>
          <w:highlight w:val="none"/>
        </w:rPr>
        <w:t>Caprimulgus jotaka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小白腰雨燕</w:t>
      </w:r>
      <w:r>
        <w:rPr>
          <w:rFonts w:hint="default" w:ascii="Times New Roman" w:hAnsi="Times New Roman" w:cs="Times New Roman"/>
          <w:i/>
          <w:iCs/>
          <w:color w:val="auto"/>
          <w:highlight w:val="none"/>
        </w:rPr>
        <w:t>Apus nipalensis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白腰雨燕</w:t>
      </w:r>
      <w:r>
        <w:rPr>
          <w:rFonts w:hint="default" w:ascii="Times New Roman" w:hAnsi="Times New Roman" w:cs="Times New Roman"/>
          <w:i/>
          <w:iCs/>
          <w:color w:val="auto"/>
          <w:highlight w:val="none"/>
        </w:rPr>
        <w:t>Apus pacificus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斑姬啄木鸟</w:t>
      </w:r>
      <w:r>
        <w:rPr>
          <w:rFonts w:hint="default" w:ascii="Times New Roman" w:hAnsi="Times New Roman" w:cs="Times New Roman"/>
          <w:i/>
          <w:iCs/>
          <w:color w:val="auto"/>
          <w:highlight w:val="none"/>
        </w:rPr>
        <w:t>Picumnus innominatus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蚁</w:t>
      </w:r>
      <w:r>
        <w:rPr>
          <w:rFonts w:hint="eastAsia" w:cs="Times New Roman"/>
          <w:color w:val="auto"/>
          <w:highlight w:val="none"/>
          <w:lang w:eastAsia="zh-CN"/>
        </w:rPr>
        <w:t>䴕</w:t>
      </w:r>
      <w:r>
        <w:rPr>
          <w:rFonts w:hint="default" w:ascii="Times New Roman" w:hAnsi="Times New Roman" w:cs="Times New Roman"/>
          <w:i/>
          <w:iCs/>
          <w:color w:val="auto"/>
          <w:highlight w:val="none"/>
        </w:rPr>
        <w:t>Jynx torquilla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棕腹啄木鸟</w:t>
      </w:r>
      <w:r>
        <w:rPr>
          <w:rFonts w:hint="default" w:ascii="Times New Roman" w:hAnsi="Times New Roman" w:cs="Times New Roman"/>
          <w:i/>
          <w:iCs/>
          <w:color w:val="auto"/>
          <w:highlight w:val="none"/>
        </w:rPr>
        <w:t>Dendrocopos hyperythrus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蓝喉拟啄木鸟</w:t>
      </w:r>
      <w:r>
        <w:rPr>
          <w:rFonts w:hint="default" w:ascii="Times New Roman" w:hAnsi="Times New Roman" w:cs="Times New Roman"/>
          <w:i/>
          <w:iCs/>
          <w:color w:val="auto"/>
          <w:highlight w:val="none"/>
        </w:rPr>
        <w:t>Psilopogon asiaticus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赤胸啄木鸟</w:t>
      </w:r>
      <w:r>
        <w:rPr>
          <w:rFonts w:hint="default" w:ascii="Times New Roman" w:hAnsi="Times New Roman" w:cs="Times New Roman"/>
          <w:i/>
          <w:iCs/>
          <w:color w:val="auto"/>
          <w:highlight w:val="none"/>
        </w:rPr>
        <w:t>Dryobates cathpharius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灰头绿啄木鸟</w:t>
      </w:r>
      <w:r>
        <w:rPr>
          <w:rFonts w:hint="default" w:ascii="Times New Roman" w:hAnsi="Times New Roman" w:cs="Times New Roman"/>
          <w:i/>
          <w:iCs/>
          <w:color w:val="auto"/>
          <w:highlight w:val="none"/>
        </w:rPr>
        <w:t>Picus canus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大拟啄木鸟</w:t>
      </w:r>
      <w:r>
        <w:rPr>
          <w:rFonts w:hint="default" w:ascii="Times New Roman" w:hAnsi="Times New Roman" w:cs="Times New Roman"/>
          <w:i/>
          <w:iCs/>
          <w:color w:val="auto"/>
          <w:highlight w:val="none"/>
        </w:rPr>
        <w:t>Psilopogon virens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星头啄木鸟</w:t>
      </w:r>
      <w:r>
        <w:rPr>
          <w:rFonts w:hint="default" w:ascii="Times New Roman" w:hAnsi="Times New Roman" w:cs="Times New Roman"/>
          <w:i/>
          <w:iCs/>
          <w:color w:val="auto"/>
          <w:highlight w:val="none"/>
        </w:rPr>
        <w:t>Picoides canicapillus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大斑啄木鸟</w:t>
      </w:r>
      <w:r>
        <w:rPr>
          <w:rFonts w:hint="default" w:ascii="Times New Roman" w:hAnsi="Times New Roman" w:cs="Times New Roman"/>
          <w:i/>
          <w:iCs/>
          <w:color w:val="auto"/>
          <w:highlight w:val="none"/>
        </w:rPr>
        <w:t>Dendrocopos major</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种翠鸟科鸟类</w:t>
      </w:r>
      <w:r>
        <w:rPr>
          <w:rFonts w:hint="default" w:ascii="Times New Roman" w:hAnsi="Times New Roman" w:cs="Times New Roman"/>
          <w:color w:val="auto"/>
          <w:highlight w:val="none"/>
          <w:lang w:val="en-US" w:eastAsia="zh-CN"/>
        </w:rPr>
        <w:t>栖息于</w:t>
      </w:r>
      <w:r>
        <w:rPr>
          <w:rFonts w:hint="default" w:ascii="Times New Roman" w:hAnsi="Times New Roman" w:cs="Times New Roman"/>
          <w:color w:val="auto"/>
          <w:highlight w:val="none"/>
        </w:rPr>
        <w:t>水域或水域附近，</w:t>
      </w:r>
      <w:r>
        <w:rPr>
          <w:rFonts w:hint="default" w:ascii="Times New Roman" w:hAnsi="Times New Roman" w:cs="Times New Roman"/>
          <w:color w:val="auto"/>
          <w:highlight w:val="none"/>
          <w:lang w:val="en-US" w:eastAsia="zh-CN"/>
        </w:rPr>
        <w:t>2种雨燕科鸟类栖息于屋檐下、悬崖或洞穴中，</w:t>
      </w:r>
      <w:r>
        <w:rPr>
          <w:rFonts w:hint="default" w:ascii="Times New Roman" w:hAnsi="Times New Roman" w:cs="Times New Roman"/>
          <w:color w:val="auto"/>
          <w:highlight w:val="none"/>
        </w:rPr>
        <w:t>其他种类主要生活于山区森林和灌丛中。</w:t>
      </w:r>
    </w:p>
    <w:p w14:paraId="606CE68B">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鸣禽（鸣管和鸣肌特别发达。一般体形较小，体态轻捷，活泼灵巧，善于鸣叫和歌唱，且巧于筑巢）：雀形目的所有鸟类都为鸣禽，评价区内共有</w:t>
      </w:r>
      <w:r>
        <w:rPr>
          <w:rFonts w:hint="default" w:ascii="Times New Roman" w:hAnsi="Times New Roman" w:cs="Times New Roman"/>
          <w:color w:val="auto"/>
          <w:highlight w:val="none"/>
          <w:lang w:val="en-US" w:eastAsia="zh-CN"/>
        </w:rPr>
        <w:t>229</w:t>
      </w:r>
      <w:r>
        <w:rPr>
          <w:rFonts w:hint="default" w:ascii="Times New Roman" w:hAnsi="Times New Roman" w:cs="Times New Roman"/>
          <w:color w:val="auto"/>
          <w:highlight w:val="none"/>
        </w:rPr>
        <w:t>种，其生活习性多种多样，广泛分布于评价区各类生境中，如乔木林、灌丛、农田、水域甚至居住点等。</w:t>
      </w:r>
    </w:p>
    <w:p w14:paraId="19F49C43">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③爬行类</w:t>
      </w:r>
    </w:p>
    <w:p w14:paraId="1E67BA11">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A.种类、数量及分布</w:t>
      </w:r>
    </w:p>
    <w:p w14:paraId="6BAB42C5">
      <w:pPr>
        <w:pStyle w:val="3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评价区分布的两栖动物共有</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目</w:t>
      </w:r>
      <w:r>
        <w:rPr>
          <w:rFonts w:hint="default" w:ascii="Times New Roman" w:hAnsi="Times New Roman" w:cs="Times New Roman"/>
          <w:color w:val="auto"/>
          <w:highlight w:val="none"/>
          <w:lang w:val="en-US" w:eastAsia="zh-CN"/>
        </w:rPr>
        <w:t>9</w:t>
      </w:r>
      <w:r>
        <w:rPr>
          <w:rFonts w:hint="default" w:ascii="Times New Roman" w:hAnsi="Times New Roman" w:cs="Times New Roman"/>
          <w:color w:val="auto"/>
          <w:highlight w:val="none"/>
        </w:rPr>
        <w:t>科</w:t>
      </w:r>
      <w:r>
        <w:rPr>
          <w:rFonts w:hint="default" w:ascii="Times New Roman" w:hAnsi="Times New Roman" w:cs="Times New Roman"/>
          <w:color w:val="auto"/>
          <w:highlight w:val="none"/>
          <w:lang w:val="en-US" w:eastAsia="zh-CN"/>
        </w:rPr>
        <w:t>40</w:t>
      </w:r>
      <w:r>
        <w:rPr>
          <w:rFonts w:hint="default" w:ascii="Times New Roman" w:hAnsi="Times New Roman" w:cs="Times New Roman"/>
          <w:color w:val="auto"/>
          <w:highlight w:val="none"/>
        </w:rPr>
        <w:t>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占云南省</w:t>
      </w:r>
      <w:r>
        <w:rPr>
          <w:rFonts w:hint="default" w:ascii="Times New Roman" w:hAnsi="Times New Roman" w:cs="Times New Roman"/>
          <w:color w:val="auto"/>
          <w:highlight w:val="none"/>
          <w:lang w:val="en-US" w:eastAsia="zh-CN"/>
        </w:rPr>
        <w:t>爬行类</w:t>
      </w:r>
      <w:r>
        <w:rPr>
          <w:rFonts w:hint="default" w:ascii="Times New Roman" w:hAnsi="Times New Roman" w:cs="Times New Roman"/>
          <w:color w:val="auto"/>
          <w:highlight w:val="none"/>
        </w:rPr>
        <w:t>物种总数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208</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w:t>
      </w:r>
      <w:r>
        <w:rPr>
          <w:rFonts w:hint="default" w:ascii="Times New Roman" w:hAnsi="Times New Roman" w:cs="Times New Roman"/>
          <w:color w:val="auto"/>
          <w:highlight w:val="none"/>
          <w:lang w:val="en-US" w:eastAsia="zh-CN"/>
        </w:rPr>
        <w:t>19.23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其中龟鳖目</w:t>
      </w:r>
      <w:r>
        <w:rPr>
          <w:rFonts w:hint="default" w:ascii="Times New Roman" w:hAnsi="Times New Roman" w:cs="Times New Roman"/>
          <w:color w:val="auto"/>
          <w:highlight w:val="none"/>
          <w:lang w:val="en-US" w:eastAsia="zh-CN"/>
        </w:rPr>
        <w:t>1种，</w:t>
      </w:r>
      <w:r>
        <w:rPr>
          <w:rFonts w:hint="default" w:ascii="Times New Roman" w:hAnsi="Times New Roman" w:cs="Times New Roman"/>
          <w:color w:val="auto"/>
          <w:highlight w:val="none"/>
        </w:rPr>
        <w:t>有鳞目</w:t>
      </w:r>
      <w:r>
        <w:rPr>
          <w:rFonts w:hint="default" w:ascii="Times New Roman" w:hAnsi="Times New Roman" w:cs="Times New Roman"/>
          <w:color w:val="auto"/>
          <w:highlight w:val="none"/>
          <w:lang w:val="en-US" w:eastAsia="zh-CN"/>
        </w:rPr>
        <w:t>39种，</w:t>
      </w:r>
      <w:r>
        <w:rPr>
          <w:rFonts w:hint="default" w:ascii="Times New Roman" w:hAnsi="Times New Roman" w:cs="Times New Roman"/>
          <w:color w:val="auto"/>
          <w:highlight w:val="none"/>
        </w:rPr>
        <w:t>有鳞目</w:t>
      </w:r>
      <w:r>
        <w:rPr>
          <w:rFonts w:hint="default" w:ascii="Times New Roman" w:hAnsi="Times New Roman" w:cs="Times New Roman"/>
          <w:color w:val="auto"/>
          <w:highlight w:val="none"/>
          <w:lang w:val="en-US" w:eastAsia="zh-CN"/>
        </w:rPr>
        <w:t>中以游蛇科物种为主，共20种。</w:t>
      </w:r>
    </w:p>
    <w:p w14:paraId="70F04A26">
      <w:pPr>
        <w:pStyle w:val="37"/>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评价区内可能分布的国家二级重点保护爬行动物</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种，即三索锦蛇</w:t>
      </w:r>
      <w:r>
        <w:rPr>
          <w:rFonts w:hint="default" w:ascii="Times New Roman" w:hAnsi="Times New Roman" w:cs="Times New Roman"/>
          <w:i/>
          <w:iCs/>
          <w:color w:val="auto"/>
          <w:highlight w:val="none"/>
        </w:rPr>
        <w:t>Coelognathus radiatus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乌龟</w:t>
      </w:r>
      <w:r>
        <w:rPr>
          <w:rFonts w:hint="default" w:ascii="Times New Roman" w:hAnsi="Times New Roman" w:cs="Times New Roman"/>
          <w:i/>
          <w:iCs/>
          <w:color w:val="auto"/>
          <w:highlight w:val="none"/>
        </w:rPr>
        <w:t>Mauremys reevesii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细脆蛇蜥</w:t>
      </w:r>
      <w:r>
        <w:rPr>
          <w:rFonts w:hint="default" w:ascii="Times New Roman" w:hAnsi="Times New Roman" w:cs="Times New Roman"/>
          <w:i/>
          <w:iCs/>
          <w:color w:val="auto"/>
          <w:highlight w:val="none"/>
        </w:rPr>
        <w:t>Dopasia gracilis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眼镜王蛇</w:t>
      </w:r>
      <w:r>
        <w:rPr>
          <w:rFonts w:hint="default" w:ascii="Times New Roman" w:hAnsi="Times New Roman" w:cs="Times New Roman"/>
          <w:i/>
          <w:iCs/>
          <w:color w:val="auto"/>
          <w:highlight w:val="none"/>
        </w:rPr>
        <w:t>Ophiophagus hannah</w:t>
      </w:r>
      <w:r>
        <w:rPr>
          <w:rFonts w:hint="default" w:ascii="Times New Roman" w:hAnsi="Times New Roman" w:cs="Times New Roman"/>
          <w:color w:val="auto"/>
          <w:highlight w:val="none"/>
          <w:lang w:eastAsia="zh-CN"/>
        </w:rPr>
        <w:t>；省级</w:t>
      </w:r>
      <w:r>
        <w:rPr>
          <w:rFonts w:hint="default" w:ascii="Times New Roman" w:hAnsi="Times New Roman" w:cs="Times New Roman"/>
          <w:color w:val="auto"/>
          <w:highlight w:val="none"/>
        </w:rPr>
        <w:t>重点保护爬行动物</w:t>
      </w:r>
      <w:r>
        <w:rPr>
          <w:rFonts w:hint="default" w:ascii="Times New Roman" w:hAnsi="Times New Roman" w:cs="Times New Roman"/>
          <w:color w:val="auto"/>
          <w:highlight w:val="none"/>
          <w:lang w:val="en-US" w:eastAsia="zh-CN"/>
        </w:rPr>
        <w:t>1种，即细鳞拟树蜥</w:t>
      </w:r>
      <w:r>
        <w:rPr>
          <w:rFonts w:hint="default" w:ascii="Times New Roman" w:hAnsi="Times New Roman" w:cs="Times New Roman"/>
          <w:i/>
          <w:iCs/>
          <w:color w:val="auto"/>
          <w:highlight w:val="none"/>
          <w:lang w:val="en-US" w:eastAsia="zh-CN"/>
        </w:rPr>
        <w:t>Pseudocalotes microlepis</w:t>
      </w:r>
      <w:r>
        <w:rPr>
          <w:rFonts w:hint="default" w:ascii="Times New Roman" w:hAnsi="Times New Roman" w:cs="Times New Roman"/>
          <w:color w:val="auto"/>
          <w:highlight w:val="none"/>
          <w:lang w:val="en-US" w:eastAsia="zh-CN"/>
        </w:rPr>
        <w:t>。</w:t>
      </w:r>
    </w:p>
    <w:p w14:paraId="2F64338A">
      <w:pPr>
        <w:pStyle w:val="37"/>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《中国生物多样性红色名录》中列入“濒危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EN</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”的有1种，即乌龟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细脆蛇蜥；列入“易危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VU</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种，即三索锦蛇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眼镜王蛇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赤链华游蛇</w:t>
      </w:r>
      <w:r>
        <w:rPr>
          <w:rFonts w:hint="default" w:ascii="Times New Roman" w:hAnsi="Times New Roman" w:cs="Times New Roman"/>
          <w:i/>
          <w:iCs/>
          <w:color w:val="auto"/>
          <w:highlight w:val="none"/>
        </w:rPr>
        <w:t>Trimerodytes annularis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黑眉锦蛇</w:t>
      </w:r>
      <w:r>
        <w:rPr>
          <w:rFonts w:hint="default" w:ascii="Times New Roman" w:hAnsi="Times New Roman" w:cs="Times New Roman"/>
          <w:i/>
          <w:iCs/>
          <w:color w:val="auto"/>
          <w:highlight w:val="none"/>
        </w:rPr>
        <w:t>Elaphe taeniura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王锦蛇</w:t>
      </w:r>
      <w:r>
        <w:rPr>
          <w:rFonts w:hint="default" w:ascii="Times New Roman" w:hAnsi="Times New Roman" w:cs="Times New Roman"/>
          <w:i/>
          <w:iCs/>
          <w:color w:val="auto"/>
          <w:highlight w:val="none"/>
        </w:rPr>
        <w:t>Elaphe carinata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乌梢蛇</w:t>
      </w:r>
      <w:r>
        <w:rPr>
          <w:rFonts w:hint="default" w:ascii="Times New Roman" w:hAnsi="Times New Roman" w:cs="Times New Roman"/>
          <w:i/>
          <w:iCs/>
          <w:color w:val="auto"/>
          <w:highlight w:val="none"/>
        </w:rPr>
        <w:t>Ptyas dhumnades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列入“</w:t>
      </w:r>
      <w:r>
        <w:rPr>
          <w:rFonts w:hint="default" w:ascii="Times New Roman" w:hAnsi="Times New Roman" w:cs="Times New Roman"/>
          <w:color w:val="auto"/>
          <w:highlight w:val="none"/>
          <w:lang w:val="en-US" w:eastAsia="zh-CN"/>
        </w:rPr>
        <w:t>近</w:t>
      </w:r>
      <w:r>
        <w:rPr>
          <w:rFonts w:hint="default" w:ascii="Times New Roman" w:hAnsi="Times New Roman" w:cs="Times New Roman"/>
          <w:color w:val="auto"/>
          <w:highlight w:val="none"/>
        </w:rPr>
        <w:t>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NT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种，即黑线乌梢蛇</w:t>
      </w:r>
      <w:r>
        <w:rPr>
          <w:rFonts w:hint="default" w:ascii="Times New Roman" w:hAnsi="Times New Roman" w:cs="Times New Roman"/>
          <w:i/>
          <w:iCs/>
          <w:color w:val="auto"/>
          <w:highlight w:val="none"/>
        </w:rPr>
        <w:t>Ptyas nigromarginata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灰鼠蛇</w:t>
      </w:r>
      <w:r>
        <w:rPr>
          <w:rFonts w:hint="default" w:ascii="Times New Roman" w:hAnsi="Times New Roman" w:cs="Times New Roman"/>
          <w:i/>
          <w:iCs/>
          <w:color w:val="auto"/>
          <w:highlight w:val="none"/>
        </w:rPr>
        <w:t>Ptyas korros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云南半叶趾虎</w:t>
      </w:r>
      <w:r>
        <w:rPr>
          <w:rFonts w:hint="default" w:ascii="Times New Roman" w:hAnsi="Times New Roman" w:cs="Times New Roman"/>
          <w:i/>
          <w:iCs/>
          <w:color w:val="auto"/>
          <w:highlight w:val="none"/>
        </w:rPr>
        <w:t>Hemiphyllodactylus yunnanensis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其余为“无危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LC</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或“缺乏数据（DD）”。</w:t>
      </w:r>
    </w:p>
    <w:p w14:paraId="53F0BFA0">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有中国特有种</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种，即八线腹链蛇</w:t>
      </w:r>
      <w:r>
        <w:rPr>
          <w:rFonts w:hint="default" w:ascii="Times New Roman" w:hAnsi="Times New Roman" w:cs="Times New Roman"/>
          <w:i/>
          <w:iCs/>
          <w:color w:val="auto"/>
          <w:highlight w:val="none"/>
        </w:rPr>
        <w:t>Hebius octolineatum</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昆明滑蜥</w:t>
      </w:r>
      <w:r>
        <w:rPr>
          <w:rFonts w:hint="default" w:ascii="Times New Roman" w:hAnsi="Times New Roman" w:cs="Times New Roman"/>
          <w:i/>
          <w:iCs/>
          <w:color w:val="auto"/>
          <w:highlight w:val="none"/>
        </w:rPr>
        <w:t>Scincella barbouri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昆明攀蜥</w:t>
      </w:r>
      <w:r>
        <w:rPr>
          <w:rFonts w:hint="default" w:ascii="Times New Roman" w:hAnsi="Times New Roman" w:cs="Times New Roman"/>
          <w:i/>
          <w:iCs/>
          <w:color w:val="auto"/>
          <w:highlight w:val="none"/>
        </w:rPr>
        <w:t>Diploderma varcoae</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云南攀蜥</w:t>
      </w:r>
      <w:r>
        <w:rPr>
          <w:rFonts w:hint="default" w:ascii="Times New Roman" w:hAnsi="Times New Roman" w:cs="Times New Roman"/>
          <w:i/>
          <w:iCs/>
          <w:color w:val="auto"/>
          <w:highlight w:val="none"/>
        </w:rPr>
        <w:t>Diploderma yunnanense</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颈棱蛇</w:t>
      </w:r>
      <w:r>
        <w:rPr>
          <w:rFonts w:hint="default" w:ascii="Times New Roman" w:hAnsi="Times New Roman" w:cs="Times New Roman"/>
          <w:i/>
          <w:iCs/>
          <w:color w:val="auto"/>
          <w:highlight w:val="none"/>
        </w:rPr>
        <w:t>Pseudagkistrodon rudis</w:t>
      </w:r>
      <w:r>
        <w:rPr>
          <w:rFonts w:hint="default" w:ascii="Times New Roman" w:hAnsi="Times New Roman" w:cs="Times New Roman"/>
          <w:color w:val="auto"/>
          <w:highlight w:val="none"/>
        </w:rPr>
        <w:t>。常见种有昆明攀蜥、乌梢蛇等。</w:t>
      </w:r>
    </w:p>
    <w:p w14:paraId="2EF6A4AD">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B.区系类型</w:t>
      </w:r>
    </w:p>
    <w:p w14:paraId="727AC211">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按照动物地理区系划分，可将爬行类分为以下2类：东洋</w:t>
      </w:r>
      <w:r>
        <w:rPr>
          <w:rFonts w:hint="default" w:ascii="Times New Roman" w:hAnsi="Times New Roman" w:cs="Times New Roman"/>
          <w:color w:val="auto"/>
          <w:highlight w:val="none"/>
          <w:lang w:val="en-US" w:eastAsia="zh-CN"/>
        </w:rPr>
        <w:t>界物种33</w:t>
      </w:r>
      <w:r>
        <w:rPr>
          <w:rFonts w:hint="default" w:ascii="Times New Roman" w:hAnsi="Times New Roman" w:cs="Times New Roman"/>
          <w:color w:val="auto"/>
          <w:highlight w:val="none"/>
        </w:rPr>
        <w:t>种，占种数的</w:t>
      </w:r>
      <w:r>
        <w:rPr>
          <w:rFonts w:hint="default" w:ascii="Times New Roman" w:hAnsi="Times New Roman" w:cs="Times New Roman"/>
          <w:color w:val="auto"/>
          <w:highlight w:val="none"/>
          <w:lang w:val="en-US" w:eastAsia="zh-CN"/>
        </w:rPr>
        <w:t>82.5</w:t>
      </w:r>
      <w:r>
        <w:rPr>
          <w:rFonts w:hint="default" w:ascii="Times New Roman" w:hAnsi="Times New Roman" w:cs="Times New Roman"/>
          <w:color w:val="auto"/>
          <w:highlight w:val="none"/>
        </w:rPr>
        <w:t>%；广布种</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种，占种数的</w:t>
      </w:r>
      <w:r>
        <w:rPr>
          <w:rFonts w:hint="default" w:ascii="Times New Roman" w:hAnsi="Times New Roman" w:cs="Times New Roman"/>
          <w:color w:val="auto"/>
          <w:highlight w:val="none"/>
          <w:lang w:val="en-US" w:eastAsia="zh-CN"/>
        </w:rPr>
        <w:t>17.5</w:t>
      </w:r>
      <w:r>
        <w:rPr>
          <w:rFonts w:hint="default" w:ascii="Times New Roman" w:hAnsi="Times New Roman" w:cs="Times New Roman"/>
          <w:color w:val="auto"/>
          <w:highlight w:val="none"/>
        </w:rPr>
        <w:t>%；无古北种。评价区内的爬行类区系成分从趋势上而言与两栖类类似，以东洋界成分为主，爬行类的迁移能力也较差，古北界成分难以跨越地理阻障向东洋界渗透，因此无古北界成分。</w:t>
      </w:r>
    </w:p>
    <w:p w14:paraId="4C59E57B">
      <w:pPr>
        <w:pStyle w:val="37"/>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C.</w:t>
      </w:r>
      <w:r>
        <w:rPr>
          <w:rFonts w:hint="default" w:ascii="Times New Roman" w:hAnsi="Times New Roman" w:cs="Times New Roman"/>
          <w:color w:val="auto"/>
          <w:highlight w:val="none"/>
        </w:rPr>
        <w:t>生态类型</w:t>
      </w:r>
    </w:p>
    <w:p w14:paraId="07C3D549">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根据水源区与水源下游区内爬行类生活习性的不同，可以将上述爬行类分为以下</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种生态类型：</w:t>
      </w:r>
    </w:p>
    <w:p w14:paraId="0D792136">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穴居型（主要在地表覆盖物下或浅土层中隐蔽活动的爬行类）：</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种，即细脆蛇蜥、钩盲蛇</w:t>
      </w:r>
      <w:r>
        <w:rPr>
          <w:rFonts w:hint="default" w:ascii="Times New Roman" w:hAnsi="Times New Roman" w:cs="Times New Roman"/>
          <w:i/>
          <w:iCs/>
          <w:color w:val="auto"/>
          <w:highlight w:val="none"/>
        </w:rPr>
        <w:t>Indotyphlops braminus</w:t>
      </w:r>
      <w:r>
        <w:rPr>
          <w:rFonts w:hint="default" w:ascii="Times New Roman" w:hAnsi="Times New Roman" w:cs="Times New Roman"/>
          <w:i w:val="0"/>
          <w:iCs w:val="0"/>
          <w:color w:val="auto"/>
          <w:highlight w:val="none"/>
          <w:lang w:eastAsia="zh-CN"/>
        </w:rPr>
        <w:t>，</w:t>
      </w:r>
      <w:r>
        <w:rPr>
          <w:rFonts w:hint="default" w:ascii="Times New Roman" w:hAnsi="Times New Roman" w:cs="Times New Roman"/>
          <w:i w:val="0"/>
          <w:iCs w:val="0"/>
          <w:color w:val="auto"/>
          <w:highlight w:val="none"/>
        </w:rPr>
        <w:t>喜隐伏在石块及树根下，也栖息在枯枝残叶下或山区路旁浅洼中，多夜间外出觅食</w:t>
      </w:r>
      <w:r>
        <w:rPr>
          <w:rFonts w:hint="default" w:ascii="Times New Roman" w:hAnsi="Times New Roman" w:cs="Times New Roman"/>
          <w:color w:val="auto"/>
          <w:highlight w:val="none"/>
        </w:rPr>
        <w:t>。</w:t>
      </w:r>
    </w:p>
    <w:p w14:paraId="7DD0E103">
      <w:pPr>
        <w:pStyle w:val="3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水栖型</w:t>
      </w:r>
      <w:r>
        <w:rPr>
          <w:rFonts w:hint="default" w:ascii="Times New Roman" w:hAnsi="Times New Roman" w:cs="Times New Roman"/>
          <w:color w:val="auto"/>
          <w:highlight w:val="none"/>
          <w:lang w:eastAsia="zh-CN"/>
        </w:rPr>
        <w:t>（在水中生活、觅食</w:t>
      </w:r>
      <w:r>
        <w:rPr>
          <w:rFonts w:hint="default" w:ascii="Times New Roman" w:hAnsi="Times New Roman" w:cs="Times New Roman"/>
          <w:color w:val="auto"/>
          <w:highlight w:val="none"/>
          <w:lang w:val="en-US" w:eastAsia="zh-CN"/>
        </w:rPr>
        <w:t>的爬行类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1种，即乌龟，栖息于静止或缓慢移动的淡水中，如河流、湖泊、水库、池塘、沼泽、灌溉稻田的中下游。</w:t>
      </w:r>
    </w:p>
    <w:p w14:paraId="53DA5AE3">
      <w:pPr>
        <w:pStyle w:val="3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半水栖型（可在静水或缓流区域觅食、避敌和日常活动，也可在岸边休息或繁殖的爬行类）：4种，即赤链华游蛇、八线腹链蛇、草腹链蛇</w:t>
      </w:r>
      <w:r>
        <w:rPr>
          <w:rFonts w:hint="default" w:ascii="Times New Roman" w:hAnsi="Times New Roman" w:cs="Times New Roman"/>
          <w:i/>
          <w:iCs/>
          <w:color w:val="auto"/>
          <w:highlight w:val="none"/>
          <w:lang w:val="en-US" w:eastAsia="zh-CN"/>
        </w:rPr>
        <w:t>Amphiesma stolatum</w:t>
      </w:r>
      <w:r>
        <w:rPr>
          <w:rFonts w:hint="default" w:ascii="Times New Roman" w:hAnsi="Times New Roman" w:cs="Times New Roman"/>
          <w:color w:val="auto"/>
          <w:highlight w:val="none"/>
          <w:lang w:val="en-US" w:eastAsia="zh-CN"/>
        </w:rPr>
        <w:t>、虎斑颈槽蛇</w:t>
      </w:r>
      <w:r>
        <w:rPr>
          <w:rFonts w:hint="default" w:ascii="Times New Roman" w:hAnsi="Times New Roman" w:cs="Times New Roman"/>
          <w:i/>
          <w:iCs/>
          <w:color w:val="auto"/>
          <w:highlight w:val="none"/>
          <w:lang w:val="en-US" w:eastAsia="zh-CN"/>
        </w:rPr>
        <w:t>Rhabdophis tigrinus</w:t>
      </w:r>
      <w:r>
        <w:rPr>
          <w:rFonts w:hint="default" w:ascii="Times New Roman" w:hAnsi="Times New Roman" w:cs="Times New Roman"/>
          <w:color w:val="auto"/>
          <w:highlight w:val="none"/>
          <w:lang w:val="en-US" w:eastAsia="zh-CN"/>
        </w:rPr>
        <w:t>，主要在评价区的稻田或其他静水水域中游泳捕食，多在农田、池塘边湿润的泥土或洞穴中休息。</w:t>
      </w:r>
    </w:p>
    <w:p w14:paraId="7FA735B8">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住宅型（在住宅区的建筑物中筑巢、繁殖、活动的爬行类）：3种，即云南半叶趾虎、黑眉锦蛇、原尾蜥虎</w:t>
      </w:r>
      <w:r>
        <w:rPr>
          <w:rFonts w:hint="default" w:ascii="Times New Roman" w:hAnsi="Times New Roman" w:cs="Times New Roman"/>
          <w:i/>
          <w:iCs/>
          <w:color w:val="auto"/>
          <w:highlight w:val="none"/>
        </w:rPr>
        <w:t>Hemidactylus bowringii</w:t>
      </w:r>
      <w:r>
        <w:rPr>
          <w:rFonts w:hint="default" w:ascii="Times New Roman" w:hAnsi="Times New Roman" w:cs="Times New Roman"/>
          <w:color w:val="auto"/>
          <w:highlight w:val="none"/>
        </w:rPr>
        <w:t>，主要在居住点附近活动。</w:t>
      </w:r>
    </w:p>
    <w:p w14:paraId="1FC2E3D8">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灌丛石隙型（经常活动在灌丛下面，路边石缝中的爬行类）：共</w:t>
      </w:r>
      <w:r>
        <w:rPr>
          <w:rFonts w:hint="default" w:ascii="Times New Roman" w:hAnsi="Times New Roman" w:cs="Times New Roman"/>
          <w:color w:val="auto"/>
          <w:highlight w:val="none"/>
          <w:lang w:val="en-US" w:eastAsia="zh-CN"/>
        </w:rPr>
        <w:t>16</w:t>
      </w:r>
      <w:r>
        <w:rPr>
          <w:rFonts w:hint="default" w:ascii="Times New Roman" w:hAnsi="Times New Roman" w:cs="Times New Roman"/>
          <w:color w:val="auto"/>
          <w:highlight w:val="none"/>
        </w:rPr>
        <w:t>种，即三索锦蛇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黑线乌梢蛇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灰鼠蛇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乌梢蛇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昆明滑蜥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昆明攀蜥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云南攀蜥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菜花原矛头蝮</w:t>
      </w:r>
      <w:r>
        <w:rPr>
          <w:rFonts w:hint="default" w:ascii="Times New Roman" w:hAnsi="Times New Roman" w:cs="Times New Roman"/>
          <w:i/>
          <w:iCs/>
          <w:color w:val="auto"/>
          <w:highlight w:val="none"/>
        </w:rPr>
        <w:t>Protobothrops jerdonii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多线南蜥</w:t>
      </w:r>
      <w:r>
        <w:rPr>
          <w:rFonts w:hint="default" w:ascii="Times New Roman" w:hAnsi="Times New Roman" w:cs="Times New Roman"/>
          <w:i/>
          <w:iCs/>
          <w:color w:val="auto"/>
          <w:highlight w:val="none"/>
        </w:rPr>
        <w:t>Eutropis multifasciata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腹斑腹链蛇</w:t>
      </w:r>
      <w:r>
        <w:rPr>
          <w:rFonts w:hint="default" w:ascii="Times New Roman" w:hAnsi="Times New Roman" w:cs="Times New Roman"/>
          <w:i/>
          <w:iCs/>
          <w:color w:val="auto"/>
          <w:highlight w:val="none"/>
        </w:rPr>
        <w:t>Hebius modestus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蓝尾石龙子</w:t>
      </w:r>
      <w:r>
        <w:rPr>
          <w:rFonts w:hint="default" w:ascii="Times New Roman" w:hAnsi="Times New Roman" w:cs="Times New Roman"/>
          <w:i/>
          <w:iCs/>
          <w:color w:val="auto"/>
          <w:highlight w:val="none"/>
        </w:rPr>
        <w:t>Plestiodon elegans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山滑蜥</w:t>
      </w:r>
      <w:r>
        <w:rPr>
          <w:rFonts w:hint="default" w:ascii="Times New Roman" w:hAnsi="Times New Roman" w:cs="Times New Roman"/>
          <w:i/>
          <w:iCs/>
          <w:color w:val="auto"/>
          <w:highlight w:val="none"/>
        </w:rPr>
        <w:t>Scincella monticola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山烙铁头蛇</w:t>
      </w:r>
      <w:r>
        <w:rPr>
          <w:rFonts w:hint="default" w:ascii="Times New Roman" w:hAnsi="Times New Roman" w:cs="Times New Roman"/>
          <w:i/>
          <w:iCs/>
          <w:color w:val="auto"/>
          <w:highlight w:val="none"/>
        </w:rPr>
        <w:t>Ovophis monticola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铜蜓蜥</w:t>
      </w:r>
      <w:r>
        <w:rPr>
          <w:rFonts w:hint="default" w:ascii="Times New Roman" w:hAnsi="Times New Roman" w:cs="Times New Roman"/>
          <w:i/>
          <w:iCs/>
          <w:color w:val="auto"/>
          <w:highlight w:val="none"/>
        </w:rPr>
        <w:t>Sphenomorphus indicus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大眼斜鳞蛇</w:t>
      </w:r>
      <w:r>
        <w:rPr>
          <w:rFonts w:hint="default" w:ascii="Times New Roman" w:hAnsi="Times New Roman" w:cs="Times New Roman"/>
          <w:i/>
          <w:iCs/>
          <w:color w:val="auto"/>
          <w:highlight w:val="none"/>
        </w:rPr>
        <w:t>Pseudoxenodon macrops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双全链蛇（双全白环蛇</w:t>
      </w:r>
      <w:r>
        <w:rPr>
          <w:rFonts w:hint="default" w:ascii="Times New Roman" w:hAnsi="Times New Roman" w:cs="Times New Roman"/>
          <w:i w:val="0"/>
          <w:iCs w:val="0"/>
          <w:color w:val="auto"/>
          <w:highlight w:val="none"/>
        </w:rPr>
        <w:t>）</w:t>
      </w:r>
      <w:r>
        <w:rPr>
          <w:rFonts w:hint="default" w:ascii="Times New Roman" w:hAnsi="Times New Roman" w:cs="Times New Roman"/>
          <w:i/>
          <w:iCs/>
          <w:color w:val="auto"/>
          <w:highlight w:val="none"/>
        </w:rPr>
        <w:t>Lycodon fasciatus</w:t>
      </w:r>
      <w:r>
        <w:rPr>
          <w:rFonts w:hint="default" w:ascii="Times New Roman" w:hAnsi="Times New Roman" w:cs="Times New Roman"/>
          <w:color w:val="auto"/>
          <w:highlight w:val="none"/>
        </w:rPr>
        <w:t>，主要在评价区内的灌丛、草地及石缝等环境中活动。</w:t>
      </w:r>
    </w:p>
    <w:p w14:paraId="64119625">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林栖傍水型（在山谷间有溪流的山坡上或靠近溪流水域的林地、灌草丛中活动的爬行类）：共</w:t>
      </w:r>
      <w:r>
        <w:rPr>
          <w:rFonts w:hint="default" w:ascii="Times New Roman" w:hAnsi="Times New Roman" w:cs="Times New Roman"/>
          <w:color w:val="auto"/>
          <w:highlight w:val="none"/>
          <w:lang w:val="en-US" w:eastAsia="zh-CN"/>
        </w:rPr>
        <w:t>11</w:t>
      </w:r>
      <w:r>
        <w:rPr>
          <w:rFonts w:hint="default" w:ascii="Times New Roman" w:hAnsi="Times New Roman" w:cs="Times New Roman"/>
          <w:color w:val="auto"/>
          <w:highlight w:val="none"/>
        </w:rPr>
        <w:t>种，即眼镜王蛇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王锦蛇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颈棱蛇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北方颈槽蛇Rhabdophis helleri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翠青蛇Ptyas major</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北链蛇</w:t>
      </w:r>
      <w:r>
        <w:rPr>
          <w:rFonts w:hint="default" w:ascii="Times New Roman" w:hAnsi="Times New Roman" w:cs="Times New Roman"/>
          <w:i/>
          <w:iCs/>
          <w:color w:val="auto"/>
          <w:highlight w:val="none"/>
        </w:rPr>
        <w:t>Lycodon septentrionalis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繁花林蛇</w:t>
      </w:r>
      <w:r>
        <w:rPr>
          <w:rFonts w:hint="default" w:ascii="Times New Roman" w:hAnsi="Times New Roman" w:cs="Times New Roman"/>
          <w:i/>
          <w:iCs/>
          <w:color w:val="auto"/>
          <w:highlight w:val="none"/>
        </w:rPr>
        <w:t>Boiga multomaculata</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福建竹叶青蛇</w:t>
      </w:r>
      <w:r>
        <w:rPr>
          <w:rFonts w:hint="default" w:ascii="Times New Roman" w:hAnsi="Times New Roman" w:cs="Times New Roman"/>
          <w:i/>
          <w:iCs/>
          <w:color w:val="auto"/>
          <w:highlight w:val="none"/>
        </w:rPr>
        <w:t>Trimeresurus stejnegeri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黄链蛇</w:t>
      </w:r>
      <w:r>
        <w:rPr>
          <w:rFonts w:hint="default" w:ascii="Times New Roman" w:hAnsi="Times New Roman" w:cs="Times New Roman"/>
          <w:i/>
          <w:iCs/>
          <w:color w:val="auto"/>
          <w:highlight w:val="none"/>
        </w:rPr>
        <w:t>Lycodon flavozonatus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云南竹叶青蛇</w:t>
      </w:r>
      <w:r>
        <w:rPr>
          <w:rFonts w:hint="default" w:ascii="Times New Roman" w:hAnsi="Times New Roman" w:cs="Times New Roman"/>
          <w:i/>
          <w:iCs/>
          <w:color w:val="auto"/>
          <w:highlight w:val="none"/>
        </w:rPr>
        <w:t>Trimeresurus yunnanensis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紫灰蛇</w:t>
      </w:r>
      <w:r>
        <w:rPr>
          <w:rFonts w:hint="default" w:ascii="Times New Roman" w:hAnsi="Times New Roman" w:cs="Times New Roman"/>
          <w:i/>
          <w:iCs/>
          <w:color w:val="auto"/>
          <w:highlight w:val="none"/>
        </w:rPr>
        <w:t>Oreocryptophis porphyraceus</w:t>
      </w:r>
      <w:r>
        <w:rPr>
          <w:rFonts w:hint="default" w:ascii="Times New Roman" w:hAnsi="Times New Roman" w:cs="Times New Roman"/>
          <w:color w:val="auto"/>
          <w:highlight w:val="none"/>
        </w:rPr>
        <w:t>，它们主要在评价区内近水的林下活动。</w:t>
      </w:r>
    </w:p>
    <w:p w14:paraId="3F530A5E">
      <w:pPr>
        <w:pStyle w:val="3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树栖型（主要在树上栖息、觅食的爬行类）：3种，细鳞拟树蜥、蚌西拟树蜥</w:t>
      </w:r>
      <w:r>
        <w:rPr>
          <w:rFonts w:hint="default" w:ascii="Times New Roman" w:hAnsi="Times New Roman" w:cs="Times New Roman"/>
          <w:i/>
          <w:iCs/>
          <w:color w:val="auto"/>
          <w:highlight w:val="none"/>
          <w:lang w:val="en-US" w:eastAsia="zh-CN"/>
        </w:rPr>
        <w:t>Pseudocalotes kakhienensis</w:t>
      </w:r>
      <w:r>
        <w:rPr>
          <w:rFonts w:hint="default" w:ascii="Times New Roman" w:hAnsi="Times New Roman" w:cs="Times New Roman"/>
          <w:color w:val="auto"/>
          <w:highlight w:val="none"/>
          <w:lang w:val="en-US" w:eastAsia="zh-CN"/>
        </w:rPr>
        <w:t>、棕背树蜥</w:t>
      </w:r>
      <w:r>
        <w:rPr>
          <w:rFonts w:hint="default" w:ascii="Times New Roman" w:hAnsi="Times New Roman" w:cs="Times New Roman"/>
          <w:i/>
          <w:iCs/>
          <w:color w:val="auto"/>
          <w:highlight w:val="none"/>
          <w:lang w:val="en-US" w:eastAsia="zh-CN"/>
        </w:rPr>
        <w:t>Calotes emma</w:t>
      </w:r>
      <w:r>
        <w:rPr>
          <w:rFonts w:hint="default" w:ascii="Times New Roman" w:hAnsi="Times New Roman" w:cs="Times New Roman"/>
          <w:color w:val="auto"/>
          <w:highlight w:val="none"/>
          <w:lang w:val="en-US" w:eastAsia="zh-CN"/>
        </w:rPr>
        <w:t>，主要在评价区环境潮湿的林地或林地灌丛中活动。</w:t>
      </w:r>
    </w:p>
    <w:p w14:paraId="59C078A8">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④两栖类</w:t>
      </w:r>
    </w:p>
    <w:p w14:paraId="3B6C2F41">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A.种类、数量及分布</w:t>
      </w:r>
    </w:p>
    <w:p w14:paraId="44DAF853">
      <w:pPr>
        <w:pStyle w:val="3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评价区分布的两栖动物共有2目9科2</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占云南省</w:t>
      </w:r>
      <w:r>
        <w:rPr>
          <w:rFonts w:hint="default" w:ascii="Times New Roman" w:hAnsi="Times New Roman" w:cs="Times New Roman"/>
          <w:color w:val="auto"/>
          <w:highlight w:val="none"/>
          <w:lang w:val="en-US" w:eastAsia="zh-CN"/>
        </w:rPr>
        <w:t>两栖类</w:t>
      </w:r>
      <w:r>
        <w:rPr>
          <w:rFonts w:hint="default" w:ascii="Times New Roman" w:hAnsi="Times New Roman" w:cs="Times New Roman"/>
          <w:color w:val="auto"/>
          <w:highlight w:val="none"/>
        </w:rPr>
        <w:t>物种总数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185种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w:t>
      </w:r>
      <w:r>
        <w:rPr>
          <w:rFonts w:hint="default" w:ascii="Times New Roman" w:hAnsi="Times New Roman" w:cs="Times New Roman"/>
          <w:color w:val="auto"/>
          <w:highlight w:val="none"/>
          <w:lang w:val="en-US" w:eastAsia="zh-CN"/>
        </w:rPr>
        <w:t>15.14</w:t>
      </w:r>
      <w:r>
        <w:rPr>
          <w:rFonts w:hint="default" w:ascii="Times New Roman" w:hAnsi="Times New Roman" w:cs="Times New Roman"/>
          <w:color w:val="auto"/>
          <w:highlight w:val="none"/>
        </w:rPr>
        <w:t>%。其中</w:t>
      </w:r>
      <w:r>
        <w:rPr>
          <w:rFonts w:hint="default" w:ascii="Times New Roman" w:hAnsi="Times New Roman" w:cs="Times New Roman"/>
          <w:color w:val="auto"/>
          <w:highlight w:val="none"/>
          <w:lang w:val="en-US" w:eastAsia="zh-CN"/>
        </w:rPr>
        <w:t>有尾</w:t>
      </w:r>
      <w:r>
        <w:rPr>
          <w:rFonts w:hint="default" w:ascii="Times New Roman" w:hAnsi="Times New Roman" w:cs="Times New Roman"/>
          <w:color w:val="auto"/>
          <w:highlight w:val="none"/>
        </w:rPr>
        <w:t>目</w:t>
      </w:r>
      <w:r>
        <w:rPr>
          <w:rFonts w:hint="default" w:ascii="Times New Roman" w:hAnsi="Times New Roman" w:cs="Times New Roman"/>
          <w:color w:val="auto"/>
          <w:highlight w:val="none"/>
          <w:lang w:val="en-US" w:eastAsia="zh-CN"/>
        </w:rPr>
        <w:t>2种，无尾</w:t>
      </w:r>
      <w:r>
        <w:rPr>
          <w:rFonts w:hint="default" w:ascii="Times New Roman" w:hAnsi="Times New Roman" w:cs="Times New Roman"/>
          <w:color w:val="auto"/>
          <w:highlight w:val="none"/>
        </w:rPr>
        <w:t>目</w:t>
      </w:r>
      <w:r>
        <w:rPr>
          <w:rFonts w:hint="default" w:ascii="Times New Roman" w:hAnsi="Times New Roman" w:cs="Times New Roman"/>
          <w:color w:val="auto"/>
          <w:highlight w:val="none"/>
          <w:lang w:val="en-US" w:eastAsia="zh-CN"/>
        </w:rPr>
        <w:t>26种，无尾</w:t>
      </w:r>
      <w:r>
        <w:rPr>
          <w:rFonts w:hint="default" w:ascii="Times New Roman" w:hAnsi="Times New Roman" w:cs="Times New Roman"/>
          <w:color w:val="auto"/>
          <w:highlight w:val="none"/>
        </w:rPr>
        <w:t>目</w:t>
      </w:r>
      <w:r>
        <w:rPr>
          <w:rFonts w:hint="default" w:ascii="Times New Roman" w:hAnsi="Times New Roman" w:cs="Times New Roman"/>
          <w:color w:val="auto"/>
          <w:highlight w:val="none"/>
          <w:lang w:val="en-US" w:eastAsia="zh-CN"/>
        </w:rPr>
        <w:t>中以蛙科物种为主，共9种。</w:t>
      </w:r>
    </w:p>
    <w:p w14:paraId="26F90709">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评价区内可能分布的国家二级重点保护两栖动物</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种，即红瘰疣螈</w:t>
      </w:r>
      <w:r>
        <w:rPr>
          <w:rFonts w:hint="default" w:ascii="Times New Roman" w:hAnsi="Times New Roman" w:cs="Times New Roman"/>
          <w:i/>
          <w:iCs/>
          <w:color w:val="auto"/>
          <w:highlight w:val="none"/>
        </w:rPr>
        <w:t>Tylototriton shanjing</w:t>
      </w:r>
      <w:r>
        <w:rPr>
          <w:rFonts w:hint="default" w:ascii="Times New Roman" w:hAnsi="Times New Roman" w:cs="Times New Roman"/>
          <w:i/>
          <w:iCs/>
          <w:color w:val="auto"/>
          <w:highlight w:val="none"/>
          <w:lang w:eastAsia="zh-CN"/>
        </w:rPr>
        <w:t>、</w:t>
      </w:r>
      <w:r>
        <w:rPr>
          <w:rFonts w:hint="default" w:ascii="Times New Roman" w:hAnsi="Times New Roman" w:cs="Times New Roman"/>
          <w:i w:val="0"/>
          <w:iCs w:val="0"/>
          <w:color w:val="auto"/>
          <w:highlight w:val="none"/>
          <w:lang w:eastAsia="zh-CN"/>
        </w:rPr>
        <w:t>虎纹蛙</w:t>
      </w:r>
      <w:r>
        <w:rPr>
          <w:rFonts w:hint="default" w:ascii="Times New Roman" w:hAnsi="Times New Roman" w:cs="Times New Roman"/>
          <w:i/>
          <w:iCs/>
          <w:color w:val="auto"/>
          <w:highlight w:val="none"/>
          <w:lang w:eastAsia="zh-CN"/>
        </w:rPr>
        <w:t>Hoplobatrachus chinensis</w:t>
      </w:r>
      <w:r>
        <w:rPr>
          <w:rFonts w:hint="default" w:ascii="Times New Roman" w:hAnsi="Times New Roman" w:cs="Times New Roman"/>
          <w:color w:val="auto"/>
          <w:highlight w:val="none"/>
        </w:rPr>
        <w:t>，未发现</w:t>
      </w:r>
      <w:r>
        <w:rPr>
          <w:rFonts w:hint="default" w:ascii="Times New Roman" w:hAnsi="Times New Roman" w:cs="Times New Roman"/>
          <w:color w:val="auto"/>
          <w:highlight w:val="none"/>
          <w:lang w:val="en-US" w:eastAsia="zh-CN"/>
        </w:rPr>
        <w:t>国家一级重点保护两栖动物和</w:t>
      </w:r>
      <w:r>
        <w:rPr>
          <w:rFonts w:hint="default" w:ascii="Times New Roman" w:hAnsi="Times New Roman" w:cs="Times New Roman"/>
          <w:color w:val="auto"/>
          <w:highlight w:val="none"/>
          <w:lang w:eastAsia="zh-CN"/>
        </w:rPr>
        <w:t>省级</w:t>
      </w:r>
      <w:r>
        <w:rPr>
          <w:rFonts w:hint="default" w:ascii="Times New Roman" w:hAnsi="Times New Roman" w:cs="Times New Roman"/>
          <w:color w:val="auto"/>
          <w:highlight w:val="none"/>
        </w:rPr>
        <w:t>重点保护两栖动物。</w:t>
      </w:r>
    </w:p>
    <w:p w14:paraId="20BC9E49">
      <w:pPr>
        <w:pStyle w:val="37"/>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《中国生物多样性红色名录》中列入“濒危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EN</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种，即</w:t>
      </w:r>
      <w:r>
        <w:rPr>
          <w:rFonts w:hint="default" w:ascii="Times New Roman" w:hAnsi="Times New Roman" w:cs="Times New Roman"/>
          <w:i w:val="0"/>
          <w:iCs w:val="0"/>
          <w:color w:val="auto"/>
          <w:highlight w:val="none"/>
          <w:lang w:eastAsia="zh-CN"/>
        </w:rPr>
        <w:t>虎纹蛙、</w:t>
      </w:r>
      <w:r>
        <w:rPr>
          <w:rFonts w:hint="default" w:ascii="Times New Roman" w:hAnsi="Times New Roman" w:cs="Times New Roman"/>
          <w:color w:val="auto"/>
          <w:highlight w:val="none"/>
        </w:rPr>
        <w:t>云南棘蛙</w:t>
      </w:r>
      <w:r>
        <w:rPr>
          <w:rFonts w:hint="default" w:ascii="Times New Roman" w:hAnsi="Times New Roman" w:cs="Times New Roman"/>
          <w:i/>
          <w:iCs/>
          <w:color w:val="auto"/>
          <w:highlight w:val="none"/>
        </w:rPr>
        <w:t>Gynandropaa yunnanensis</w:t>
      </w:r>
      <w:r>
        <w:rPr>
          <w:rFonts w:hint="default" w:ascii="Times New Roman" w:hAnsi="Times New Roman" w:cs="Times New Roman"/>
          <w:color w:val="auto"/>
          <w:highlight w:val="none"/>
        </w:rPr>
        <w:t>，列入“易危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VU</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”的有4种，即红瘰疣螈、棘腹蛙</w:t>
      </w:r>
      <w:r>
        <w:rPr>
          <w:rFonts w:hint="default" w:ascii="Times New Roman" w:hAnsi="Times New Roman" w:cs="Times New Roman"/>
          <w:i/>
          <w:iCs/>
          <w:color w:val="auto"/>
          <w:highlight w:val="none"/>
        </w:rPr>
        <w:t>Quasipaa boulengeri</w:t>
      </w:r>
      <w:r>
        <w:rPr>
          <w:rFonts w:hint="default" w:ascii="Times New Roman" w:hAnsi="Times New Roman" w:cs="Times New Roman"/>
          <w:color w:val="auto"/>
          <w:highlight w:val="none"/>
        </w:rPr>
        <w:t>、微蹼铃蟾</w:t>
      </w:r>
      <w:r>
        <w:rPr>
          <w:rFonts w:hint="default" w:ascii="Times New Roman" w:hAnsi="Times New Roman" w:cs="Times New Roman"/>
          <w:i/>
          <w:iCs/>
          <w:color w:val="auto"/>
          <w:highlight w:val="none"/>
        </w:rPr>
        <w:t>Bombina microdeladigitora</w:t>
      </w:r>
      <w:r>
        <w:rPr>
          <w:rFonts w:hint="default" w:ascii="Times New Roman" w:hAnsi="Times New Roman" w:cs="Times New Roman"/>
          <w:color w:val="auto"/>
          <w:highlight w:val="none"/>
        </w:rPr>
        <w:t>、云南臭蛙</w:t>
      </w:r>
      <w:r>
        <w:rPr>
          <w:rFonts w:hint="default" w:ascii="Times New Roman" w:hAnsi="Times New Roman" w:cs="Times New Roman"/>
          <w:i/>
          <w:iCs/>
          <w:color w:val="auto"/>
          <w:highlight w:val="none"/>
        </w:rPr>
        <w:t>Odorrana yunnanensis</w:t>
      </w:r>
      <w:r>
        <w:rPr>
          <w:rFonts w:hint="default" w:ascii="Times New Roman" w:hAnsi="Times New Roman" w:cs="Times New Roman"/>
          <w:color w:val="auto"/>
          <w:highlight w:val="none"/>
        </w:rPr>
        <w:t>；列入“近危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NT</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”的有</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种，即黑斑侧褶蛙</w:t>
      </w:r>
      <w:r>
        <w:rPr>
          <w:rFonts w:hint="default" w:ascii="Times New Roman" w:hAnsi="Times New Roman" w:cs="Times New Roman"/>
          <w:i/>
          <w:iCs/>
          <w:color w:val="auto"/>
          <w:highlight w:val="none"/>
        </w:rPr>
        <w:t>Pelophylax nigromaculatus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蓝尾蝾螈</w:t>
      </w:r>
      <w:r>
        <w:rPr>
          <w:rFonts w:hint="default" w:ascii="Times New Roman" w:hAnsi="Times New Roman" w:cs="Times New Roman"/>
          <w:i/>
          <w:iCs/>
          <w:color w:val="auto"/>
          <w:highlight w:val="none"/>
        </w:rPr>
        <w:t>Cynops cyanurus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绿点湍</w:t>
      </w:r>
      <w:r>
        <w:rPr>
          <w:rFonts w:hint="default" w:ascii="Times New Roman" w:hAnsi="Times New Roman" w:cs="Times New Roman"/>
          <w:i/>
          <w:iCs/>
          <w:color w:val="auto"/>
          <w:highlight w:val="none"/>
        </w:rPr>
        <w:t>蛙Amolops viridimaculatus</w:t>
      </w:r>
      <w:r>
        <w:rPr>
          <w:rFonts w:hint="default" w:ascii="Times New Roman" w:hAnsi="Times New Roman" w:cs="Times New Roman"/>
          <w:i w:val="0"/>
          <w:iCs w:val="0"/>
          <w:color w:val="auto"/>
          <w:highlight w:val="none"/>
          <w:lang w:eastAsia="zh-CN"/>
        </w:rPr>
        <w:t>、</w:t>
      </w:r>
      <w:r>
        <w:rPr>
          <w:rFonts w:hint="default" w:ascii="Times New Roman" w:hAnsi="Times New Roman" w:cs="Times New Roman"/>
          <w:color w:val="auto"/>
          <w:highlight w:val="none"/>
        </w:rPr>
        <w:t>威宁蛙</w:t>
      </w:r>
      <w:r>
        <w:rPr>
          <w:rFonts w:hint="default" w:ascii="Times New Roman" w:hAnsi="Times New Roman" w:cs="Times New Roman"/>
          <w:i/>
          <w:iCs/>
          <w:color w:val="auto"/>
          <w:highlight w:val="none"/>
        </w:rPr>
        <w:t>Pseudorana weiningensis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无指盘臭蛙</w:t>
      </w:r>
      <w:r>
        <w:rPr>
          <w:rFonts w:hint="default" w:ascii="Times New Roman" w:hAnsi="Times New Roman" w:cs="Times New Roman"/>
          <w:i/>
          <w:iCs/>
          <w:color w:val="auto"/>
          <w:highlight w:val="none"/>
        </w:rPr>
        <w:t>Odorrana grahami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沼蛙</w:t>
      </w:r>
      <w:r>
        <w:rPr>
          <w:rFonts w:hint="default" w:ascii="Times New Roman" w:hAnsi="Times New Roman" w:cs="Times New Roman"/>
          <w:i/>
          <w:iCs/>
          <w:color w:val="auto"/>
          <w:highlight w:val="none"/>
        </w:rPr>
        <w:t>Boulengerana guentheri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其余为“无危</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LC</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或“缺乏数据（DD）”</w:t>
      </w:r>
    </w:p>
    <w:p w14:paraId="76D2ED5A">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有中国特有种</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种，即红瘰疣螈、蓝尾蝾螈、威宁蛙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大蹼铃蟾</w:t>
      </w:r>
      <w:r>
        <w:rPr>
          <w:rFonts w:hint="default" w:ascii="Times New Roman" w:hAnsi="Times New Roman" w:cs="Times New Roman"/>
          <w:i/>
          <w:iCs/>
          <w:color w:val="auto"/>
          <w:highlight w:val="none"/>
        </w:rPr>
        <w:t>Bombina maxima</w:t>
      </w:r>
      <w:r>
        <w:rPr>
          <w:rFonts w:hint="default" w:ascii="Times New Roman" w:hAnsi="Times New Roman" w:cs="Times New Roman"/>
          <w:i w:val="0"/>
          <w:iCs w:val="0"/>
          <w:color w:val="auto"/>
          <w:highlight w:val="none"/>
        </w:rPr>
        <w:t>、</w:t>
      </w:r>
      <w:r>
        <w:rPr>
          <w:rFonts w:hint="default" w:ascii="Times New Roman" w:hAnsi="Times New Roman" w:cs="Times New Roman"/>
          <w:color w:val="auto"/>
          <w:highlight w:val="none"/>
        </w:rPr>
        <w:t>滇蛙</w:t>
      </w:r>
      <w:r>
        <w:rPr>
          <w:rFonts w:hint="default" w:ascii="Times New Roman" w:hAnsi="Times New Roman" w:cs="Times New Roman"/>
          <w:i/>
          <w:iCs/>
          <w:color w:val="auto"/>
          <w:highlight w:val="none"/>
        </w:rPr>
        <w:t>Dianrana pleuraden、</w:t>
      </w:r>
      <w:r>
        <w:rPr>
          <w:rFonts w:hint="default" w:ascii="Times New Roman" w:hAnsi="Times New Roman" w:cs="Times New Roman"/>
          <w:color w:val="auto"/>
          <w:highlight w:val="none"/>
        </w:rPr>
        <w:t>多疣狭口蛙</w:t>
      </w:r>
      <w:r>
        <w:rPr>
          <w:rFonts w:hint="default" w:ascii="Times New Roman" w:hAnsi="Times New Roman" w:cs="Times New Roman"/>
          <w:i/>
          <w:iCs/>
          <w:color w:val="auto"/>
          <w:highlight w:val="none"/>
        </w:rPr>
        <w:t>Kaloula verrucosa、</w:t>
      </w:r>
      <w:r>
        <w:rPr>
          <w:rFonts w:hint="default" w:ascii="Times New Roman" w:hAnsi="Times New Roman" w:cs="Times New Roman"/>
          <w:color w:val="auto"/>
          <w:highlight w:val="none"/>
        </w:rPr>
        <w:t>昭觉林蛙</w:t>
      </w:r>
      <w:r>
        <w:rPr>
          <w:rFonts w:hint="default" w:ascii="Times New Roman" w:hAnsi="Times New Roman" w:cs="Times New Roman"/>
          <w:i/>
          <w:iCs/>
          <w:color w:val="auto"/>
          <w:highlight w:val="none"/>
        </w:rPr>
        <w:t>Rana chaochiaoensis</w:t>
      </w:r>
      <w:r>
        <w:rPr>
          <w:rFonts w:hint="default" w:ascii="Times New Roman" w:hAnsi="Times New Roman" w:cs="Times New Roman"/>
          <w:color w:val="auto"/>
          <w:highlight w:val="none"/>
        </w:rPr>
        <w:t>；外来入侵物种1种，即牛蛙</w:t>
      </w:r>
      <w:r>
        <w:rPr>
          <w:rFonts w:hint="default" w:ascii="Times New Roman" w:hAnsi="Times New Roman" w:cs="Times New Roman"/>
          <w:i/>
          <w:iCs/>
          <w:color w:val="auto"/>
          <w:highlight w:val="none"/>
        </w:rPr>
        <w:t>Rana catesbeiana</w:t>
      </w:r>
      <w:r>
        <w:rPr>
          <w:rFonts w:hint="default" w:ascii="Times New Roman" w:hAnsi="Times New Roman" w:cs="Times New Roman"/>
          <w:color w:val="auto"/>
          <w:highlight w:val="none"/>
        </w:rPr>
        <w:t>。两栖类物种大多对生境要求较高，且生活史与水的关系更为密切，一般分布于评价区的山间溪流、池塘、水库等水域环境及其周边。</w:t>
      </w:r>
    </w:p>
    <w:p w14:paraId="26FC8C0E">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B.区系类型</w:t>
      </w:r>
    </w:p>
    <w:p w14:paraId="7713D1CC">
      <w:pPr>
        <w:pStyle w:val="3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按照动物地理区系划分，可将两栖类分为以下</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类：东洋种2</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种，占</w:t>
      </w:r>
      <w:r>
        <w:rPr>
          <w:rFonts w:hint="default" w:ascii="Times New Roman" w:hAnsi="Times New Roman" w:cs="Times New Roman"/>
          <w:color w:val="auto"/>
          <w:highlight w:val="none"/>
          <w:lang w:val="en-US" w:eastAsia="zh-CN"/>
        </w:rPr>
        <w:t>总</w:t>
      </w:r>
      <w:r>
        <w:rPr>
          <w:rFonts w:hint="default" w:ascii="Times New Roman" w:hAnsi="Times New Roman" w:cs="Times New Roman"/>
          <w:color w:val="auto"/>
          <w:highlight w:val="none"/>
        </w:rPr>
        <w:t>数的</w:t>
      </w:r>
      <w:r>
        <w:rPr>
          <w:rFonts w:hint="default" w:ascii="Times New Roman" w:hAnsi="Times New Roman" w:cs="Times New Roman"/>
          <w:color w:val="auto"/>
          <w:highlight w:val="none"/>
          <w:lang w:val="en-US" w:eastAsia="zh-CN"/>
        </w:rPr>
        <w:t>92.6</w:t>
      </w:r>
      <w:r>
        <w:rPr>
          <w:rFonts w:hint="default" w:ascii="Times New Roman" w:hAnsi="Times New Roman" w:cs="Times New Roman"/>
          <w:color w:val="auto"/>
          <w:highlight w:val="none"/>
        </w:rPr>
        <w:t>%；广布种</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种，占</w:t>
      </w:r>
      <w:r>
        <w:rPr>
          <w:rFonts w:hint="default" w:ascii="Times New Roman" w:hAnsi="Times New Roman" w:cs="Times New Roman"/>
          <w:color w:val="auto"/>
          <w:highlight w:val="none"/>
          <w:lang w:val="en-US" w:eastAsia="zh-CN"/>
        </w:rPr>
        <w:t>总</w:t>
      </w:r>
      <w:r>
        <w:rPr>
          <w:rFonts w:hint="default" w:ascii="Times New Roman" w:hAnsi="Times New Roman" w:cs="Times New Roman"/>
          <w:color w:val="auto"/>
          <w:highlight w:val="none"/>
        </w:rPr>
        <w:t>数的</w:t>
      </w:r>
      <w:r>
        <w:rPr>
          <w:rFonts w:hint="default" w:ascii="Times New Roman" w:hAnsi="Times New Roman" w:cs="Times New Roman"/>
          <w:color w:val="auto"/>
          <w:highlight w:val="none"/>
          <w:lang w:val="en-US" w:eastAsia="zh-CN"/>
        </w:rPr>
        <w:t>7.4</w:t>
      </w:r>
      <w:r>
        <w:rPr>
          <w:rFonts w:hint="default" w:ascii="Times New Roman" w:hAnsi="Times New Roman" w:cs="Times New Roman"/>
          <w:color w:val="auto"/>
          <w:highlight w:val="none"/>
        </w:rPr>
        <w:t>%；无古北种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本项目位于东洋界，两栖类迁移能力较差，古北界成分不易跨越地理阻障渗透至东洋界，其对环境的适应能力亦较差，因此，评价区两栖类的区系特征与项目所在的地理位置相吻合。</w:t>
      </w:r>
      <w:r>
        <w:rPr>
          <w:rFonts w:hint="default" w:ascii="Times New Roman" w:hAnsi="Times New Roman" w:cs="Times New Roman"/>
          <w:color w:val="auto"/>
          <w:highlight w:val="none"/>
          <w:lang w:val="en-US" w:eastAsia="zh-CN"/>
        </w:rPr>
        <w:t>另有1外来物种，牛蛙。牛蛙原产北美，因食用养殖引入中国，后因养殖逃逸、人为放生等扩散至野外，已在中国多地形成入侵种群。</w:t>
      </w:r>
    </w:p>
    <w:p w14:paraId="3A9F5130">
      <w:pPr>
        <w:pStyle w:val="37"/>
        <w:rPr>
          <w:rFonts w:hint="default" w:ascii="Times New Roman" w:hAnsi="Times New Roman" w:cs="Times New Roman"/>
          <w:color w:val="auto"/>
          <w:highlight w:val="none"/>
        </w:rPr>
      </w:pPr>
      <w:r>
        <w:rPr>
          <w:rFonts w:hint="default" w:ascii="Times New Roman" w:hAnsi="Times New Roman" w:cs="Times New Roman"/>
          <w:color w:val="auto"/>
          <w:szCs w:val="24"/>
          <w:highlight w:val="none"/>
        </w:rPr>
        <w:t>C.</w:t>
      </w:r>
      <w:r>
        <w:rPr>
          <w:rFonts w:hint="default" w:ascii="Times New Roman" w:hAnsi="Times New Roman" w:cs="Times New Roman"/>
          <w:color w:val="auto"/>
          <w:highlight w:val="none"/>
        </w:rPr>
        <w:t>生态类型</w:t>
      </w:r>
    </w:p>
    <w:p w14:paraId="2D55B394">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根据生活习性的不同，评价区内的两栖类可分为以下4种生态类型：</w:t>
      </w:r>
    </w:p>
    <w:p w14:paraId="63054372">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静水型（在静水或缓流中觅食）：</w:t>
      </w:r>
      <w:r>
        <w:rPr>
          <w:rFonts w:hint="default" w:ascii="Times New Roman" w:hAnsi="Times New Roman" w:cs="Times New Roman"/>
          <w:color w:val="auto"/>
          <w:highlight w:val="none"/>
          <w:lang w:val="en-US" w:eastAsia="zh-CN"/>
        </w:rPr>
        <w:t>10种，</w:t>
      </w:r>
      <w:r>
        <w:rPr>
          <w:rFonts w:hint="default" w:ascii="Times New Roman" w:hAnsi="Times New Roman" w:cs="Times New Roman"/>
          <w:color w:val="auto"/>
          <w:highlight w:val="none"/>
        </w:rPr>
        <w:t>有虎纹蛙</w:t>
      </w:r>
      <w:r>
        <w:rPr>
          <w:rFonts w:hint="default" w:ascii="Times New Roman" w:hAnsi="Times New Roman" w:cs="Times New Roman"/>
          <w:color w:val="auto"/>
          <w:highlight w:val="none"/>
          <w:lang w:eastAsia="zh-CN"/>
        </w:rPr>
        <w:t>、黑斑侧褶蛙、蓝尾蝾螈、沼蛙、大蹼铃蟾、滇蛙、昭觉林蛙、牛蛙、云南小狭口蛙</w:t>
      </w:r>
      <w:r>
        <w:rPr>
          <w:rFonts w:hint="default" w:ascii="Times New Roman" w:hAnsi="Times New Roman" w:cs="Times New Roman"/>
          <w:i/>
          <w:iCs/>
          <w:color w:val="auto"/>
          <w:highlight w:val="none"/>
          <w:lang w:eastAsia="zh-CN"/>
        </w:rPr>
        <w:t>Glyphoglossus yunnanensis</w:t>
      </w:r>
      <w:r>
        <w:rPr>
          <w:rFonts w:hint="default" w:ascii="Times New Roman" w:hAnsi="Times New Roman" w:cs="Times New Roman"/>
          <w:color w:val="auto"/>
          <w:highlight w:val="none"/>
          <w:lang w:eastAsia="zh-CN"/>
        </w:rPr>
        <w:t>、泽陆蛙</w:t>
      </w:r>
      <w:r>
        <w:rPr>
          <w:rFonts w:hint="default" w:ascii="Times New Roman" w:hAnsi="Times New Roman" w:cs="Times New Roman"/>
          <w:i/>
          <w:iCs/>
          <w:color w:val="auto"/>
          <w:highlight w:val="none"/>
          <w:lang w:eastAsia="zh-CN"/>
        </w:rPr>
        <w:t>Fejervarya multistriata</w:t>
      </w:r>
      <w:r>
        <w:rPr>
          <w:rFonts w:hint="default" w:ascii="Times New Roman" w:hAnsi="Times New Roman" w:cs="Times New Roman"/>
          <w:color w:val="auto"/>
          <w:highlight w:val="none"/>
        </w:rPr>
        <w:t>，主要在评价区内的水库、湖泊</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稻田、池塘或水坑</w:t>
      </w:r>
      <w:r>
        <w:rPr>
          <w:rFonts w:hint="default" w:ascii="Times New Roman" w:hAnsi="Times New Roman" w:cs="Times New Roman"/>
          <w:color w:val="auto"/>
          <w:highlight w:val="none"/>
          <w:lang w:val="en-US" w:eastAsia="zh-CN"/>
        </w:rPr>
        <w:t>等静水域</w:t>
      </w:r>
      <w:r>
        <w:rPr>
          <w:rFonts w:hint="default" w:ascii="Times New Roman" w:hAnsi="Times New Roman" w:cs="Times New Roman"/>
          <w:color w:val="auto"/>
          <w:highlight w:val="none"/>
        </w:rPr>
        <w:t>水体中生活。</w:t>
      </w:r>
    </w:p>
    <w:p w14:paraId="234236DA">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陆栖型（在陆地上活动觅食）：</w:t>
      </w:r>
      <w:r>
        <w:rPr>
          <w:rFonts w:hint="default" w:ascii="Times New Roman" w:hAnsi="Times New Roman" w:cs="Times New Roman"/>
          <w:color w:val="auto"/>
          <w:highlight w:val="none"/>
          <w:lang w:val="en-US" w:eastAsia="zh-CN"/>
        </w:rPr>
        <w:t>6种，</w:t>
      </w:r>
      <w:r>
        <w:rPr>
          <w:rFonts w:hint="default" w:ascii="Times New Roman" w:hAnsi="Times New Roman" w:cs="Times New Roman"/>
          <w:color w:val="auto"/>
          <w:highlight w:val="none"/>
        </w:rPr>
        <w:t>包括红瘰疣螈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多疣狭口蛙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黑眶蟾蜍</w:t>
      </w:r>
      <w:r>
        <w:rPr>
          <w:rFonts w:hint="default" w:ascii="Times New Roman" w:hAnsi="Times New Roman" w:cs="Times New Roman"/>
          <w:i/>
          <w:iCs/>
          <w:color w:val="auto"/>
          <w:highlight w:val="none"/>
        </w:rPr>
        <w:t>Duttaphrynus melanostictus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华西蟾蜍</w:t>
      </w:r>
      <w:r>
        <w:rPr>
          <w:rFonts w:hint="default" w:ascii="Times New Roman" w:hAnsi="Times New Roman" w:cs="Times New Roman"/>
          <w:i/>
          <w:iCs/>
          <w:color w:val="auto"/>
          <w:highlight w:val="none"/>
        </w:rPr>
        <w:t>Bufo andrewsi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饰纹姬蛙</w:t>
      </w:r>
      <w:r>
        <w:rPr>
          <w:rFonts w:hint="default" w:ascii="Times New Roman" w:hAnsi="Times New Roman" w:cs="Times New Roman"/>
          <w:i/>
          <w:iCs/>
          <w:color w:val="auto"/>
          <w:highlight w:val="none"/>
        </w:rPr>
        <w:t>Microhyla fissipes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中华蟾蜍</w:t>
      </w:r>
      <w:r>
        <w:rPr>
          <w:rFonts w:hint="default" w:ascii="Times New Roman" w:hAnsi="Times New Roman" w:cs="Times New Roman"/>
          <w:i/>
          <w:iCs/>
          <w:color w:val="auto"/>
          <w:highlight w:val="none"/>
        </w:rPr>
        <w:t>Bufo gargarizans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它们主要在评价区内离水源不远的陆地上如林下、草地，石下，田埂间等生境内活动。</w:t>
      </w:r>
    </w:p>
    <w:p w14:paraId="395FA24D">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流溪型（在流动的水体中活动觅食）：</w:t>
      </w:r>
      <w:r>
        <w:rPr>
          <w:rFonts w:hint="default" w:ascii="Times New Roman" w:hAnsi="Times New Roman" w:cs="Times New Roman"/>
          <w:color w:val="auto"/>
          <w:highlight w:val="none"/>
          <w:lang w:val="en-US" w:eastAsia="zh-CN"/>
        </w:rPr>
        <w:t>7种，</w:t>
      </w:r>
      <w:r>
        <w:rPr>
          <w:rFonts w:hint="default" w:ascii="Times New Roman" w:hAnsi="Times New Roman" w:cs="Times New Roman"/>
          <w:color w:val="auto"/>
          <w:highlight w:val="none"/>
        </w:rPr>
        <w:t>包括棘腹蛙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绿点湍蛙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威宁蛙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无指盘臭蛙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云南臭蛙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云南棘蛙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小角蟾</w:t>
      </w:r>
      <w:r>
        <w:rPr>
          <w:rFonts w:hint="default" w:ascii="Times New Roman" w:hAnsi="Times New Roman" w:cs="Times New Roman"/>
          <w:i/>
          <w:iCs/>
          <w:color w:val="auto"/>
          <w:highlight w:val="none"/>
        </w:rPr>
        <w:t>Boulenophrys minor</w:t>
      </w:r>
      <w:r>
        <w:rPr>
          <w:rFonts w:hint="default" w:ascii="Times New Roman" w:hAnsi="Times New Roman" w:cs="Times New Roman"/>
          <w:color w:val="auto"/>
          <w:highlight w:val="none"/>
        </w:rPr>
        <w:t>，它们主要在评价区内水流湍急的水域生活，如山溪性河流、山涧小溪等。</w:t>
      </w:r>
    </w:p>
    <w:p w14:paraId="11C66430">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树栖型（在树上活动觅食，离水源较近的林子）：</w:t>
      </w:r>
      <w:r>
        <w:rPr>
          <w:rFonts w:hint="default" w:ascii="Times New Roman" w:hAnsi="Times New Roman" w:cs="Times New Roman"/>
          <w:color w:val="auto"/>
          <w:highlight w:val="none"/>
          <w:lang w:val="en-US" w:eastAsia="zh-CN"/>
        </w:rPr>
        <w:t>5种，</w:t>
      </w:r>
      <w:r>
        <w:rPr>
          <w:rFonts w:hint="default" w:ascii="Times New Roman" w:hAnsi="Times New Roman" w:cs="Times New Roman"/>
          <w:color w:val="auto"/>
          <w:highlight w:val="none"/>
        </w:rPr>
        <w:t>包括微蹼铃蟾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斑腿泛树蛙</w:t>
      </w:r>
      <w:r>
        <w:rPr>
          <w:rFonts w:hint="default" w:ascii="Times New Roman" w:hAnsi="Times New Roman" w:cs="Times New Roman"/>
          <w:i/>
          <w:iCs/>
          <w:color w:val="auto"/>
          <w:highlight w:val="none"/>
        </w:rPr>
        <w:t>Polypedates megacephalus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布氏泛树蛙</w:t>
      </w:r>
      <w:r>
        <w:rPr>
          <w:rFonts w:hint="default" w:ascii="Times New Roman" w:hAnsi="Times New Roman" w:cs="Times New Roman"/>
          <w:i/>
          <w:iCs/>
          <w:color w:val="auto"/>
          <w:highlight w:val="none"/>
        </w:rPr>
        <w:t>Polypedates braueri</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华西雨蛙</w:t>
      </w:r>
      <w:r>
        <w:rPr>
          <w:rFonts w:hint="default" w:ascii="Times New Roman" w:hAnsi="Times New Roman" w:cs="Times New Roman"/>
          <w:i/>
          <w:iCs/>
          <w:color w:val="auto"/>
          <w:highlight w:val="none"/>
        </w:rPr>
        <w:t>Hyla annectans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中国雨蛙</w:t>
      </w:r>
      <w:r>
        <w:rPr>
          <w:rFonts w:hint="default" w:ascii="Times New Roman" w:hAnsi="Times New Roman" w:cs="Times New Roman"/>
          <w:i/>
          <w:iCs/>
          <w:color w:val="auto"/>
          <w:highlight w:val="none"/>
        </w:rPr>
        <w:t>Hyla chinensis</w:t>
      </w:r>
      <w:r>
        <w:rPr>
          <w:rFonts w:hint="default" w:ascii="Times New Roman" w:hAnsi="Times New Roman" w:cs="Times New Roman"/>
          <w:color w:val="auto"/>
          <w:highlight w:val="none"/>
        </w:rPr>
        <w:t>，它们主要在评价区内离水源附近的草丛间或树叶上</w:t>
      </w:r>
      <w:r>
        <w:rPr>
          <w:rFonts w:hint="default" w:ascii="Times New Roman" w:hAnsi="Times New Roman" w:cs="Times New Roman"/>
          <w:color w:val="auto"/>
          <w:highlight w:val="none"/>
          <w:lang w:val="en-US" w:eastAsia="zh-CN"/>
        </w:rPr>
        <w:t>活动</w:t>
      </w:r>
      <w:r>
        <w:rPr>
          <w:rFonts w:hint="default" w:ascii="Times New Roman" w:hAnsi="Times New Roman" w:cs="Times New Roman"/>
          <w:color w:val="auto"/>
          <w:highlight w:val="none"/>
        </w:rPr>
        <w:t>。</w:t>
      </w:r>
    </w:p>
    <w:p w14:paraId="29E78BD0">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重要动物物种</w:t>
      </w:r>
    </w:p>
    <w:p w14:paraId="3136FC63">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国家及省级重点保护动物</w:t>
      </w:r>
    </w:p>
    <w:p w14:paraId="32B13B55">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A.国家级</w:t>
      </w:r>
    </w:p>
    <w:p w14:paraId="0686A0B9">
      <w:pPr>
        <w:pStyle w:val="4"/>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评价区分布</w:t>
      </w:r>
      <w:r>
        <w:rPr>
          <w:rFonts w:hint="default" w:ascii="Times New Roman" w:hAnsi="Times New Roman" w:cs="Times New Roman"/>
          <w:color w:val="auto"/>
          <w:highlight w:val="none"/>
          <w:lang w:val="en-US" w:eastAsia="zh-CN"/>
        </w:rPr>
        <w:t>有</w:t>
      </w:r>
      <w:r>
        <w:rPr>
          <w:rFonts w:hint="default" w:ascii="Times New Roman" w:hAnsi="Times New Roman" w:cs="Times New Roman"/>
          <w:color w:val="auto"/>
          <w:highlight w:val="none"/>
        </w:rPr>
        <w:t>国家一级重点保护野生动物</w:t>
      </w:r>
      <w:r>
        <w:rPr>
          <w:rFonts w:hint="default" w:ascii="Times New Roman" w:hAnsi="Times New Roman" w:cs="Times New Roman"/>
          <w:color w:val="auto"/>
          <w:highlight w:val="none"/>
          <w:lang w:val="en-US" w:eastAsia="zh-CN"/>
        </w:rPr>
        <w:t>13</w:t>
      </w:r>
      <w:r>
        <w:rPr>
          <w:rFonts w:hint="default" w:ascii="Times New Roman" w:hAnsi="Times New Roman" w:cs="Times New Roman"/>
          <w:color w:val="auto"/>
          <w:highlight w:val="none"/>
        </w:rPr>
        <w:t>种，其中</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种</w:t>
      </w:r>
      <w:r>
        <w:rPr>
          <w:rFonts w:hint="default" w:ascii="Times New Roman" w:hAnsi="Times New Roman" w:cs="Times New Roman"/>
          <w:color w:val="auto"/>
          <w:highlight w:val="none"/>
          <w:lang w:val="en-US" w:eastAsia="zh-CN"/>
        </w:rPr>
        <w:t>哺乳类，即</w:t>
      </w:r>
      <w:r>
        <w:rPr>
          <w:rFonts w:hint="default" w:ascii="Times New Roman" w:hAnsi="Times New Roman" w:cs="Times New Roman"/>
          <w:color w:val="auto"/>
          <w:highlight w:val="none"/>
        </w:rPr>
        <w:t>林麝</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中华穿山甲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大灵猫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小灵猫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8</w:t>
      </w:r>
      <w:r>
        <w:rPr>
          <w:rFonts w:hint="default" w:ascii="Times New Roman" w:hAnsi="Times New Roman" w:cs="Times New Roman"/>
          <w:color w:val="auto"/>
          <w:highlight w:val="none"/>
        </w:rPr>
        <w:t>种为</w:t>
      </w:r>
      <w:r>
        <w:rPr>
          <w:rFonts w:hint="default" w:ascii="Times New Roman" w:hAnsi="Times New Roman" w:cs="Times New Roman"/>
          <w:color w:val="auto"/>
          <w:highlight w:val="none"/>
          <w:lang w:val="en-US" w:eastAsia="zh-CN"/>
        </w:rPr>
        <w:t>鸟类</w:t>
      </w:r>
      <w:r>
        <w:rPr>
          <w:rFonts w:hint="default" w:ascii="Times New Roman" w:hAnsi="Times New Roman" w:cs="Times New Roman"/>
          <w:color w:val="auto"/>
          <w:highlight w:val="none"/>
        </w:rPr>
        <w:t>，即东方白鹳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黑颈长尾雉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中华秋沙鸭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白肩雕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金雕；有国家二级重点保护野生动物</w:t>
      </w:r>
      <w:r>
        <w:rPr>
          <w:rFonts w:hint="default" w:ascii="Times New Roman" w:hAnsi="Times New Roman" w:cs="Times New Roman"/>
          <w:color w:val="auto"/>
          <w:highlight w:val="none"/>
          <w:lang w:val="en-US" w:eastAsia="zh-CN"/>
        </w:rPr>
        <w:t>63</w:t>
      </w:r>
      <w:r>
        <w:rPr>
          <w:rFonts w:hint="default" w:ascii="Times New Roman" w:hAnsi="Times New Roman" w:cs="Times New Roman"/>
          <w:color w:val="auto"/>
          <w:highlight w:val="none"/>
        </w:rPr>
        <w:t>种，其中</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种为哺乳类，即中华斑羚</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猕猴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豹猫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小爪水獭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52</w:t>
      </w:r>
      <w:r>
        <w:rPr>
          <w:rFonts w:hint="default" w:ascii="Times New Roman" w:hAnsi="Times New Roman" w:cs="Times New Roman"/>
          <w:color w:val="auto"/>
          <w:highlight w:val="none"/>
        </w:rPr>
        <w:t>种为鸟类，即白胸翡翠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棕背田鸡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水雉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白腹锦鸡</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褐翅鸦鹃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黑颈䴙䴘</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大仙鹟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滇䴓</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红喉歌鸲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蓝喉歌鸲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蓝绿鹊</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眼纹噪鹛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橙翅噪鹛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红胁绣眼鸟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银耳相思鸟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画眉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红嘴相思鸟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燕隼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灰背隼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黄爪隼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游隼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红隼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白琵鹭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仓鸮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褐林鸮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黄嘴角鸮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领鸺鹠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褐渔鸮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领角鸮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草鸮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斑头鸺鹠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灰林鸮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鸳鸯</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白头鹞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赤腹鹰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栗鸢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日本松雀鹰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蛇雕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苍鹰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鹊鹞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凤头蜂鹰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白腹鹞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凤头鹰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雀鹰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黑翅鸢</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白尾鹞</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松雀鹰</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普通鵟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种为爬行类，即三索锦蛇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乌龟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细脆蛇蜥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眼镜王蛇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种为两栖类，即红瘰疣螈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虎纹蛙</w:t>
      </w:r>
      <w:r>
        <w:rPr>
          <w:rFonts w:hint="default" w:ascii="Times New Roman" w:hAnsi="Times New Roman" w:cs="Times New Roman"/>
          <w:color w:val="auto"/>
          <w:highlight w:val="none"/>
          <w:lang w:eastAsia="zh-CN"/>
        </w:rPr>
        <w:t>。</w:t>
      </w:r>
    </w:p>
    <w:p w14:paraId="5D7D6C42">
      <w:pPr>
        <w:pStyle w:val="4"/>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B.</w:t>
      </w:r>
      <w:r>
        <w:rPr>
          <w:rFonts w:hint="default" w:ascii="Times New Roman" w:hAnsi="Times New Roman" w:cs="Times New Roman"/>
          <w:color w:val="auto"/>
          <w:highlight w:val="none"/>
          <w:lang w:eastAsia="zh-CN"/>
        </w:rPr>
        <w:t>省级</w:t>
      </w:r>
    </w:p>
    <w:p w14:paraId="36557585">
      <w:pPr>
        <w:pStyle w:val="4"/>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评价区分布</w:t>
      </w:r>
      <w:r>
        <w:rPr>
          <w:rFonts w:hint="default" w:ascii="Times New Roman" w:hAnsi="Times New Roman" w:cs="Times New Roman"/>
          <w:color w:val="auto"/>
          <w:highlight w:val="none"/>
          <w:lang w:val="en-US" w:eastAsia="zh-CN"/>
        </w:rPr>
        <w:t>有</w:t>
      </w:r>
      <w:r>
        <w:rPr>
          <w:rFonts w:hint="default" w:ascii="Times New Roman" w:hAnsi="Times New Roman" w:cs="Times New Roman"/>
          <w:color w:val="auto"/>
          <w:highlight w:val="none"/>
          <w:lang w:eastAsia="zh-CN"/>
        </w:rPr>
        <w:t>省级</w:t>
      </w:r>
      <w:r>
        <w:rPr>
          <w:rFonts w:hint="default" w:ascii="Times New Roman" w:hAnsi="Times New Roman" w:cs="Times New Roman"/>
          <w:color w:val="auto"/>
          <w:highlight w:val="none"/>
        </w:rPr>
        <w:t>保护野生动物</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种，其中</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rPr>
        <w:t>种哺乳类，即赤麂、花面狸、亚洲狗獾、猪獾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1种鸟类，即中华鹧鸪；</w:t>
      </w:r>
      <w:r>
        <w:rPr>
          <w:rFonts w:hint="default" w:ascii="Times New Roman" w:hAnsi="Times New Roman" w:cs="Times New Roman"/>
          <w:color w:val="auto"/>
          <w:highlight w:val="none"/>
          <w:lang w:val="en-US" w:eastAsia="zh-CN"/>
        </w:rPr>
        <w:t>1种爬行类，细鳞拟树蜥。</w:t>
      </w:r>
    </w:p>
    <w:p w14:paraId="7ADAFA12">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②</w:t>
      </w:r>
      <w:r>
        <w:rPr>
          <w:rFonts w:hint="default" w:ascii="Times New Roman" w:hAnsi="Times New Roman" w:cs="Times New Roman"/>
          <w:color w:val="auto"/>
          <w:highlight w:val="none"/>
          <w:lang w:val="en-US" w:eastAsia="zh-CN"/>
        </w:rPr>
        <w:t>珍稀</w:t>
      </w:r>
      <w:r>
        <w:rPr>
          <w:rFonts w:hint="default" w:ascii="Times New Roman" w:hAnsi="Times New Roman" w:cs="Times New Roman"/>
          <w:color w:val="auto"/>
          <w:highlight w:val="none"/>
        </w:rPr>
        <w:t>濒危动物</w:t>
      </w:r>
    </w:p>
    <w:p w14:paraId="2DDD5DE8">
      <w:pPr>
        <w:pStyle w:val="37"/>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评价范围内，在《中国生物多样性红色名录》列入极危（CR）的物种</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种，即林麝</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中华穿山甲</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大灵猫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小爪水獭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白鹤；列入濒危（EN）的物种</w:t>
      </w:r>
      <w:r>
        <w:rPr>
          <w:rFonts w:hint="default" w:ascii="Times New Roman" w:hAnsi="Times New Roman" w:cs="Times New Roman"/>
          <w:color w:val="auto"/>
          <w:highlight w:val="none"/>
          <w:lang w:val="en-US" w:eastAsia="zh-CN"/>
        </w:rPr>
        <w:t>9</w:t>
      </w:r>
      <w:r>
        <w:rPr>
          <w:rFonts w:hint="default" w:ascii="Times New Roman" w:hAnsi="Times New Roman" w:cs="Times New Roman"/>
          <w:color w:val="auto"/>
          <w:highlight w:val="none"/>
        </w:rPr>
        <w:t>种，即虎纹蛙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云南棘蛙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乌龟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细脆蛇蜥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东方白鹳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褐渔鸮</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中华秋沙鸭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白肩雕；列入易危（VU）的有1</w:t>
      </w:r>
      <w:r>
        <w:rPr>
          <w:rFonts w:hint="default" w:ascii="Times New Roman" w:hAnsi="Times New Roman" w:cs="Times New Roman"/>
          <w:color w:val="auto"/>
          <w:highlight w:val="none"/>
          <w:lang w:val="en-US" w:eastAsia="zh-CN"/>
        </w:rPr>
        <w:t>9</w:t>
      </w:r>
      <w:r>
        <w:rPr>
          <w:rFonts w:hint="default" w:ascii="Times New Roman" w:hAnsi="Times New Roman" w:cs="Times New Roman"/>
          <w:color w:val="auto"/>
          <w:highlight w:val="none"/>
        </w:rPr>
        <w:t>种，即红瘰疣螈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棘腹蛙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微蹼铃蟾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云南臭蛙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三索锦蛇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眼镜王蛇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赤链华游蛇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黑眉锦蛇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王锦蛇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乌梢蛇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中华斑羚</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豹猫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黑颈长尾雉</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中华鹧鸪</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黄爪隼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金雕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栗鸢</w:t>
      </w:r>
      <w:r>
        <w:rPr>
          <w:rFonts w:hint="default" w:ascii="Times New Roman" w:hAnsi="Times New Roman" w:cs="Times New Roman"/>
          <w:color w:val="auto"/>
          <w:highlight w:val="none"/>
          <w:lang w:val="en-US" w:eastAsia="zh-CN"/>
        </w:rPr>
        <w:t>。</w:t>
      </w:r>
    </w:p>
    <w:p w14:paraId="789FCF9E">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③特有动物</w:t>
      </w:r>
    </w:p>
    <w:p w14:paraId="4DA8B834">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评价范围内，有中国特有种</w:t>
      </w:r>
      <w:r>
        <w:rPr>
          <w:rFonts w:hint="default" w:ascii="Times New Roman" w:hAnsi="Times New Roman" w:cs="Times New Roman"/>
          <w:color w:val="auto"/>
          <w:highlight w:val="none"/>
          <w:lang w:val="en-US" w:eastAsia="zh-CN"/>
        </w:rPr>
        <w:t>21</w:t>
      </w:r>
      <w:r>
        <w:rPr>
          <w:rFonts w:hint="default" w:ascii="Times New Roman" w:hAnsi="Times New Roman" w:cs="Times New Roman"/>
          <w:color w:val="auto"/>
          <w:highlight w:val="none"/>
        </w:rPr>
        <w:t>种，即红瘰疣螈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蓝尾蝾螈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威宁蛙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大蹼铃蟾</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滇蛙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多疣狭口蛙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昭觉林蛙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八线腹链蛇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昆明滑蜥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昆明攀蜥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云南攀蜥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颈棱蛇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昭通绒鼠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侧纹岩松鼠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大绒鼠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滇绒鼠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高山姬鼠</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滇䴓</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橙翅噪鹛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宝兴歌鸫</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黄腹山雀。</w:t>
      </w:r>
    </w:p>
    <w:p w14:paraId="1A26C26E">
      <w:pPr>
        <w:pStyle w:val="7"/>
        <w:numPr>
          <w:ilvl w:val="4"/>
          <w:numId w:val="4"/>
        </w:numPr>
        <w:spacing w:before="374" w:after="249"/>
        <w:rPr>
          <w:rFonts w:hint="default" w:ascii="Times New Roman" w:hAnsi="Times New Roman" w:eastAsia="宋体" w:cs="Times New Roman"/>
          <w:color w:val="auto"/>
          <w:highlight w:val="none"/>
        </w:rPr>
      </w:pPr>
      <w:r>
        <w:rPr>
          <w:rFonts w:hint="eastAsia" w:cs="Times New Roman"/>
          <w:color w:val="auto"/>
          <w:highlight w:val="none"/>
          <w:lang w:val="en-US" w:eastAsia="zh-CN"/>
        </w:rPr>
        <w:t>陆</w:t>
      </w:r>
      <w:r>
        <w:rPr>
          <w:rFonts w:hint="default" w:ascii="Times New Roman" w:hAnsi="Times New Roman" w:eastAsia="宋体" w:cs="Times New Roman"/>
          <w:color w:val="auto"/>
          <w:highlight w:val="none"/>
        </w:rPr>
        <w:t>生脊椎动物现状评价</w:t>
      </w:r>
    </w:p>
    <w:p w14:paraId="766E0C71">
      <w:pPr>
        <w:pStyle w:val="37"/>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（1）陆生脊椎动物资源总体状况</w:t>
      </w:r>
    </w:p>
    <w:p w14:paraId="6F443D63">
      <w:pPr>
        <w:pStyle w:val="37"/>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评价区共记录陆生脊椎动物31目113科509种，其中两栖类28种、爬行类40种、鸟类379种、哺乳类62种。动物地理区系以东洋界为主，兼有古北界成分（主要为冬候鸟）。区系组成和生态类群与评价区所在地理位置以及森林、湿地、农田、村镇等生境类型基本相适应，物种数量整体上属于较丰富水平。</w:t>
      </w:r>
    </w:p>
    <w:p w14:paraId="5843022A">
      <w:pPr>
        <w:pStyle w:val="37"/>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（2）重点保护与珍稀物种状况</w:t>
      </w:r>
    </w:p>
    <w:p w14:paraId="7246F8F9">
      <w:pPr>
        <w:pStyle w:val="37"/>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评价区分布有国家一级保护动物13种，国家二级保护动物63种；省级重点保护动物6种；在《中国生物多样性红色名录》列入极危（CR）的物种5种；列入濒危（EN）的物种9种；列入易危（VU）的有19种。上述重点保护与珍稀物种分布于评价区各种类型的生境，例如森林灌丛、沼泽湿地、湖泊水库、农田等。</w:t>
      </w:r>
    </w:p>
    <w:p w14:paraId="7C0EF8C3">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生态</w:t>
      </w:r>
      <w:r>
        <w:rPr>
          <w:rFonts w:hint="default" w:ascii="Times New Roman" w:hAnsi="Times New Roman" w:eastAsia="宋体" w:cs="Times New Roman"/>
          <w:color w:val="auto"/>
          <w:highlight w:val="none"/>
          <w:lang w:val="en-US" w:eastAsia="zh-CN"/>
        </w:rPr>
        <w:t>系统综合评价</w:t>
      </w:r>
    </w:p>
    <w:p w14:paraId="370E3E9F">
      <w:pPr>
        <w:pStyle w:val="7"/>
        <w:numPr>
          <w:ilvl w:val="4"/>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生态系统结构组成</w:t>
      </w:r>
    </w:p>
    <w:p w14:paraId="0629B5C2">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区域自然环</w:t>
      </w:r>
      <w:r>
        <w:rPr>
          <w:rFonts w:hint="default" w:ascii="Times New Roman" w:hAnsi="Times New Roman" w:cs="Times New Roman"/>
          <w:color w:val="auto"/>
          <w:highlight w:val="none"/>
          <w:lang w:eastAsia="zh-CN"/>
        </w:rPr>
        <w:t>境条</w:t>
      </w:r>
      <w:r>
        <w:rPr>
          <w:rFonts w:hint="default" w:ascii="Times New Roman" w:hAnsi="Times New Roman" w:cs="Times New Roman"/>
          <w:color w:val="auto"/>
          <w:highlight w:val="none"/>
          <w:lang w:val="en-US" w:eastAsia="zh-CN"/>
        </w:rPr>
        <w:t>件</w:t>
      </w:r>
      <w:r>
        <w:rPr>
          <w:rFonts w:hint="default" w:ascii="Times New Roman" w:hAnsi="Times New Roman" w:eastAsia="宋体" w:cs="Times New Roman"/>
          <w:color w:val="auto"/>
          <w:highlight w:val="none"/>
          <w:lang w:eastAsia="zh-CN"/>
        </w:rPr>
        <w:t>复杂，在生物因子和非生物因子的长期相互作用下，形成了丰富多彩的生态系统类型。</w:t>
      </w:r>
    </w:p>
    <w:p w14:paraId="4577BB74">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植被是生物因子与非生物因子长期作用的结果和表征，不同的植被类型代表了区域中各生物与其环境条件的</w:t>
      </w:r>
      <w:r>
        <w:rPr>
          <w:rFonts w:hint="default" w:ascii="Times New Roman" w:hAnsi="Times New Roman" w:cs="Times New Roman"/>
          <w:color w:val="auto"/>
          <w:highlight w:val="none"/>
          <w:lang w:val="en-US" w:eastAsia="zh-CN"/>
        </w:rPr>
        <w:t>有机</w:t>
      </w:r>
      <w:r>
        <w:rPr>
          <w:rFonts w:hint="default" w:ascii="Times New Roman" w:hAnsi="Times New Roman" w:eastAsia="宋体" w:cs="Times New Roman"/>
          <w:color w:val="auto"/>
          <w:highlight w:val="none"/>
          <w:lang w:eastAsia="zh-CN"/>
        </w:rPr>
        <w:t>组合，具有不同的结构，在区域生态系统中发挥着不同的生态功能。根据生态系统类型的特征和稳定性，采用HJ1166-2021的生态系统分类体系，以Ⅱ级分类作为生态系统类型分类标准，将评价区的生态系统类型分为</w:t>
      </w:r>
      <w:r>
        <w:rPr>
          <w:rFonts w:hint="default" w:ascii="Times New Roman" w:hAnsi="Times New Roman" w:cs="Times New Roman"/>
          <w:color w:val="auto"/>
          <w:highlight w:val="none"/>
          <w:lang w:val="en-US" w:eastAsia="zh-CN"/>
        </w:rPr>
        <w:t>11</w:t>
      </w:r>
      <w:r>
        <w:rPr>
          <w:rFonts w:hint="default" w:ascii="Times New Roman" w:hAnsi="Times New Roman" w:eastAsia="宋体" w:cs="Times New Roman"/>
          <w:color w:val="auto"/>
          <w:highlight w:val="none"/>
          <w:lang w:eastAsia="zh-CN"/>
        </w:rPr>
        <w:t>个生态系统类型。</w:t>
      </w:r>
    </w:p>
    <w:p w14:paraId="67618B57">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 3.4.1</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8  评价区生态系统构成一览表</w:t>
      </w:r>
    </w:p>
    <w:tbl>
      <w:tblPr>
        <w:tblStyle w:val="22"/>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44"/>
        <w:gridCol w:w="3231"/>
        <w:gridCol w:w="1625"/>
        <w:gridCol w:w="1922"/>
      </w:tblGrid>
      <w:tr w14:paraId="1910E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7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6E18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Ⅰ级分类</w:t>
            </w:r>
          </w:p>
        </w:tc>
        <w:tc>
          <w:tcPr>
            <w:tcW w:w="32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734D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Ⅱ级分类</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4AA7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面积（km²）</w:t>
            </w:r>
          </w:p>
        </w:tc>
        <w:tc>
          <w:tcPr>
            <w:tcW w:w="19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95F7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面积比例（%）</w:t>
            </w:r>
          </w:p>
        </w:tc>
      </w:tr>
      <w:tr w14:paraId="27D9D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restart"/>
            <w:tcBorders>
              <w:top w:val="single" w:color="000000" w:sz="4" w:space="0"/>
              <w:left w:val="single" w:color="000000" w:sz="4" w:space="0"/>
              <w:bottom w:val="nil"/>
              <w:right w:val="single" w:color="000000" w:sz="4" w:space="0"/>
            </w:tcBorders>
            <w:shd w:val="clear" w:color="auto" w:fill="auto"/>
            <w:noWrap/>
            <w:vAlign w:val="center"/>
          </w:tcPr>
          <w:p w14:paraId="0FFBDE6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2"/>
                <w:highlight w:val="none"/>
                <w:u w:val="none"/>
              </w:rPr>
            </w:pPr>
            <w:r>
              <w:rPr>
                <w:rFonts w:hint="default" w:ascii="Times New Roman" w:hAnsi="Times New Roman" w:eastAsia="宋体" w:cs="Times New Roman"/>
                <w:b w:val="0"/>
                <w:bCs w:val="0"/>
                <w:i w:val="0"/>
                <w:iCs w:val="0"/>
                <w:color w:val="auto"/>
                <w:kern w:val="0"/>
                <w:sz w:val="21"/>
                <w:szCs w:val="22"/>
                <w:highlight w:val="none"/>
                <w:u w:val="none"/>
                <w:lang w:val="en-US" w:eastAsia="zh-CN" w:bidi="ar"/>
              </w:rPr>
              <w:t>森林生态系统</w:t>
            </w: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FF47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阔叶林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5225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2428.91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1AF9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17.07 </w:t>
            </w:r>
          </w:p>
        </w:tc>
      </w:tr>
      <w:tr w14:paraId="73406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4DF8CE49">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2"/>
                <w:highlight w:val="none"/>
                <w:u w:val="none"/>
              </w:rPr>
            </w:pP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EB8C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针叶林</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561A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3552.30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9E86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24.97 </w:t>
            </w:r>
          </w:p>
        </w:tc>
      </w:tr>
      <w:tr w14:paraId="1EA78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4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A3262E0">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2"/>
                <w:highlight w:val="none"/>
                <w:u w:val="none"/>
              </w:rPr>
            </w:pP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8426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小计</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041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5981.21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36BE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42.05 </w:t>
            </w:r>
          </w:p>
        </w:tc>
      </w:tr>
      <w:tr w14:paraId="610A7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F2A7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2"/>
                <w:highlight w:val="none"/>
                <w:u w:val="none"/>
              </w:rPr>
            </w:pPr>
            <w:r>
              <w:rPr>
                <w:rFonts w:hint="default" w:ascii="Times New Roman" w:hAnsi="Times New Roman" w:eastAsia="宋体" w:cs="Times New Roman"/>
                <w:b w:val="0"/>
                <w:bCs w:val="0"/>
                <w:i w:val="0"/>
                <w:iCs w:val="0"/>
                <w:color w:val="auto"/>
                <w:kern w:val="0"/>
                <w:sz w:val="21"/>
                <w:szCs w:val="22"/>
                <w:highlight w:val="none"/>
                <w:u w:val="none"/>
                <w:lang w:val="en-US" w:eastAsia="zh-CN" w:bidi="ar"/>
              </w:rPr>
              <w:t>灌丛生态系统</w:t>
            </w: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2350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阔叶灌丛</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9289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816.24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6618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5.74 </w:t>
            </w:r>
          </w:p>
        </w:tc>
      </w:tr>
      <w:tr w14:paraId="4A391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F4681">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2"/>
                <w:highlight w:val="none"/>
                <w:u w:val="none"/>
              </w:rPr>
            </w:pP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5783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2"/>
                <w:highlight w:val="none"/>
                <w:u w:val="none"/>
              </w:rPr>
            </w:pPr>
            <w:r>
              <w:rPr>
                <w:rFonts w:hint="default" w:ascii="Times New Roman" w:hAnsi="Times New Roman" w:eastAsia="宋体" w:cs="Times New Roman"/>
                <w:b w:val="0"/>
                <w:bCs w:val="0"/>
                <w:i w:val="0"/>
                <w:iCs w:val="0"/>
                <w:color w:val="auto"/>
                <w:kern w:val="0"/>
                <w:sz w:val="21"/>
                <w:szCs w:val="22"/>
                <w:highlight w:val="none"/>
                <w:u w:val="none"/>
                <w:lang w:val="en-US" w:eastAsia="zh-CN" w:bidi="ar"/>
              </w:rPr>
              <w:t>稀疏灌丛</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7795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567.56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D68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3.99 </w:t>
            </w:r>
          </w:p>
        </w:tc>
      </w:tr>
      <w:tr w14:paraId="1B14A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487BA">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2"/>
                <w:highlight w:val="none"/>
                <w:u w:val="none"/>
              </w:rPr>
            </w:pP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42F1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2"/>
                <w:highlight w:val="none"/>
                <w:u w:val="none"/>
              </w:rPr>
            </w:pPr>
            <w:r>
              <w:rPr>
                <w:rFonts w:hint="default" w:ascii="Times New Roman" w:hAnsi="Times New Roman" w:eastAsia="宋体" w:cs="Times New Roman"/>
                <w:b w:val="0"/>
                <w:bCs w:val="0"/>
                <w:i w:val="0"/>
                <w:iCs w:val="0"/>
                <w:color w:val="auto"/>
                <w:kern w:val="0"/>
                <w:sz w:val="21"/>
                <w:szCs w:val="22"/>
                <w:highlight w:val="none"/>
                <w:u w:val="none"/>
                <w:lang w:val="en-US" w:eastAsia="zh-CN" w:bidi="ar"/>
              </w:rPr>
              <w:t>小计</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342D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1383.80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1162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9.73 </w:t>
            </w:r>
          </w:p>
        </w:tc>
      </w:tr>
      <w:tr w14:paraId="7F7CD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929A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2"/>
                <w:highlight w:val="none"/>
                <w:u w:val="none"/>
              </w:rPr>
            </w:pPr>
            <w:r>
              <w:rPr>
                <w:rFonts w:hint="default" w:ascii="Times New Roman" w:hAnsi="Times New Roman" w:eastAsia="宋体" w:cs="Times New Roman"/>
                <w:b w:val="0"/>
                <w:bCs w:val="0"/>
                <w:i w:val="0"/>
                <w:iCs w:val="0"/>
                <w:color w:val="auto"/>
                <w:kern w:val="0"/>
                <w:sz w:val="21"/>
                <w:szCs w:val="22"/>
                <w:highlight w:val="none"/>
                <w:u w:val="none"/>
                <w:lang w:val="en-US" w:eastAsia="zh-CN" w:bidi="ar"/>
              </w:rPr>
              <w:t>草地生态系统</w:t>
            </w: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391C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草丛</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A50F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388.04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814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2.73 </w:t>
            </w:r>
          </w:p>
        </w:tc>
      </w:tr>
      <w:tr w14:paraId="45A13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restart"/>
            <w:tcBorders>
              <w:top w:val="single" w:color="000000" w:sz="4" w:space="0"/>
              <w:left w:val="single" w:color="000000" w:sz="4" w:space="0"/>
              <w:bottom w:val="nil"/>
              <w:right w:val="single" w:color="000000" w:sz="4" w:space="0"/>
            </w:tcBorders>
            <w:shd w:val="clear" w:color="auto" w:fill="auto"/>
            <w:noWrap/>
            <w:vAlign w:val="center"/>
          </w:tcPr>
          <w:p w14:paraId="5B61E9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2"/>
                <w:highlight w:val="none"/>
                <w:u w:val="none"/>
              </w:rPr>
            </w:pPr>
            <w:r>
              <w:rPr>
                <w:rFonts w:hint="default" w:ascii="Times New Roman" w:hAnsi="Times New Roman" w:eastAsia="宋体" w:cs="Times New Roman"/>
                <w:b w:val="0"/>
                <w:bCs w:val="0"/>
                <w:i w:val="0"/>
                <w:iCs w:val="0"/>
                <w:color w:val="auto"/>
                <w:kern w:val="0"/>
                <w:sz w:val="21"/>
                <w:szCs w:val="22"/>
                <w:highlight w:val="none"/>
                <w:u w:val="none"/>
                <w:lang w:val="en-US" w:eastAsia="zh-CN" w:bidi="ar"/>
              </w:rPr>
              <w:t>农田生态系统</w:t>
            </w: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AAD1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耕地</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512A9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4889.24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AFF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34.37 </w:t>
            </w:r>
          </w:p>
        </w:tc>
      </w:tr>
      <w:tr w14:paraId="5A614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0E6A753D">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2"/>
                <w:highlight w:val="none"/>
                <w:u w:val="none"/>
              </w:rPr>
            </w:pP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96A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园地</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700C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335.91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FF0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2.36 </w:t>
            </w:r>
          </w:p>
        </w:tc>
      </w:tr>
      <w:tr w14:paraId="2210F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continue"/>
            <w:tcBorders>
              <w:top w:val="single" w:color="000000" w:sz="4" w:space="0"/>
              <w:left w:val="single" w:color="000000" w:sz="4" w:space="0"/>
              <w:bottom w:val="nil"/>
              <w:right w:val="single" w:color="000000" w:sz="4" w:space="0"/>
            </w:tcBorders>
            <w:shd w:val="clear" w:color="auto" w:fill="auto"/>
            <w:noWrap/>
            <w:vAlign w:val="center"/>
          </w:tcPr>
          <w:p w14:paraId="34B1E70C">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2"/>
                <w:highlight w:val="none"/>
                <w:u w:val="none"/>
              </w:rPr>
            </w:pP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BC31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小计</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1044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5225.15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82DA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36.73 </w:t>
            </w:r>
          </w:p>
        </w:tc>
      </w:tr>
      <w:tr w14:paraId="30484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22FD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2"/>
                <w:highlight w:val="none"/>
                <w:u w:val="none"/>
              </w:rPr>
            </w:pPr>
            <w:r>
              <w:rPr>
                <w:rFonts w:hint="default" w:ascii="Times New Roman" w:hAnsi="Times New Roman" w:eastAsia="宋体" w:cs="Times New Roman"/>
                <w:b w:val="0"/>
                <w:bCs w:val="0"/>
                <w:i w:val="0"/>
                <w:iCs w:val="0"/>
                <w:color w:val="auto"/>
                <w:kern w:val="0"/>
                <w:sz w:val="21"/>
                <w:szCs w:val="22"/>
                <w:highlight w:val="none"/>
                <w:u w:val="none"/>
                <w:lang w:val="en-US" w:eastAsia="zh-CN" w:bidi="ar"/>
              </w:rPr>
              <w:t>湿地生态系统</w:t>
            </w: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0CEF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河流</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827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61.27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0BA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0.43 </w:t>
            </w:r>
          </w:p>
        </w:tc>
      </w:tr>
      <w:tr w14:paraId="0A8AA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DB96">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2"/>
                <w:highlight w:val="none"/>
                <w:u w:val="none"/>
              </w:rPr>
            </w:pP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B344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湖泊</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DE1C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137.68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95E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0.97 </w:t>
            </w:r>
          </w:p>
        </w:tc>
      </w:tr>
      <w:tr w14:paraId="7D854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C4E1E">
            <w:pPr>
              <w:snapToGrid w:val="0"/>
              <w:ind w:left="0" w:leftChars="0" w:right="0" w:rightChars="0" w:firstLine="0" w:firstLineChars="0"/>
              <w:jc w:val="center"/>
              <w:rPr>
                <w:rFonts w:hint="default" w:ascii="Times New Roman" w:hAnsi="Times New Roman" w:eastAsia="宋体" w:cs="Times New Roman"/>
                <w:b w:val="0"/>
                <w:bCs w:val="0"/>
                <w:i w:val="0"/>
                <w:iCs w:val="0"/>
                <w:color w:val="auto"/>
                <w:sz w:val="21"/>
                <w:szCs w:val="22"/>
                <w:highlight w:val="none"/>
                <w:u w:val="none"/>
              </w:rPr>
            </w:pP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B626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小计</w:t>
            </w:r>
          </w:p>
        </w:tc>
        <w:tc>
          <w:tcPr>
            <w:tcW w:w="16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D48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198.95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83DE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1.40 </w:t>
            </w:r>
          </w:p>
        </w:tc>
      </w:tr>
      <w:tr w14:paraId="4F9BB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E6E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2"/>
                <w:highlight w:val="none"/>
                <w:u w:val="none"/>
              </w:rPr>
            </w:pPr>
            <w:r>
              <w:rPr>
                <w:rFonts w:hint="default" w:ascii="Times New Roman" w:hAnsi="Times New Roman" w:eastAsia="宋体" w:cs="Times New Roman"/>
                <w:b w:val="0"/>
                <w:bCs w:val="0"/>
                <w:i w:val="0"/>
                <w:iCs w:val="0"/>
                <w:color w:val="auto"/>
                <w:kern w:val="0"/>
                <w:sz w:val="21"/>
                <w:szCs w:val="22"/>
                <w:highlight w:val="none"/>
                <w:u w:val="none"/>
                <w:lang w:val="en-US" w:eastAsia="zh-CN" w:bidi="ar"/>
              </w:rPr>
              <w:t>城镇生态系统</w:t>
            </w: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F96D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居住地及工矿交通</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9CFD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1024.43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3EEC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7.20 </w:t>
            </w:r>
          </w:p>
        </w:tc>
      </w:tr>
      <w:tr w14:paraId="70DA9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7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2D79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2"/>
                <w:highlight w:val="none"/>
                <w:u w:val="none"/>
              </w:rPr>
            </w:pPr>
            <w:r>
              <w:rPr>
                <w:rFonts w:hint="default" w:ascii="Times New Roman" w:hAnsi="Times New Roman" w:eastAsia="宋体" w:cs="Times New Roman"/>
                <w:b w:val="0"/>
                <w:bCs w:val="0"/>
                <w:i w:val="0"/>
                <w:iCs w:val="0"/>
                <w:color w:val="auto"/>
                <w:kern w:val="0"/>
                <w:sz w:val="21"/>
                <w:szCs w:val="22"/>
                <w:highlight w:val="none"/>
                <w:u w:val="none"/>
                <w:lang w:val="en-US" w:eastAsia="zh-CN" w:bidi="ar"/>
              </w:rPr>
              <w:t>其他</w:t>
            </w:r>
          </w:p>
        </w:tc>
        <w:tc>
          <w:tcPr>
            <w:tcW w:w="3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13FF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裸地</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71A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23.42 </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6A6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0.16 </w:t>
            </w:r>
          </w:p>
        </w:tc>
      </w:tr>
      <w:tr w14:paraId="50EFE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23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D5A5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合计</w:t>
            </w:r>
          </w:p>
        </w:tc>
        <w:tc>
          <w:tcPr>
            <w:tcW w:w="16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7EE2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14225.00</w:t>
            </w:r>
          </w:p>
        </w:tc>
        <w:tc>
          <w:tcPr>
            <w:tcW w:w="19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981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100.00 </w:t>
            </w:r>
          </w:p>
        </w:tc>
      </w:tr>
    </w:tbl>
    <w:p w14:paraId="0D160026">
      <w:pPr>
        <w:pStyle w:val="7"/>
        <w:numPr>
          <w:ilvl w:val="4"/>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生态系统</w:t>
      </w:r>
      <w:r>
        <w:rPr>
          <w:rFonts w:hint="default" w:ascii="Times New Roman" w:hAnsi="Times New Roman" w:cs="Times New Roman"/>
          <w:color w:val="auto"/>
          <w:highlight w:val="none"/>
          <w:lang w:val="en-US" w:eastAsia="zh-CN"/>
        </w:rPr>
        <w:t>特征</w:t>
      </w:r>
    </w:p>
    <w:p w14:paraId="28953118">
      <w:pPr>
        <w:pStyle w:val="4"/>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lang w:val="en-US" w:eastAsia="zh-CN"/>
        </w:rPr>
        <w:t>森林生态系统</w:t>
      </w:r>
    </w:p>
    <w:p w14:paraId="789B1849">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森林生态系统是森林群落与其环境在功能流的作用下形成一定结构、功能和自调控的自然综合体，是陆地生态系统中面积最多、最重要的自然生态系统。根据现场踏勘结合遥感影像解译，森林面积</w:t>
      </w:r>
      <w:r>
        <w:rPr>
          <w:rFonts w:hint="default" w:ascii="Times New Roman" w:hAnsi="Times New Roman" w:cs="Times New Roman"/>
          <w:color w:val="auto"/>
          <w:highlight w:val="none"/>
          <w:lang w:val="en-US" w:eastAsia="zh-CN"/>
        </w:rPr>
        <w:t>5981.21k</w:t>
      </w:r>
      <w:r>
        <w:rPr>
          <w:rFonts w:hint="default" w:ascii="Times New Roman" w:hAnsi="Times New Roman" w:eastAsia="宋体" w:cs="Times New Roman"/>
          <w:color w:val="auto"/>
          <w:highlight w:val="none"/>
          <w:lang w:eastAsia="zh-CN"/>
        </w:rPr>
        <w:t>m</w:t>
      </w:r>
      <w:r>
        <w:rPr>
          <w:rFonts w:hint="default" w:ascii="Times New Roman" w:hAnsi="Times New Roman" w:cs="Times New Roman"/>
          <w:color w:val="auto"/>
          <w:highlight w:val="none"/>
          <w:lang w:val="en-US" w:eastAsia="zh-CN"/>
        </w:rPr>
        <w:t>²</w:t>
      </w:r>
      <w:r>
        <w:rPr>
          <w:rFonts w:hint="default" w:ascii="Times New Roman" w:hAnsi="Times New Roman" w:eastAsia="宋体" w:cs="Times New Roman"/>
          <w:color w:val="auto"/>
          <w:highlight w:val="none"/>
          <w:lang w:eastAsia="zh-CN"/>
        </w:rPr>
        <w:t xml:space="preserve">，占评价区总面积的 </w:t>
      </w:r>
      <w:r>
        <w:rPr>
          <w:rFonts w:hint="default" w:ascii="Times New Roman" w:hAnsi="Times New Roman" w:cs="Times New Roman"/>
          <w:color w:val="auto"/>
          <w:highlight w:val="none"/>
          <w:lang w:val="en-US" w:eastAsia="zh-CN"/>
        </w:rPr>
        <w:t>22.14</w:t>
      </w:r>
      <w:r>
        <w:rPr>
          <w:rFonts w:hint="default" w:ascii="Times New Roman" w:hAnsi="Times New Roman" w:eastAsia="宋体" w:cs="Times New Roman"/>
          <w:color w:val="auto"/>
          <w:highlight w:val="none"/>
          <w:lang w:eastAsia="zh-CN"/>
        </w:rPr>
        <w:t>%。</w:t>
      </w:r>
    </w:p>
    <w:p w14:paraId="01E20F99">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①植被现状</w:t>
      </w:r>
    </w:p>
    <w:p w14:paraId="5DC29AA1">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评价区内的森林主要为针叶林和阔叶林两大类。针叶林分布面积较大，其中云南松林为评价区面积最大、分布最广的森林类型，常形成大面积纯林，部分地段与栓皮栎、高山栲、黄毛青冈等组成针阔混交林，林相整齐、树干通直，是半湿润常绿阔叶林破坏后形成的最主要次生植被；滇油杉林可成小片纯林或与云南松、栎类混交，群落稳定性较好、土壤团聚体结构优良；华山松林多为块状纯林，也包含部分人工林，林下灌木层较稀疏，是评价区高海拔地带的主要水源涵养林；此外还有部分黄杉林、刺柏林和杉木林，面积不大，其中黄杉林为国家</w:t>
      </w:r>
      <w:r>
        <w:rPr>
          <w:rFonts w:hint="default" w:ascii="Times New Roman" w:hAnsi="Times New Roman" w:cs="Times New Roman"/>
          <w:color w:val="auto"/>
          <w:highlight w:val="none"/>
          <w:lang w:val="en-US" w:eastAsia="zh-CN"/>
        </w:rPr>
        <w:t>二</w:t>
      </w:r>
      <w:r>
        <w:rPr>
          <w:rFonts w:hint="default" w:ascii="Times New Roman" w:hAnsi="Times New Roman" w:eastAsia="宋体" w:cs="Times New Roman"/>
          <w:color w:val="auto"/>
          <w:highlight w:val="none"/>
          <w:lang w:eastAsia="zh-CN"/>
        </w:rPr>
        <w:t>级保护植物群落，伴生云南松、滇油杉、滇青冈等，多呈零星斑块分布，具有较高的保护价值；杉木林和刺柏林多属于人工造林，刺柏林常见于石灰岩山地，杉木林则多分布于水湿条件较好的沟谷地段。</w:t>
      </w:r>
    </w:p>
    <w:p w14:paraId="6666B506">
      <w:pPr>
        <w:pStyle w:val="4"/>
        <w:bidi w:val="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highlight w:val="none"/>
          <w:lang w:eastAsia="zh-CN"/>
        </w:rPr>
        <w:t>阔叶林由常绿阔叶林、硬叶常绿阔叶林和落叶阔叶林组成。常绿阔叶林为评价区地带性植被，半湿润常绿阔叶林类型，物种丰富、层次结构复杂，主要群系包括：黄毛青冈林，是半湿润常绿阔叶林中最耐旱的类型，伴生滇青冈、滇石栎等，母岩多为砂岩；滇青冈林，分布于石灰岩区域，伴生干香柏、黄毛青冈等，是灰岩山地的代表性阔叶林；滇石栎林和光叶石栎林，群落郁闭度较高，林下阴湿，是区域重要的原生阔叶林斑块；元江栲林，分布于沟谷及阴坡</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幼苗更新能力强，是保存较好的原生常绿阔叶林类型；</w:t>
      </w:r>
      <w:r>
        <w:rPr>
          <w:rFonts w:hint="default" w:ascii="Times New Roman" w:hAnsi="Times New Roman" w:cs="Times New Roman"/>
          <w:color w:val="auto"/>
          <w:highlight w:val="none"/>
          <w:lang w:val="en-US" w:eastAsia="zh-CN"/>
        </w:rPr>
        <w:t>中山湿性常绿阔叶林中主要群系有</w:t>
      </w:r>
      <w:r>
        <w:rPr>
          <w:rFonts w:hint="default" w:ascii="Times New Roman" w:hAnsi="Times New Roman" w:eastAsia="宋体" w:cs="Times New Roman"/>
          <w:color w:val="auto"/>
          <w:highlight w:val="none"/>
          <w:lang w:eastAsia="zh-CN"/>
        </w:rPr>
        <w:t>多变石栎林、厚叶石栎林和瓦山栲林，多分布于阴湿山地，群落结构复杂、附生植物丰富，对水源涵养和生物多样性维持作用显著；</w:t>
      </w:r>
      <w:r>
        <w:rPr>
          <w:rFonts w:hint="default" w:ascii="Times New Roman" w:hAnsi="Times New Roman" w:cs="Times New Roman"/>
          <w:color w:val="auto"/>
          <w:highlight w:val="none"/>
          <w:lang w:val="en-US" w:eastAsia="zh-CN"/>
        </w:rPr>
        <w:t>山顶苔藓矮林中主要群系有</w:t>
      </w:r>
      <w:r>
        <w:rPr>
          <w:rFonts w:hint="default" w:ascii="Times New Roman" w:hAnsi="Times New Roman" w:eastAsia="宋体" w:cs="Times New Roman"/>
          <w:color w:val="auto"/>
          <w:highlight w:val="none"/>
          <w:lang w:eastAsia="zh-CN"/>
        </w:rPr>
        <w:t>马缨花杜鹃林和大白花杜鹃林，常与云南松、栎类混交或在高海拔地段形成杜鹃矮林，花期景观价值高，也是多种鸟类的觅食栖息地。硬叶常绿阔叶林是古地中海残余植被类型，分布于气候冷凉干燥的山地，包括灰背栎林和长穗栎林，其中灰背栎林常混生于半湿润常绿阔叶林中，在阳坡及高海拔地段可形成单优群落，叶片革质厚、耐寒耐旱，群落结构相对简单；长穗栎林适应冷凉气候，是评价区高海拔地带的重要水土保持林。落叶阔叶林分布面积较小，多呈斑块状镶嵌于常绿阔叶林和针叶林之间，包括栓皮栎林、旱冬瓜林、圆叶杨林和枫杨林，其中栓皮栎林分布于向阳山坡，常与云南松混交，落叶季相明显；旱冬瓜林分布于沟谷、溪边及撂荒地，生长迅速、具固氮能力，是次生演替和沟谷水土保持的先锋树种；圆叶杨林和枫杨林则沿溪流、河岸呈狭长条带状分布，喜湿耐涝，根系固土能力强，对河岸防冲刷和溪流生境维持具有重要作用。</w:t>
      </w:r>
    </w:p>
    <w:p w14:paraId="42F308E6">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②动物现状</w:t>
      </w:r>
    </w:p>
    <w:p w14:paraId="6E9064E8">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森林生态系统类型多样，针叶林与阔叶林交错分布，乔—灌—草层次结构完整，为各类陆生脊椎动物提供了丰富的栖息、觅食和繁殖场所。鸟类是其中种类最多、数量最大的类群，针叶林生境（云南松林、华山松林、滇油杉林等）常见大山雀、绿背山雀、红头长尾山雀、普通</w:t>
      </w:r>
      <w:r>
        <w:rPr>
          <w:rFonts w:hint="eastAsia" w:cs="Times New Roman"/>
          <w:color w:val="auto"/>
          <w:highlight w:val="none"/>
          <w:lang w:val="en-US" w:eastAsia="zh-CN"/>
        </w:rPr>
        <w:t>䴓</w:t>
      </w:r>
      <w:r>
        <w:rPr>
          <w:rFonts w:hint="default" w:ascii="Times New Roman" w:hAnsi="Times New Roman" w:cs="Times New Roman"/>
          <w:color w:val="auto"/>
          <w:highlight w:val="none"/>
          <w:lang w:val="en-US" w:eastAsia="zh-CN"/>
        </w:rPr>
        <w:t>、大斑啄木鸟、山斑鸠、红隼、松雀鹰等，林缘地带多见棕背伯劳、喜鹊、山麻雀、白鹡鸰；常绿阔叶林生境（黄毛青冈林、滇青冈林、滇石栎林、元江栲林、马缨花杜鹃林等）以鹟科、噪鹛科、柳莺科为优势类群，常见橙翅噪鹛、红嘴相思鸟、白领凤鹛、画眉、宝兴歌鸫、方尾鹟、灰眶雀鹛等，并分布有白腹锦鸡、白鹇、普通鵟、黑翅鸢等国家二级重点保护鸟类；落叶阔叶林及针阔混交林常见白头鹎、黑脸噪鹛、棕颈钩嘴鹛、黑卷尾等。兽类以中小型种类为主，针叶林及针阔混交林常见岩松鼠、赤腹松鼠、黄鼬、花面狸、野猪、</w:t>
      </w:r>
      <w:r>
        <w:rPr>
          <w:rFonts w:hint="eastAsia" w:cs="Times New Roman"/>
          <w:color w:val="auto"/>
          <w:highlight w:val="none"/>
          <w:lang w:val="en-US" w:eastAsia="zh-CN"/>
        </w:rPr>
        <w:t>赤麂</w:t>
      </w:r>
      <w:r>
        <w:rPr>
          <w:rFonts w:hint="default" w:ascii="Times New Roman" w:hAnsi="Times New Roman" w:cs="Times New Roman"/>
          <w:color w:val="auto"/>
          <w:highlight w:val="none"/>
          <w:lang w:val="en-US" w:eastAsia="zh-CN"/>
        </w:rPr>
        <w:t>等，常绿阔叶林及灌丛分布有豹猫、黄喉貂、猪獾及</w:t>
      </w:r>
      <w:r>
        <w:rPr>
          <w:rFonts w:hint="eastAsia" w:cs="Times New Roman"/>
          <w:color w:val="auto"/>
          <w:highlight w:val="none"/>
          <w:lang w:val="en-US" w:eastAsia="zh-CN"/>
        </w:rPr>
        <w:t>中华</w:t>
      </w:r>
      <w:r>
        <w:rPr>
          <w:rFonts w:hint="default" w:ascii="Times New Roman" w:hAnsi="Times New Roman" w:cs="Times New Roman"/>
          <w:color w:val="auto"/>
          <w:highlight w:val="none"/>
          <w:lang w:val="en-US" w:eastAsia="zh-CN"/>
        </w:rPr>
        <w:t>穿山甲、林麝、大灵猫、小灵猫、金猫等珍稀物种，高海拔硬叶常绿阔叶林及华山松林分布有中华斑羚，部分区域有猕猴、短尾猴等灵长类活动。两栖类主要栖息于森林溪流、阴湿林下及落叶层，常见华西蟾蜍、滇蛙、昭觉林蛙、斑腿泛树蛙等；爬行类活动于林缘灌丛及林间空地，常见乌梢蛇、王锦蛇、蓝尾石龙子等，脆蛇蜥、眼镜王蛇等为国家二级重点保护野生动物。</w:t>
      </w:r>
    </w:p>
    <w:p w14:paraId="2EE4C92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③生态功能</w:t>
      </w:r>
    </w:p>
    <w:p w14:paraId="1BB29746">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评价区森林面积5981.21 km²，占评价区总面积的 22.14%，是区域陆地生态系统的主体，在涵养水源、保持水土、维持生物多样性、固碳释氧、调节气候及净化环境等方面发挥着重要生态服务功能。森林通过林冠截留、枯落物持水和土壤蓄水实现对降水的再分配，可削减洪峰、补充枯水期径流，评价区地处珠江源头及南盘江流域上游，森林涵养水源功能对保障区域水资源供给和河流基流稳定意义重大；同时，冠层削弱雨滴击溅、枯落物覆盖地表、植物根系固结土壤，有效减少了山地坡面侵蚀和水土流失，其中常绿阔叶林和硬叶常绿阔叶林因郁闭度高、枯落物层厚，水土保持功能优于结构单一的针叶纯林。多样的森林类型及林缘、林间空地构成高度异质的生境镶嵌体，为各类陆生脊椎动物及昆虫、土壤动物提供栖息地，原生常绿阔叶林斑块更是区域生物多样性的核心栖息地和物种基因库。此外，云南松、华山松等针叶林生长快、生物量积累显著，常绿阔叶林群落生物量和土壤有机碳储量高，共同构成区域重要碳库；森林蒸腾作用可增加空气湿度、降低周边气温，调节区域小气候；植被还可吸附粉尘、吸收有害气体，过滤净化地表径流，对改善区域生态环境质量具有积极作用。</w:t>
      </w:r>
    </w:p>
    <w:p w14:paraId="0389E5FB">
      <w:pPr>
        <w:pStyle w:val="4"/>
        <w:bidi w:val="0"/>
        <w:rPr>
          <w:rFonts w:hint="default" w:ascii="Times New Roman" w:hAnsi="Times New Roman" w:eastAsia="宋体" w:cs="Times New Roman"/>
          <w:b/>
          <w:bCs/>
          <w:color w:val="auto"/>
          <w:highlight w:val="none"/>
          <w:lang w:val="en-US" w:eastAsia="zh-CN"/>
        </w:rPr>
      </w:pP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lang w:eastAsia="zh-CN"/>
        </w:rPr>
        <w:t>）</w:t>
      </w:r>
      <w:r>
        <w:rPr>
          <w:rFonts w:hint="default" w:ascii="Times New Roman" w:hAnsi="Times New Roman" w:cs="Times New Roman"/>
          <w:b/>
          <w:bCs/>
          <w:color w:val="auto"/>
          <w:highlight w:val="none"/>
          <w:lang w:val="en-US" w:eastAsia="zh-CN"/>
        </w:rPr>
        <w:t>灌丛生态系统</w:t>
      </w:r>
    </w:p>
    <w:p w14:paraId="0B3FD262">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①植被现状</w:t>
      </w:r>
    </w:p>
    <w:p w14:paraId="1A5E2A1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灌丛植被分布广泛，是森林破坏后次生演替的重要阶段，也是干热河谷、石漠化坡地及高海拔山脊等极端生境的稳定植被类型，根据群落特征和生境可分为暖温性灌丛和干热河谷灌丛两大类。暖温性灌丛分布于海拔 1300～2400m 的广大山地，类型丰富，其中滇石栎萌生灌丛和元江栲萌生灌丛为半湿润常绿阔叶林破坏后由伐桩萌芽形成的次生灌丛，具备向原生阔叶林自然恢复的潜力，对沟谷水土保持作用显著；长穗栎萌生灌丛和灰背栎萌生灌丛为硬叶阔叶林破坏后的次生类型，耐寒耐旱、叶片革质厚，灌丛结构简单，多分布于高海拔采伐迹地边缘；滇榛灌丛为落叶灌木优势群落，萌蘖能力强，常镶嵌于森林及灌丛边缘；矮杨梅灌丛喜酸性土、耐干旱贫瘠，是红壤坡地标志性灌丛，火烧迹地极易率先恢复；地盘松灌丛为云南松矮化变种，呈丛生灌状，是土层浅薄、高频火烧区域的稳定群落，石漠化风险较高；铺地蜈蚣灌丛贴地生长、耐强风薄土，为山脊水土保持先锋灌丛；矮高山栎灌丛耐寒抗风，常与杜鹃混生，是山顶苔藓矮林下方的过渡灌丛；山柳灌丛沿山地箐沟、溪流水系呈狭长条带状分布，根系固土能力强，为河岸溪谷防冲刷关键植被；马桑灌丛为次生演替早期标志性群落，极耐干旱贫瘠、植株有毒牲畜不取食，群落扩张速度快，是退耕和矿山修复的先锋植被；小果蔷薇灌丛为多刺藤状灌木，是喀斯特石漠化前期坡地优势种；火棘灌丛极耐岩石裸露干旱环境，秋冬红果量大，为喀斯特地区水土保持核心灌木。干热河谷灌丛分布于海拔 1100～1550m 的南盘江沿线及罗平、师宗南部河谷地带，包括余甘子灌丛和车桑子灌丛，二者均适应焚风效应和季节性干旱，耐火烧、耐极端干旱，群落盖度偏低，是干热河谷退化土地的最主要原生灌丛和生态修复基础群落。</w:t>
      </w:r>
    </w:p>
    <w:p w14:paraId="3C92882F">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②动物现状</w:t>
      </w:r>
    </w:p>
    <w:p w14:paraId="3703520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灌丛生态系统处于森林与草地、农地之间的过渡地带，植被结构以灌木层为主、草本层发育，生境开阔且隐蔽条件兼备，为中小型鸟兽、两栖爬行类提供了重要的觅食、避敌和繁殖场所。鸟类方面，灌丛是鹛类、莺类、鹀类等雀形目鸟类的集中栖息生境，常见种类有棕头鸦雀、灰眶雀鹛、强脚树莺、黄腹柳莺、普通朱雀、酒红朱雀、灰眉岩鹀、小鹀等；林缘灌丛常见棕背伯劳、红尾伯劳、虎纹伯劳、北红尾鸲、黑喉石鵖、白顶溪鸲等；火棘灌丛、小果蔷薇灌丛和铺地蜈蚣灌丛秋冬季节红果量大，吸引白腹锦鸡、环颈雉、珠颈斑鸠、山斑鸠及多种雀科鸟类前来取食，是鸟类重要的觅食地；高海拔矮高山栎灌丛和灰背栎灌丛分布有白领凤鹛、橙翅噪鹛、灰背伯劳等耐寒种类。兽类方面，灌丛生境以中小型兽类为主，常见有赤腹松鼠、云南兔、黄鼬、黄腹鼬、果子狸、猪獾、狗獾等；马桑灌丛、火棘灌丛等多刺茂密灌丛是豹猫、黄喉貂等食肉兽的隐蔽和捕猎场所；喀斯特灌丛区还可能分布有</w:t>
      </w:r>
      <w:r>
        <w:rPr>
          <w:rFonts w:hint="eastAsia" w:cs="Times New Roman"/>
          <w:color w:val="auto"/>
          <w:highlight w:val="none"/>
          <w:lang w:val="en-US" w:eastAsia="zh-CN"/>
        </w:rPr>
        <w:t>中华</w:t>
      </w:r>
      <w:r>
        <w:rPr>
          <w:rFonts w:hint="default" w:ascii="Times New Roman" w:hAnsi="Times New Roman" w:cs="Times New Roman"/>
          <w:color w:val="auto"/>
          <w:highlight w:val="none"/>
          <w:lang w:val="en-US" w:eastAsia="zh-CN"/>
        </w:rPr>
        <w:t>穿山甲、林麝等国家一级保护动物及猕猴等灵长类。两栖类方面，山柳灌丛等沿溪分布的湿生灌丛是华西蟾蜍、滇蛙、昭觉林蛙、斑腿泛树蛙等的重要栖息和繁殖场所；旱生灌丛中两栖类种类较少，以耐旱的蟾蜍类和泽陆蛙为主。爬行类方面，灌丛及林缘草地是蜥蜴和蛇类的主要活动区域，常见有铜蜓蜥、蓝尾石龙子、滑蜥等蜥蜴类，以及乌梢蛇、王锦蛇、黑眉锦蛇、</w:t>
      </w:r>
      <w:r>
        <w:rPr>
          <w:rFonts w:hint="eastAsia" w:cs="Times New Roman"/>
          <w:color w:val="auto"/>
          <w:highlight w:val="none"/>
          <w:lang w:val="en-US" w:eastAsia="zh-CN"/>
        </w:rPr>
        <w:t>草腹链蛇、赤链华游蛇</w:t>
      </w:r>
      <w:r>
        <w:rPr>
          <w:rFonts w:hint="default" w:ascii="Times New Roman" w:hAnsi="Times New Roman" w:cs="Times New Roman"/>
          <w:color w:val="auto"/>
          <w:highlight w:val="none"/>
          <w:lang w:val="en-US" w:eastAsia="zh-CN"/>
        </w:rPr>
        <w:t>等蛇类；干热河谷灌丛因气温高、光照强，爬行类种类和数量更为丰富。总体而言，灌丛虽不及原始森林的动物种类多，但作为面积广阔的次生和边缘生境，在维持区域动物种群数量、连通森林斑块间物种交流方面具有不可替代的作用。</w:t>
      </w:r>
    </w:p>
    <w:p w14:paraId="70FED75C">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③生态功能</w:t>
      </w:r>
    </w:p>
    <w:p w14:paraId="6C39F842">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灌丛植被分布面积广、适应性强，在水土保持、石漠化治理、干热河谷生态修复、生物多样性维持及碳汇等方面发挥着重要生态功能。水土保持方面，灌丛植被冠层可截留降水、削弱雨滴击溅，密集的灌木根系和枯落物层可有效固结土壤、减缓地表径流，其中山柳灌丛沿溪谷分布、根系固土能力强，是河岸防冲刷的关键植被；火棘灌丛、小果蔷薇灌丛极耐岩石裸露环境，为喀斯特石漠化地区水土保持的核心灌木；地盘松灌丛、矮杨梅灌丛在红壤坡地和高频火烧区形成稳定覆盖，对防止坡面侵蚀和石漠化扩展意义重大。生态修复与演替方面，滇石栎萌生灌丛和元江栲萌生灌丛保留了原生树种的伐桩萌芽，具备向常绿阔叶林自然恢复的潜力，是流域森林恢复的重要过渡阶段；马桑灌丛极耐干旱贫瘠、扩张速度快，是退耕还林和矿山修复的先锋植被；车桑子灌丛和余甘子灌丛耐火烧、耐极端干旱，是南盘江干热河谷退化土地生态修复的基础群落。生物多样性维持方面，灌丛作为森林与开阔地之间的过渡生境，为中小型鸟兽、两栖爬行类提供觅食和隐蔽场所，火棘、小果蔷薇、铺地蜈蚣等结果灌丛秋冬季节为鸟类和小型兽类提供关键食物资源。此外，灌丛植被通过光合作用固定碳、释放氧气，大面积的灌丛覆盖在区域碳循环中具有一定贡献；灌丛还可调节局部小气候、增加空气湿度，并在净化空气、减少扬尘方面发挥作用。</w:t>
      </w:r>
    </w:p>
    <w:p w14:paraId="02B03929">
      <w:pPr>
        <w:pStyle w:val="4"/>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（3）草地生态系统</w:t>
      </w:r>
    </w:p>
    <w:p w14:paraId="1FFA093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①植被现状</w:t>
      </w:r>
    </w:p>
    <w:p w14:paraId="3B5483A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草地以暖温性稀树灌木草丛和山地草丛为主，是森林破坏后形成的次生植被类型，常见群系有白茅草丛、蕨菜草丛、香青草丛、茵陈蒿草丛、野古草草丛、西南委陵菜草甸等，群落以多年生禾本科草本为优势，其间散生马桑、火棘、小铁子、苦刺等灌木，部分干热河谷地段形成稀树草原景观，散生攀枝花、羊蹄甲等耐旱乔木；高海拔山地还分布有亚高山草甸，以西南委陵菜、蒿草、苔草等耐寒草本为主。</w:t>
      </w:r>
    </w:p>
    <w:p w14:paraId="4552A389">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②动物现状</w:t>
      </w:r>
    </w:p>
    <w:p w14:paraId="76F72497">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草地生境开阔，为开阔地栖息的鸟类、小型兽类和爬行动物提供了觅食和繁殖场所。鸟类常见有小云雀、田鹨、树鹨、灰眉岩鹀、鹌鹑等，林缘草地还可见棕背伯劳、红尾伯劳、北红尾鸲、黑喉石鵖等；兽类以云南兔、赤腹松鼠、黄鼬、黄腹鼬及多种啮齿类为主；爬行类常见有</w:t>
      </w:r>
      <w:r>
        <w:rPr>
          <w:rFonts w:hint="eastAsia" w:cs="Times New Roman"/>
          <w:color w:val="auto"/>
          <w:highlight w:val="none"/>
          <w:lang w:val="en-US" w:eastAsia="zh-CN"/>
        </w:rPr>
        <w:t>草腹链蛇、</w:t>
      </w:r>
      <w:r>
        <w:rPr>
          <w:rFonts w:hint="default" w:ascii="Times New Roman" w:hAnsi="Times New Roman" w:cs="Times New Roman"/>
          <w:color w:val="auto"/>
          <w:highlight w:val="none"/>
          <w:lang w:val="en-US" w:eastAsia="zh-CN"/>
        </w:rPr>
        <w:t>铜蜓蜥、蓝尾石龙子等；两栖类较少，仅在近水草地有华西蟾蜍、泽陆蛙等分布。</w:t>
      </w:r>
    </w:p>
    <w:p w14:paraId="0B22A21A">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③生态功能</w:t>
      </w:r>
    </w:p>
    <w:p w14:paraId="395175C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草地生态系统在保持水土、涵养水源、维持开阔生境生物多样性及提供畜牧产品方面具有重要功能。草本植物根系密集，可有效固结土壤、减少坡面侵蚀，尤其是在坡度较大的山地和干热河谷区，草地覆盖是防止水土流失和石漠化扩展的重要屏障；草地也是区域碳汇的组成部分，同时为草食动物和传粉昆虫提供食物和栖息地，但由于过度放牧和开垦，部分天然草地存在退化现象，生态功能有所下降。</w:t>
      </w:r>
    </w:p>
    <w:p w14:paraId="1BDE2D37">
      <w:pPr>
        <w:pStyle w:val="4"/>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（4）农田生态系统</w:t>
      </w:r>
    </w:p>
    <w:p w14:paraId="336312EC">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①植被现状</w:t>
      </w:r>
    </w:p>
    <w:p w14:paraId="4A80EDD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农田生态系统分为耕地和园地两大类。耕地中水田以水稻种植为主，多分布于坝区和河谷地带，生长季植被覆盖度高，季相变化明显，部分区域实行菜稻轮作、豆稻轮作等多元种植模式；旱地以玉米、马铃薯、烤烟、油菜、小麦等为主，广泛分布于山区和半山区，耕作制度多样，常见玉米—马铃薯—烤烟—油菜轮作、烟粮套种等模式，作物季相更替频繁；园地主要为水果、茶叶等经济作物种植。农田生态系统植被结构单一、物种多样性低，受人为耕作管理影响强烈。</w:t>
      </w:r>
    </w:p>
    <w:p w14:paraId="1998636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②动物现状</w:t>
      </w:r>
    </w:p>
    <w:p w14:paraId="6C947EDE">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农田生态系统中的动物以伴人物种和广布种为主。鸟类常见有麻雀、白鹡鸰、八哥、喜鹊、白头鹎、珠颈斑鸠、家燕、金腰燕等，水田及灌溉渠附近常见白鹭、池鹭、牛背鹭、夜鹭等涉禽觅食，秋冬季有</w:t>
      </w:r>
      <w:r>
        <w:rPr>
          <w:rFonts w:hint="eastAsia" w:cs="Times New Roman"/>
          <w:color w:val="auto"/>
          <w:highlight w:val="none"/>
          <w:lang w:val="en-US" w:eastAsia="zh-CN"/>
        </w:rPr>
        <w:t>鸠鸽科</w:t>
      </w:r>
      <w:r>
        <w:rPr>
          <w:rFonts w:hint="default" w:ascii="Times New Roman" w:hAnsi="Times New Roman" w:cs="Times New Roman"/>
          <w:color w:val="auto"/>
          <w:highlight w:val="none"/>
          <w:lang w:val="en-US" w:eastAsia="zh-CN"/>
        </w:rPr>
        <w:t>、鹀</w:t>
      </w:r>
      <w:r>
        <w:rPr>
          <w:rFonts w:hint="eastAsia" w:cs="Times New Roman"/>
          <w:color w:val="auto"/>
          <w:highlight w:val="none"/>
          <w:lang w:val="en-US" w:eastAsia="zh-CN"/>
        </w:rPr>
        <w:t>科鸟类</w:t>
      </w:r>
      <w:r>
        <w:rPr>
          <w:rFonts w:hint="default" w:ascii="Times New Roman" w:hAnsi="Times New Roman" w:cs="Times New Roman"/>
          <w:color w:val="auto"/>
          <w:highlight w:val="none"/>
          <w:lang w:val="en-US" w:eastAsia="zh-CN"/>
        </w:rPr>
        <w:t>等取食散落谷物；兽类以褐家鼠、黄胸鼠、小家鼠等啮齿类为主，田间可见黄鼬等；两栖类在水田和沟渠中较为丰富，常见华西蟾蜍、中华蟾蜍、泽陆蛙、黑斑</w:t>
      </w:r>
      <w:r>
        <w:rPr>
          <w:rFonts w:hint="eastAsia" w:cs="Times New Roman"/>
          <w:color w:val="auto"/>
          <w:highlight w:val="none"/>
          <w:lang w:val="en-US" w:eastAsia="zh-CN"/>
        </w:rPr>
        <w:t>侧褶</w:t>
      </w:r>
      <w:r>
        <w:rPr>
          <w:rFonts w:hint="default" w:ascii="Times New Roman" w:hAnsi="Times New Roman" w:cs="Times New Roman"/>
          <w:color w:val="auto"/>
          <w:highlight w:val="none"/>
          <w:lang w:val="en-US" w:eastAsia="zh-CN"/>
        </w:rPr>
        <w:t>蛙、滇蛙等；爬行类常见有蓝尾石龙子、乌梢蛇、黑眉锦蛇、虎斑颈槽蛇等，多在田埂和灌渠附近活动。总体而言，农田生态系统动物种类较少、数量波动大，与农事活动节律密切相关。</w:t>
      </w:r>
    </w:p>
    <w:p w14:paraId="0D76C6C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③生态功能</w:t>
      </w:r>
    </w:p>
    <w:p w14:paraId="71E41DD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农田生态系统的核心功能是提供农产品，包括粮食、经济作物、蔬菜和水果等，是区域粮食安全和经济发展的基础。同时，水田具有一定的涵养水源、调节局地小气候和净化面源污染的功能，农田林网和田间植被可在一定程度上维持景观连通性，为部分广布动物提供觅食和临时栖息场所。但由于耕作方式、化肥农药使用和生境单一化等因素，农田生态系统的生物多样性维持能力较低，生态系统稳定性较差，易受病虫害和极端气候影响。</w:t>
      </w:r>
    </w:p>
    <w:p w14:paraId="13444CA5">
      <w:pPr>
        <w:pStyle w:val="4"/>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（5）湿地生态系统</w:t>
      </w:r>
    </w:p>
    <w:p w14:paraId="360A2608">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①植被现状</w:t>
      </w:r>
    </w:p>
    <w:p w14:paraId="5B974D5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湿地生态系统是水鸟和水生生物的重要栖息地，生物多样性较高。鸟类方面，越冬水鸟种类和数量丰富，常见有白骨顶、赤颈鸭、小䴙䴘、灰雁、鸬鹚、红头潜鸭、赤麻鸭、斑嘴鸭、绿翅鸭等，兽类有</w:t>
      </w:r>
      <w:r>
        <w:rPr>
          <w:rFonts w:hint="eastAsia" w:cs="Times New Roman"/>
          <w:color w:val="auto"/>
          <w:highlight w:val="none"/>
          <w:lang w:val="en-US" w:eastAsia="zh-CN"/>
        </w:rPr>
        <w:t>小爪</w:t>
      </w:r>
      <w:r>
        <w:rPr>
          <w:rFonts w:hint="default" w:ascii="Times New Roman" w:hAnsi="Times New Roman" w:cs="Times New Roman"/>
          <w:color w:val="auto"/>
          <w:highlight w:val="none"/>
          <w:lang w:val="en-US" w:eastAsia="zh-CN"/>
        </w:rPr>
        <w:t>水獭、啮齿类等；两栖类常见华西蟾蜍、滇蛙、昭觉林蛙、棘腹蛙等；爬行类有虎斑颈槽蛇；鱼类和水生无脊椎动物种类也较为丰富，为水鸟提供了充足的食物来源。</w:t>
      </w:r>
    </w:p>
    <w:p w14:paraId="2F3222BD">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②动物现状</w:t>
      </w:r>
    </w:p>
    <w:p w14:paraId="220D0351">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湿地生态系统是水鸟和水生生物的重要栖息地，生物多样性较高。鸟类方面，越冬水鸟种类和数量丰富，常见有白骨顶、赤颈鸭、小䴙䴘、灰雁、鸬鹚、红头潜鸭、赤麻鸭、斑嘴鸭、绿翅鸭等，兽类有水獭、啮齿类等；两栖类常见华西蟾蜍、滇蛙、昭觉林蛙、棘腹蛙等；爬行类有水蛇、虎斑颈槽蛇等；鱼类和水生无脊椎动物种类也较为丰富，为水鸟提供了充足的食物来源。</w:t>
      </w:r>
    </w:p>
    <w:p w14:paraId="632F395A">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③生态功能</w:t>
      </w:r>
    </w:p>
    <w:p w14:paraId="10AECCCF">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湿地生态系统具有涵养水源、调蓄洪水、净化水质、维持生物多样性和调节气候等多种重要生态功能。湿地可储存大量水分，调节区域径流，削减洪峰、补充枯水期流量；湿地植物和微生物可过滤、吸附和降解水体中的污染物，起到净化水质的作用；湿地是水鸟迁徙、越冬和繁殖的关键栖息地，也是众多水生生物的生存场所，在区域生物多样性维持中具有不可替代的价值；此外，湿地蒸发和蒸腾可增加空气湿度、调节局地小气候，湿地土壤也是重要的碳库。</w:t>
      </w:r>
    </w:p>
    <w:p w14:paraId="71A80892">
      <w:pPr>
        <w:pStyle w:val="4"/>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（6）城镇生态系统</w:t>
      </w:r>
    </w:p>
    <w:p w14:paraId="0C4237EF">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①植被现状</w:t>
      </w:r>
    </w:p>
    <w:p w14:paraId="72558BA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城镇生态系统以人工植被为主，包括城镇公园绿地、道路绿化、居住区绿地、单位附属绿地及防护绿地等。乔木层常见有云南松、华山松、悬铃木、香樟、银杏、蓝花楹、栾树、女贞、红叶石楠、桂花等，行道树多采用单一树种成行种植；灌木层常见有小叶女贞、红花檵木、金叶女贞、杜鹃、火棘等；草坪以狗牙根、结缕草、早熟禾等为主。城镇植被呈斑块状分布，破碎化程度高，群落结构简单、人为干扰强烈，部分山体公园和防护林保留有近自然植被。</w:t>
      </w:r>
    </w:p>
    <w:p w14:paraId="5BE3E99F">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②动物现状</w:t>
      </w:r>
    </w:p>
    <w:p w14:paraId="6C1B43E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城镇生态系统中的动物以伴人物种和广布种为主，种类较少但部分物种种群数量较高。鸟类常见有麻雀、白头鹎、珠颈斑鸠、家燕、金腰燕、大嘴乌鸦、喜鹊、八哥、白鹡鸰等，公园绿地中可见大山雀、红头长尾山雀、暗绿绣眼鸟、红耳鹎等，夜间有普通夜鹰、鸮类等；兽类以褐家鼠、黄胸鼠、小家鼠等啮齿类和蝙蝠为主，少量区域可见黄鼬、果子狸等；两栖爬行类极少，仅在公园水体和绿地中有少量蟾蜍、泽</w:t>
      </w:r>
      <w:r>
        <w:rPr>
          <w:rFonts w:hint="eastAsia" w:cs="Times New Roman"/>
          <w:color w:val="auto"/>
          <w:highlight w:val="none"/>
          <w:lang w:val="en-US" w:eastAsia="zh-CN"/>
        </w:rPr>
        <w:t>陆</w:t>
      </w:r>
      <w:r>
        <w:rPr>
          <w:rFonts w:hint="default" w:ascii="Times New Roman" w:hAnsi="Times New Roman" w:cs="Times New Roman"/>
          <w:color w:val="auto"/>
          <w:highlight w:val="none"/>
          <w:lang w:val="en-US" w:eastAsia="zh-CN"/>
        </w:rPr>
        <w:t>蛙和蜥蜴分布。城镇动物群落受人为活动影响显著，物种多样性和自然度较低。</w:t>
      </w:r>
    </w:p>
    <w:p w14:paraId="037D3A1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③生态功能</w:t>
      </w:r>
    </w:p>
    <w:p w14:paraId="6E8DF21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城镇生态系统的核心功能是为人类提供居住、工作、交通和休闲等空间，同时城镇绿地在调节小气候、净化空气、降噪滞尘、美化环境和提供休闲文化服务方面发挥重要作用。城镇植被可通过蒸腾作用降低周边气温、增加空气湿度，缓解城市热岛效应；植物叶片可吸附粉尘、吸收部分有害气体，改善空气质量；绿地和水体还可为部分城市伴生动物提供栖息地，在一定程度上维持城镇生物多样性。但城镇生态系统高度依赖外部资源输入，自我维持能力弱，生态系统服务功能与绿地面积、质量和连通性密切相关。</w:t>
      </w:r>
    </w:p>
    <w:p w14:paraId="62EB1D40">
      <w:pPr>
        <w:pStyle w:val="4"/>
        <w:bidi w:val="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（7）其他生态系统</w:t>
      </w:r>
    </w:p>
    <w:p w14:paraId="3830BF4F">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①植被现状</w:t>
      </w:r>
    </w:p>
    <w:p w14:paraId="3C91BA0E">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其他生态系统主要包括裸岩石砾地、石漠化土地等植被稀疏或无植被覆盖的区域。石漠化地区基岩裸露，仅在岩缝和土壤堆积处生长有少量耐旱灌草，如车桑子、余甘子、火棘、小果蔷薇、白茅、旱茅等，植被盖度极低；采矿迹地和建筑工地地表扰动强烈，原生植被完全破坏，仅有少量先锋草本植物（如马桑、白茅、鬼针草等）在边缘和稳定区域定居；此类生态系统植被覆盖度低、群落结构简单、生态系统脆弱。</w:t>
      </w:r>
    </w:p>
    <w:p w14:paraId="075C632B">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②动物现状</w:t>
      </w:r>
    </w:p>
    <w:p w14:paraId="7D8DDA1C">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其他生态系统中动物种类和数量均极少，仅在有少量植被覆盖的区域可见广布性物种。如蜥蜴和蛇类，鸟类多为在空中活动的种类（如红隼、</w:t>
      </w:r>
      <w:r>
        <w:rPr>
          <w:rFonts w:hint="eastAsia" w:cs="Times New Roman"/>
          <w:color w:val="auto"/>
          <w:highlight w:val="none"/>
          <w:lang w:val="en-US" w:eastAsia="zh-CN"/>
        </w:rPr>
        <w:t>黑翅鸢、普通鵟等</w:t>
      </w:r>
      <w:r>
        <w:rPr>
          <w:rFonts w:hint="default" w:ascii="Times New Roman" w:hAnsi="Times New Roman" w:cs="Times New Roman"/>
          <w:color w:val="auto"/>
          <w:highlight w:val="none"/>
          <w:lang w:val="en-US" w:eastAsia="zh-CN"/>
        </w:rPr>
        <w:t>），极少有栖息和繁殖的种类；总体而言，此类生态系统的动物栖息功能极低。</w:t>
      </w:r>
    </w:p>
    <w:p w14:paraId="54B4E54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 xml:space="preserve"> ③生态功能</w:t>
      </w:r>
    </w:p>
    <w:p w14:paraId="2ED454B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其他生态系统的生态功能极为有限，裸岩石砾地水土保持能力差，易发生水土流失和地质灾害，是区域生态修复的重点区域；此类生态系统是生态恢复和治理的优先对象，通过植被恢复和生态修复可逐步提升其水土保持和生物多样性维持功能。</w:t>
      </w:r>
    </w:p>
    <w:p w14:paraId="1BAFCB33">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总体而言，评价区总面积 14225.00 km²，分类划分为阔叶林、针叶林、阔叶灌丛、稀疏灌丛、草丛、耕地、园地、河流、湖泊、居住地及工矿交通、裸地共 11 个生态系统类型。区域生态系统以森林和农田为绝对主体，合计占比达 78.78%。其中森林生态系统面积 5981.21 km²，占 42.05%；农田生态系统 5225.15 km²，占 36.73%；灌丛生态系统 1383.80 km²，占 9.73%；城镇生态系统（居住地及工矿交通）1024.43 km²，占 7.20%；草地生态系统 388.04 km²，占 2.73%；湿地生态系统 198.95 km²，占 1.40%；裸地 23.42 km²，仅占 0.16%。总体来看，评价区呈现 "林农主导、镶嵌分布</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 xml:space="preserve"> 的格局，森林为生态功能核心，农田为主要人工景观，湿地稀缺而保护价值突出，整体生态本底较好，但原生阔叶林破碎化、人为干扰广泛。</w:t>
      </w:r>
    </w:p>
    <w:p w14:paraId="350A3093">
      <w:pPr>
        <w:pStyle w:val="7"/>
        <w:numPr>
          <w:ilvl w:val="4"/>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生态系统</w:t>
      </w:r>
      <w:r>
        <w:rPr>
          <w:rFonts w:hint="default" w:ascii="Times New Roman" w:hAnsi="Times New Roman" w:cs="Times New Roman"/>
          <w:color w:val="auto"/>
          <w:highlight w:val="none"/>
          <w:lang w:val="en-US" w:eastAsia="zh-CN"/>
        </w:rPr>
        <w:t>生产力现状</w:t>
      </w:r>
    </w:p>
    <w:p w14:paraId="41651967">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根据流域内各种生态系统（植被类型）的面积，以及各植被类型的净生产力</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g/m²·a</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，计算得到流域生态系统的年生产力及其总和详见下表。</w:t>
      </w:r>
    </w:p>
    <w:p w14:paraId="18366229">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 3.4.1</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7  评价区生态系统生物生产力</w:t>
      </w:r>
    </w:p>
    <w:tbl>
      <w:tblPr>
        <w:tblStyle w:val="22"/>
        <w:tblW w:w="889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57"/>
        <w:gridCol w:w="2016"/>
        <w:gridCol w:w="1533"/>
        <w:gridCol w:w="1353"/>
        <w:gridCol w:w="1135"/>
        <w:gridCol w:w="1297"/>
      </w:tblGrid>
      <w:tr w14:paraId="702CC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80EA5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Ⅰ级分类</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080A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Ⅱ级分类</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383D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面积（km²）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8D5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kern w:val="0"/>
                <w:sz w:val="21"/>
                <w:szCs w:val="21"/>
                <w:highlight w:val="none"/>
                <w:u w:val="none"/>
                <w:lang w:val="en-US" w:eastAsia="zh-CN" w:bidi="ar"/>
              </w:rPr>
            </w:pPr>
            <w:r>
              <w:rPr>
                <w:rFonts w:hint="default" w:ascii="Times New Roman" w:hAnsi="Times New Roman" w:eastAsia="宋体" w:cs="Times New Roman"/>
                <w:b/>
                <w:i w:val="0"/>
                <w:iCs w:val="0"/>
                <w:color w:val="auto"/>
                <w:kern w:val="0"/>
                <w:sz w:val="21"/>
                <w:szCs w:val="21"/>
                <w:highlight w:val="none"/>
                <w:u w:val="none"/>
                <w:lang w:val="en-US" w:eastAsia="zh-CN" w:bidi="ar"/>
              </w:rPr>
              <w:t>单位生产力</w:t>
            </w:r>
          </w:p>
          <w:p w14:paraId="32CE12C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(g/m²·a)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A2FD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kern w:val="0"/>
                <w:sz w:val="21"/>
                <w:szCs w:val="21"/>
                <w:highlight w:val="none"/>
                <w:u w:val="none"/>
                <w:lang w:val="en-US" w:eastAsia="zh-CN" w:bidi="ar"/>
              </w:rPr>
            </w:pPr>
            <w:r>
              <w:rPr>
                <w:rFonts w:hint="default" w:ascii="Times New Roman" w:hAnsi="Times New Roman" w:eastAsia="宋体" w:cs="Times New Roman"/>
                <w:b/>
                <w:i w:val="0"/>
                <w:iCs w:val="0"/>
                <w:color w:val="auto"/>
                <w:kern w:val="0"/>
                <w:sz w:val="21"/>
                <w:szCs w:val="21"/>
                <w:highlight w:val="none"/>
                <w:u w:val="none"/>
                <w:lang w:val="en-US" w:eastAsia="zh-CN" w:bidi="ar"/>
              </w:rPr>
              <w:t>总生产力</w:t>
            </w:r>
          </w:p>
          <w:p w14:paraId="71A18C9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cs="Times New Roman"/>
                <w:b/>
                <w:i w:val="0"/>
                <w:iCs w:val="0"/>
                <w:color w:val="auto"/>
                <w:kern w:val="0"/>
                <w:sz w:val="21"/>
                <w:szCs w:val="21"/>
                <w:highlight w:val="none"/>
                <w:u w:val="none"/>
                <w:lang w:val="en-US" w:eastAsia="zh-CN" w:bidi="ar"/>
              </w:rPr>
              <w:t>（</w:t>
            </w:r>
            <w:r>
              <w:rPr>
                <w:rFonts w:hint="default" w:ascii="Times New Roman" w:hAnsi="Times New Roman" w:eastAsia="宋体" w:cs="Times New Roman"/>
                <w:b/>
                <w:i w:val="0"/>
                <w:iCs w:val="0"/>
                <w:color w:val="auto"/>
                <w:kern w:val="0"/>
                <w:sz w:val="21"/>
                <w:szCs w:val="21"/>
                <w:highlight w:val="none"/>
                <w:u w:val="none"/>
                <w:lang w:val="en-US" w:eastAsia="zh-CN" w:bidi="ar"/>
              </w:rPr>
              <w:t>万t/a</w:t>
            </w:r>
            <w:r>
              <w:rPr>
                <w:rFonts w:hint="default" w:ascii="Times New Roman" w:hAnsi="Times New Roman" w:cs="Times New Roman"/>
                <w:b/>
                <w:i w:val="0"/>
                <w:iCs w:val="0"/>
                <w:color w:val="auto"/>
                <w:kern w:val="0"/>
                <w:sz w:val="21"/>
                <w:szCs w:val="21"/>
                <w:highlight w:val="none"/>
                <w:u w:val="none"/>
                <w:lang w:val="en-US" w:eastAsia="zh-CN" w:bidi="ar"/>
              </w:rPr>
              <w:t>）</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D268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kern w:val="0"/>
                <w:sz w:val="21"/>
                <w:szCs w:val="21"/>
                <w:highlight w:val="none"/>
                <w:u w:val="none"/>
                <w:lang w:val="en-US" w:eastAsia="zh-CN" w:bidi="ar"/>
              </w:rPr>
            </w:pPr>
            <w:r>
              <w:rPr>
                <w:rFonts w:hint="default" w:ascii="Times New Roman" w:hAnsi="Times New Roman" w:eastAsia="宋体" w:cs="Times New Roman"/>
                <w:b/>
                <w:i w:val="0"/>
                <w:iCs w:val="0"/>
                <w:color w:val="auto"/>
                <w:kern w:val="0"/>
                <w:sz w:val="21"/>
                <w:szCs w:val="21"/>
                <w:highlight w:val="none"/>
                <w:u w:val="none"/>
                <w:lang w:val="en-US" w:eastAsia="zh-CN" w:bidi="ar"/>
              </w:rPr>
              <w:t>生产力占比</w:t>
            </w:r>
          </w:p>
          <w:p w14:paraId="75BCFC7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w:t>
            </w:r>
          </w:p>
        </w:tc>
      </w:tr>
      <w:tr w14:paraId="18637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4EDE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森林生态系统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D969E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阔叶林</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58DC4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2428.91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0D8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1454.0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0C17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353.16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5108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31.76 </w:t>
            </w:r>
          </w:p>
        </w:tc>
      </w:tr>
      <w:tr w14:paraId="16027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A0CAB">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817B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针叶林</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6EE8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3552.3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D05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973.5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E296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345.82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1C41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31.10 </w:t>
            </w:r>
          </w:p>
        </w:tc>
      </w:tr>
      <w:tr w14:paraId="2BAD5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A02B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灌丛生态系统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72EA5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阔叶灌丛</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A33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816.24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DF1A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41F6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57.14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0C2F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5.14 </w:t>
            </w:r>
          </w:p>
        </w:tc>
      </w:tr>
      <w:tr w14:paraId="4D994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F0883">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AA1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稀疏灌丛</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BE96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567.56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B535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8634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17.03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E889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1.53 </w:t>
            </w:r>
          </w:p>
        </w:tc>
      </w:tr>
      <w:tr w14:paraId="42853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CEEB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草地生态系统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E0A5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草丛</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1202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388.04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777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4B34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23.28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4E8E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2.09 </w:t>
            </w:r>
          </w:p>
        </w:tc>
      </w:tr>
      <w:tr w14:paraId="11D68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07AD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农田生态系统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A983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耕地</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314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4889.24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E9DA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519.23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7687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253.86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AB3E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22.83 </w:t>
            </w:r>
          </w:p>
        </w:tc>
      </w:tr>
      <w:tr w14:paraId="0F26E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494F8">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B477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园地</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76EA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335.91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ACC9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965A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28.22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DDBB8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2.54 </w:t>
            </w:r>
          </w:p>
        </w:tc>
      </w:tr>
      <w:tr w14:paraId="0CD06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C521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湿地生态系统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ED2E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河流</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F0E5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61.27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F4BE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6D98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2.45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46A7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0.22 </w:t>
            </w:r>
          </w:p>
        </w:tc>
      </w:tr>
      <w:tr w14:paraId="5157C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13982">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7F27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湖泊</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70B6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137.68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9B17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6437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5.51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7A73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0.50 </w:t>
            </w:r>
          </w:p>
        </w:tc>
      </w:tr>
      <w:tr w14:paraId="03096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7FA9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城镇生态系统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DC69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居住地及工矿交通</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3CB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1024.43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D4B6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72CE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25.61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D432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2.30 </w:t>
            </w:r>
          </w:p>
        </w:tc>
      </w:tr>
      <w:tr w14:paraId="1EC7A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3EE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其他</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FC3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裸地</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D7DE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23.42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E49F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910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0.01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A82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 </w:t>
            </w:r>
          </w:p>
        </w:tc>
      </w:tr>
      <w:tr w14:paraId="51C23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541C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合计</w:t>
            </w:r>
          </w:p>
        </w:tc>
        <w:tc>
          <w:tcPr>
            <w:tcW w:w="15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12AB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14225</w:t>
            </w:r>
          </w:p>
        </w:tc>
        <w:tc>
          <w:tcPr>
            <w:tcW w:w="13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A134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w:t>
            </w:r>
          </w:p>
        </w:tc>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6BCE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 xml:space="preserve">1112.08 </w:t>
            </w:r>
          </w:p>
        </w:tc>
        <w:tc>
          <w:tcPr>
            <w:tcW w:w="12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810E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 xml:space="preserve">100.00 </w:t>
            </w:r>
          </w:p>
        </w:tc>
      </w:tr>
    </w:tbl>
    <w:p w14:paraId="0CA3216A">
      <w:pPr>
        <w:keepNext w:val="0"/>
        <w:keepLines w:val="0"/>
        <w:widowControl/>
        <w:suppressLineNumbers w:val="0"/>
        <w:jc w:val="left"/>
        <w:rPr>
          <w:rFonts w:hint="default" w:ascii="Times New Roman" w:hAnsi="Times New Roman" w:eastAsia="宋体" w:cs="Times New Roman"/>
          <w:color w:val="auto"/>
          <w:sz w:val="18"/>
          <w:szCs w:val="18"/>
          <w:highlight w:val="none"/>
          <w:lang w:bidi="ar"/>
        </w:rPr>
      </w:pPr>
      <w:r>
        <w:rPr>
          <w:rFonts w:hint="default" w:ascii="Times New Roman" w:hAnsi="Times New Roman" w:eastAsia="宋体" w:cs="Times New Roman"/>
          <w:color w:val="auto"/>
          <w:sz w:val="18"/>
          <w:szCs w:val="18"/>
          <w:highlight w:val="none"/>
          <w:lang w:val="en-US" w:eastAsia="zh-CN" w:bidi="ar"/>
        </w:rPr>
        <w:t>生产力</w:t>
      </w:r>
      <w:r>
        <w:rPr>
          <w:rFonts w:hint="default" w:ascii="Times New Roman" w:hAnsi="Times New Roman" w:eastAsia="宋体" w:cs="Times New Roman"/>
          <w:color w:val="auto"/>
          <w:sz w:val="18"/>
          <w:szCs w:val="18"/>
          <w:highlight w:val="none"/>
          <w:lang w:bidi="ar"/>
        </w:rPr>
        <w:t>主要参考资料为①方精云等，我国森林植被的生物量和净生产量，生态学报，1996年5期；②朴世龙等，1982—1999年我国植被净第一性生产力及其时空变化，北京大学学报（自然科学版），2001年4期；③</w:t>
      </w:r>
      <w:r>
        <w:rPr>
          <w:rFonts w:hint="default" w:ascii="Times New Roman" w:hAnsi="Times New Roman" w:eastAsia="宋体" w:cs="Times New Roman"/>
          <w:color w:val="auto"/>
          <w:sz w:val="18"/>
          <w:szCs w:val="18"/>
          <w:highlight w:val="none"/>
          <w:lang w:val="en-US" w:eastAsia="zh-CN" w:bidi="ar"/>
        </w:rPr>
        <w:t>里思《生物圈的第一性生产力》</w:t>
      </w:r>
      <w:r>
        <w:rPr>
          <w:rFonts w:hint="default" w:ascii="Times New Roman" w:hAnsi="Times New Roman" w:eastAsia="宋体" w:cs="Times New Roman"/>
          <w:color w:val="auto"/>
          <w:sz w:val="18"/>
          <w:szCs w:val="18"/>
          <w:highlight w:val="none"/>
          <w:lang w:bidi="ar"/>
        </w:rPr>
        <w:t>。</w:t>
      </w:r>
    </w:p>
    <w:p w14:paraId="13CB7451">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评价区生态系统总净初级生产力约1112.08万t/a，平均单位面积生产力约781.78 g/m²·a。从构成看，森林生态系统是生产力的绝对主体，阔叶林和针叶林分别贡献353.16万t/a（占31.8%）和345.82万t/a（占31.1%），合计占评价区总生产力的62.9%，而其面积占比仅为 42.05%，说明森林以不足一半的面积承载了近三分之二的生产力产出，是区域初级生产力最集中的载体。农田生态系统次之，耕地与园地合计贡献 282.08万t/a（占25.4%），其中耕地（253.86万t/a，22.8%）因面积最大（34.37%）而居各类型之首，但单位生产力水平相对较低。</w:t>
      </w:r>
    </w:p>
    <w:p w14:paraId="431E457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各类型单位面积生产力呈明显梯度：阔叶林层次结构完整、光能利用率高，单位生产力最高；针叶林受林分结构和立地水分制约次之；灌丛、草地为次生演替阶段植被，生产力中等；农田一年生作物生长周期短、受耕作管理影响，单位生产力有限；城镇和裸地植被稀疏，生产力极低。</w:t>
      </w:r>
    </w:p>
    <w:p w14:paraId="55A12427">
      <w:pPr>
        <w:pStyle w:val="7"/>
        <w:numPr>
          <w:ilvl w:val="4"/>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生态系统</w:t>
      </w:r>
      <w:r>
        <w:rPr>
          <w:rFonts w:hint="default" w:ascii="Times New Roman" w:hAnsi="Times New Roman" w:cs="Times New Roman"/>
          <w:color w:val="auto"/>
          <w:highlight w:val="none"/>
          <w:lang w:val="en-US" w:eastAsia="zh-CN"/>
        </w:rPr>
        <w:t>生物量</w:t>
      </w:r>
    </w:p>
    <w:p w14:paraId="4247F84C">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根据流域内各种植被类型（生态系统）的面积，计算得到流域生态系统的生物量及其总和，详见下表。</w:t>
      </w:r>
    </w:p>
    <w:p w14:paraId="367BF9F2">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 3.4.1</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8  评价区生态系统生物量</w:t>
      </w:r>
    </w:p>
    <w:tbl>
      <w:tblPr>
        <w:tblStyle w:val="22"/>
        <w:tblW w:w="887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81"/>
        <w:gridCol w:w="2016"/>
        <w:gridCol w:w="1453"/>
        <w:gridCol w:w="1390"/>
        <w:gridCol w:w="1135"/>
        <w:gridCol w:w="1301"/>
      </w:tblGrid>
      <w:tr w14:paraId="21D9A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73080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Ⅰ级分类</w:t>
            </w:r>
          </w:p>
        </w:tc>
        <w:tc>
          <w:tcPr>
            <w:tcW w:w="20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7CE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Ⅱ级分类</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7FB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面积（km²）</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66B3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单位生物量</w:t>
            </w:r>
          </w:p>
          <w:p w14:paraId="5C02041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(t/hm²)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4A26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总生物量</w:t>
            </w:r>
          </w:p>
          <w:p w14:paraId="7A0B839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cs="Times New Roman"/>
                <w:b/>
                <w:bCs/>
                <w:i w:val="0"/>
                <w:iCs w:val="0"/>
                <w:color w:val="auto"/>
                <w:kern w:val="0"/>
                <w:sz w:val="21"/>
                <w:szCs w:val="21"/>
                <w:highlight w:val="none"/>
                <w:u w:val="none"/>
                <w:lang w:val="en-US" w:eastAsia="zh-CN" w:bidi="ar"/>
              </w:rPr>
              <w:t>（</w:t>
            </w:r>
            <w:r>
              <w:rPr>
                <w:rFonts w:hint="default" w:ascii="Times New Roman" w:hAnsi="Times New Roman" w:eastAsia="宋体" w:cs="Times New Roman"/>
                <w:b/>
                <w:bCs/>
                <w:i w:val="0"/>
                <w:iCs w:val="0"/>
                <w:color w:val="auto"/>
                <w:kern w:val="0"/>
                <w:sz w:val="21"/>
                <w:szCs w:val="21"/>
                <w:highlight w:val="none"/>
                <w:u w:val="none"/>
                <w:lang w:val="en-US" w:eastAsia="zh-CN" w:bidi="ar"/>
              </w:rPr>
              <w:t>万t</w:t>
            </w:r>
            <w:r>
              <w:rPr>
                <w:rFonts w:hint="default" w:ascii="Times New Roman" w:hAnsi="Times New Roman" w:cs="Times New Roman"/>
                <w:b/>
                <w:bCs/>
                <w:i w:val="0"/>
                <w:iCs w:val="0"/>
                <w:color w:val="auto"/>
                <w:kern w:val="0"/>
                <w:sz w:val="21"/>
                <w:szCs w:val="21"/>
                <w:highlight w:val="none"/>
                <w:u w:val="none"/>
                <w:lang w:val="en-US" w:eastAsia="zh-CN" w:bidi="ar"/>
              </w:rPr>
              <w:t>）</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3815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kern w:val="0"/>
                <w:sz w:val="21"/>
                <w:szCs w:val="21"/>
                <w:highlight w:val="none"/>
                <w:u w:val="none"/>
                <w:lang w:val="en-US" w:eastAsia="zh-CN" w:bidi="ar"/>
              </w:rPr>
            </w:pPr>
            <w:r>
              <w:rPr>
                <w:rFonts w:hint="default" w:ascii="Times New Roman" w:hAnsi="Times New Roman" w:eastAsia="宋体" w:cs="Times New Roman"/>
                <w:b/>
                <w:i w:val="0"/>
                <w:iCs w:val="0"/>
                <w:color w:val="auto"/>
                <w:kern w:val="0"/>
                <w:sz w:val="21"/>
                <w:szCs w:val="21"/>
                <w:highlight w:val="none"/>
                <w:u w:val="none"/>
                <w:lang w:val="en-US" w:eastAsia="zh-CN" w:bidi="ar"/>
              </w:rPr>
              <w:t>生物量占比</w:t>
            </w:r>
          </w:p>
          <w:p w14:paraId="3A155D7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w:t>
            </w:r>
          </w:p>
        </w:tc>
      </w:tr>
      <w:tr w14:paraId="58F8B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A58B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森林生态系统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E4F7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阔叶林</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53D1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2428.91</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2DE4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1DD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2186.02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3149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49.82 </w:t>
            </w:r>
          </w:p>
        </w:tc>
      </w:tr>
      <w:tr w14:paraId="4067F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8DD77">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2E89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针叶林</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B50E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3552.3</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D69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40.72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954A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1446.50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005C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32.96 </w:t>
            </w:r>
          </w:p>
        </w:tc>
      </w:tr>
      <w:tr w14:paraId="12668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A8A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灌丛生态系统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82FA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阔叶灌丛</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CF5B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816.24</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15FF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19.76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A2FF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161.29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C71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3.68 </w:t>
            </w:r>
          </w:p>
        </w:tc>
      </w:tr>
      <w:tr w14:paraId="59799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CE111">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CB8D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稀疏灌丛</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3239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567.56</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A8B8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C324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73.78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D6B0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1.68 </w:t>
            </w:r>
          </w:p>
        </w:tc>
      </w:tr>
      <w:tr w14:paraId="41594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08B6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草地生态系统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A3F7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草丛</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D39A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388.04</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74AE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450D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19.40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DFF3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0.44 </w:t>
            </w:r>
          </w:p>
        </w:tc>
      </w:tr>
      <w:tr w14:paraId="06D7D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10CF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农田生态系统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C67D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耕地</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3C2B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4889.24</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AA7D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C45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391.14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EEAE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8.91 </w:t>
            </w:r>
          </w:p>
        </w:tc>
      </w:tr>
      <w:tr w14:paraId="54A76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9B4F46">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562B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园地</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2AD8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335.91</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5F69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C04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79.61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F608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1.81 </w:t>
            </w:r>
          </w:p>
        </w:tc>
      </w:tr>
      <w:tr w14:paraId="40230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1325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湿地生态系统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57B6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河流</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639A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61.27</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4555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55A7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3.06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303C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0.07 </w:t>
            </w:r>
          </w:p>
        </w:tc>
      </w:tr>
      <w:tr w14:paraId="08861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C2375">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A22A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湖泊</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7F6E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137.68</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C1C7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0CA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6.88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27FA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0.16 </w:t>
            </w:r>
          </w:p>
        </w:tc>
      </w:tr>
      <w:tr w14:paraId="2561C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90C72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城镇生态系统</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911F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居住地及工矿交通</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497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1024.43</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111B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E290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20.49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5111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0.47 </w:t>
            </w:r>
          </w:p>
        </w:tc>
      </w:tr>
      <w:tr w14:paraId="1EE0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B3A9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其他</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83F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裸地</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2D0F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23.42</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101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520E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 </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685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 </w:t>
            </w:r>
          </w:p>
        </w:tc>
      </w:tr>
      <w:tr w14:paraId="61BFB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01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C265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合计</w:t>
            </w:r>
          </w:p>
        </w:tc>
        <w:tc>
          <w:tcPr>
            <w:tcW w:w="14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0BE7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14225</w:t>
            </w:r>
          </w:p>
        </w:tc>
        <w:tc>
          <w:tcPr>
            <w:tcW w:w="1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2E10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w:t>
            </w:r>
          </w:p>
        </w:tc>
        <w:tc>
          <w:tcPr>
            <w:tcW w:w="11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599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4388.18</w:t>
            </w:r>
          </w:p>
        </w:tc>
        <w:tc>
          <w:tcPr>
            <w:tcW w:w="13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0D6B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100.00</w:t>
            </w:r>
          </w:p>
        </w:tc>
      </w:tr>
    </w:tbl>
    <w:p w14:paraId="37B69AB2">
      <w:pPr>
        <w:rPr>
          <w:rFonts w:hint="default" w:ascii="Times New Roman" w:hAnsi="Times New Roman" w:cs="Times New Roman"/>
          <w:color w:val="auto"/>
          <w:sz w:val="18"/>
          <w:szCs w:val="18"/>
          <w:highlight w:val="none"/>
          <w:lang w:val="en-US" w:eastAsia="zh-CN" w:bidi="ar"/>
        </w:rPr>
      </w:pPr>
      <w:r>
        <w:rPr>
          <w:rFonts w:hint="default" w:ascii="Times New Roman" w:hAnsi="Times New Roman" w:eastAsia="宋体" w:cs="Times New Roman"/>
          <w:color w:val="auto"/>
          <w:sz w:val="18"/>
          <w:szCs w:val="18"/>
          <w:highlight w:val="none"/>
          <w:lang w:bidi="ar"/>
        </w:rPr>
        <w:t>生物量主要参考资料为①方精云等，我国森林植被的生物量和净生产量，生态学报，1996年5期；②朴世龙等，1982—1999年我国植被净第一性生产力及其时空变化，北京大学学报（自然科学版），2001年4期；③</w:t>
      </w:r>
      <w:r>
        <w:rPr>
          <w:rFonts w:hint="default" w:ascii="Times New Roman" w:hAnsi="Times New Roman" w:eastAsia="宋体" w:cs="Times New Roman"/>
          <w:color w:val="auto"/>
          <w:sz w:val="18"/>
          <w:szCs w:val="18"/>
          <w:highlight w:val="none"/>
          <w:lang w:val="en-US" w:eastAsia="zh-CN" w:bidi="ar"/>
        </w:rPr>
        <w:t>里思《生物圈的第一性生产力》</w:t>
      </w:r>
      <w:r>
        <w:rPr>
          <w:rFonts w:hint="default" w:ascii="Times New Roman" w:hAnsi="Times New Roman" w:cs="Times New Roman"/>
          <w:color w:val="auto"/>
          <w:sz w:val="18"/>
          <w:szCs w:val="18"/>
          <w:highlight w:val="none"/>
          <w:lang w:val="en-US" w:eastAsia="zh-CN" w:bidi="ar"/>
        </w:rPr>
        <w:t>。</w:t>
      </w:r>
    </w:p>
    <w:p w14:paraId="7AF53B7F">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评价区生态系统植被总生物量约4388.18万t，平均单位面积生物量约 30.85 t/hm²。生物量分布较生产力更为集中，森林生态系统占据绝对主导：阔叶林 2186.02万 t（占49.8%）、针叶林1446.50万t（占33.0%），合计3632.52万t，占评价区总生物量的 82.78%。这与森林以多年生木本植物为主、生物量逐年累积的生态学特征相符。其余类型生物量有限，耕地 391.14万t（8.91%）、灌丛合计235.07万t（5.36%）、园地79.61万t（1.81%）、城镇20.49万 t、草丛19.40 万 t，湿地（河流+湖泊）仅9.94万t，裸地趋近于零。</w:t>
      </w:r>
    </w:p>
    <w:p w14:paraId="44D3E816">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阔叶林因保存有较多原生常绿阔叶林斑块，群落郁闭度高、蓄积量大，单位生物量最高；针叶林以中幼龄云南松次生林为主，生物量积累水平中等；耕地、草地为一年生或低矮植被，现存量低且随农事季节剧烈波动。单位生物量沿森林→灌丛→农田→城镇→裸地递减，与植被生活型和成熟度一致。森林作为区域主要碳汇载体，其保护和恢复对增强区域碳汇功能、维持生态系统稳定性具有决定性意义。</w:t>
      </w:r>
    </w:p>
    <w:p w14:paraId="7399285F">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土地利用现状</w:t>
      </w:r>
    </w:p>
    <w:p w14:paraId="3BF709A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区土地总面积14225.00km²，其中乔木林地面积占绝对优势，面积5981.21km²，占评价区总面积的42.05%；其次为耕地，面积4889.24km²，占评价区总面积的34.37%；然后依次为灌木林地（面积1397.33km²，占比9.82%）、建筑及交通运输用地（面积1024.43km²，占比7.20%）、其他草地（面积374.51km²，占比2.63%）、园地（面积335.91km²，占比2.36%）、水域及水利设施用地（面积198.95km²，占比42.05%）、裸地（面积23.42km²，占比0.16%）。</w:t>
      </w:r>
    </w:p>
    <w:p w14:paraId="4116EC88">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 3.4.1</w:t>
      </w:r>
      <w:r>
        <w:rPr>
          <w:rFonts w:hint="default" w:ascii="Times New Roman" w:hAnsi="Times New Roman" w:cs="Times New Roman"/>
          <w:color w:val="auto"/>
          <w:highlight w:val="none"/>
          <w:lang w:val="en-US" w:eastAsia="zh-CN"/>
        </w:rPr>
        <w:noBreakHyphen/>
      </w:r>
      <w:r>
        <w:rPr>
          <w:rFonts w:hint="default" w:ascii="Times New Roman" w:hAnsi="Times New Roman" w:cs="Times New Roman"/>
          <w:color w:val="auto"/>
          <w:highlight w:val="none"/>
          <w:lang w:val="en-US" w:eastAsia="zh-CN"/>
        </w:rPr>
        <w:t>9  评价区土地利用现状表</w:t>
      </w:r>
    </w:p>
    <w:tbl>
      <w:tblPr>
        <w:tblStyle w:val="22"/>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95"/>
        <w:gridCol w:w="1909"/>
        <w:gridCol w:w="3715"/>
      </w:tblGrid>
      <w:tr w14:paraId="4078A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4CF9E968">
            <w:pPr>
              <w:pStyle w:val="30"/>
              <w:bidi w:val="0"/>
              <w:rPr>
                <w:rFonts w:hint="default"/>
                <w:color w:val="auto"/>
                <w:lang w:val="en-US"/>
              </w:rPr>
            </w:pPr>
            <w:r>
              <w:rPr>
                <w:rFonts w:hint="default"/>
                <w:color w:val="auto"/>
                <w:lang w:val="en-US" w:eastAsia="zh-CN"/>
              </w:rPr>
              <w:t>土地利用现状</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14:paraId="3D8F0E59">
            <w:pPr>
              <w:pStyle w:val="30"/>
              <w:bidi w:val="0"/>
              <w:rPr>
                <w:rFonts w:hint="default"/>
                <w:color w:val="auto"/>
              </w:rPr>
            </w:pPr>
            <w:r>
              <w:rPr>
                <w:rFonts w:hint="default"/>
                <w:color w:val="auto"/>
                <w:lang w:val="en-US" w:eastAsia="zh-CN"/>
              </w:rPr>
              <w:t>面积（hm²）</w:t>
            </w:r>
          </w:p>
        </w:tc>
        <w:tc>
          <w:tcPr>
            <w:tcW w:w="3715" w:type="dxa"/>
            <w:tcBorders>
              <w:top w:val="single" w:color="000000" w:sz="8" w:space="0"/>
              <w:left w:val="nil"/>
              <w:bottom w:val="single" w:color="000000" w:sz="8" w:space="0"/>
              <w:right w:val="single" w:color="000000" w:sz="8" w:space="0"/>
            </w:tcBorders>
            <w:shd w:val="clear" w:color="auto" w:fill="auto"/>
            <w:noWrap/>
            <w:vAlign w:val="center"/>
          </w:tcPr>
          <w:p w14:paraId="6D70732F">
            <w:pPr>
              <w:pStyle w:val="30"/>
              <w:bidi w:val="0"/>
              <w:rPr>
                <w:rFonts w:hint="default"/>
                <w:color w:val="auto"/>
              </w:rPr>
            </w:pPr>
            <w:r>
              <w:rPr>
                <w:rFonts w:hint="default"/>
                <w:color w:val="auto"/>
                <w:lang w:val="en-US" w:eastAsia="zh-CN"/>
              </w:rPr>
              <w:t>占评价区面积百分比（%）</w:t>
            </w:r>
          </w:p>
        </w:tc>
      </w:tr>
      <w:tr w14:paraId="793A8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9C08B6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乔木林地</w:t>
            </w:r>
          </w:p>
        </w:tc>
        <w:tc>
          <w:tcPr>
            <w:tcW w:w="0" w:type="auto"/>
            <w:tcBorders>
              <w:top w:val="nil"/>
              <w:left w:val="nil"/>
              <w:bottom w:val="single" w:color="000000" w:sz="8" w:space="0"/>
              <w:right w:val="single" w:color="000000" w:sz="8" w:space="0"/>
            </w:tcBorders>
            <w:shd w:val="clear" w:color="auto" w:fill="auto"/>
            <w:noWrap/>
            <w:vAlign w:val="center"/>
          </w:tcPr>
          <w:p w14:paraId="4EC3326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5981.21 </w:t>
            </w:r>
          </w:p>
        </w:tc>
        <w:tc>
          <w:tcPr>
            <w:tcW w:w="3715" w:type="dxa"/>
            <w:tcBorders>
              <w:top w:val="nil"/>
              <w:left w:val="nil"/>
              <w:bottom w:val="single" w:color="000000" w:sz="8" w:space="0"/>
              <w:right w:val="single" w:color="000000" w:sz="8" w:space="0"/>
            </w:tcBorders>
            <w:shd w:val="clear" w:color="auto" w:fill="auto"/>
            <w:noWrap/>
            <w:vAlign w:val="center"/>
          </w:tcPr>
          <w:p w14:paraId="2E37233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42.05 </w:t>
            </w:r>
          </w:p>
        </w:tc>
      </w:tr>
      <w:tr w14:paraId="2C2CB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B55C89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灌木林地</w:t>
            </w:r>
          </w:p>
        </w:tc>
        <w:tc>
          <w:tcPr>
            <w:tcW w:w="0" w:type="auto"/>
            <w:tcBorders>
              <w:top w:val="nil"/>
              <w:left w:val="nil"/>
              <w:bottom w:val="single" w:color="000000" w:sz="8" w:space="0"/>
              <w:right w:val="single" w:color="000000" w:sz="8" w:space="0"/>
            </w:tcBorders>
            <w:shd w:val="clear" w:color="auto" w:fill="auto"/>
            <w:noWrap/>
            <w:vAlign w:val="center"/>
          </w:tcPr>
          <w:p w14:paraId="717803C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1397.33 </w:t>
            </w:r>
          </w:p>
        </w:tc>
        <w:tc>
          <w:tcPr>
            <w:tcW w:w="3715" w:type="dxa"/>
            <w:tcBorders>
              <w:top w:val="nil"/>
              <w:left w:val="nil"/>
              <w:bottom w:val="single" w:color="000000" w:sz="8" w:space="0"/>
              <w:right w:val="single" w:color="000000" w:sz="8" w:space="0"/>
            </w:tcBorders>
            <w:shd w:val="clear" w:color="auto" w:fill="auto"/>
            <w:noWrap/>
            <w:vAlign w:val="center"/>
          </w:tcPr>
          <w:p w14:paraId="209B8BE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9.82 </w:t>
            </w:r>
          </w:p>
        </w:tc>
      </w:tr>
      <w:tr w14:paraId="7768F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603D1AD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其他草地</w:t>
            </w:r>
          </w:p>
        </w:tc>
        <w:tc>
          <w:tcPr>
            <w:tcW w:w="0" w:type="auto"/>
            <w:tcBorders>
              <w:top w:val="nil"/>
              <w:left w:val="nil"/>
              <w:bottom w:val="single" w:color="000000" w:sz="8" w:space="0"/>
              <w:right w:val="single" w:color="000000" w:sz="8" w:space="0"/>
            </w:tcBorders>
            <w:shd w:val="clear" w:color="auto" w:fill="auto"/>
            <w:noWrap/>
            <w:vAlign w:val="center"/>
          </w:tcPr>
          <w:p w14:paraId="3B13032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374.51 </w:t>
            </w:r>
          </w:p>
        </w:tc>
        <w:tc>
          <w:tcPr>
            <w:tcW w:w="3715" w:type="dxa"/>
            <w:tcBorders>
              <w:top w:val="nil"/>
              <w:left w:val="nil"/>
              <w:bottom w:val="single" w:color="000000" w:sz="8" w:space="0"/>
              <w:right w:val="single" w:color="000000" w:sz="8" w:space="0"/>
            </w:tcBorders>
            <w:shd w:val="clear" w:color="auto" w:fill="auto"/>
            <w:noWrap/>
            <w:vAlign w:val="center"/>
          </w:tcPr>
          <w:p w14:paraId="4AE0949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2.63 </w:t>
            </w:r>
          </w:p>
        </w:tc>
      </w:tr>
      <w:tr w14:paraId="63E91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B76609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园地</w:t>
            </w:r>
          </w:p>
        </w:tc>
        <w:tc>
          <w:tcPr>
            <w:tcW w:w="0" w:type="auto"/>
            <w:tcBorders>
              <w:top w:val="nil"/>
              <w:left w:val="nil"/>
              <w:bottom w:val="single" w:color="000000" w:sz="8" w:space="0"/>
              <w:right w:val="single" w:color="000000" w:sz="8" w:space="0"/>
            </w:tcBorders>
            <w:shd w:val="clear" w:color="auto" w:fill="auto"/>
            <w:noWrap/>
            <w:vAlign w:val="center"/>
          </w:tcPr>
          <w:p w14:paraId="153A5B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335.91 </w:t>
            </w:r>
          </w:p>
        </w:tc>
        <w:tc>
          <w:tcPr>
            <w:tcW w:w="3715" w:type="dxa"/>
            <w:tcBorders>
              <w:top w:val="nil"/>
              <w:left w:val="nil"/>
              <w:bottom w:val="single" w:color="000000" w:sz="8" w:space="0"/>
              <w:right w:val="single" w:color="000000" w:sz="8" w:space="0"/>
            </w:tcBorders>
            <w:shd w:val="clear" w:color="auto" w:fill="auto"/>
            <w:noWrap/>
            <w:vAlign w:val="center"/>
          </w:tcPr>
          <w:p w14:paraId="3E4897B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2.36 </w:t>
            </w:r>
          </w:p>
        </w:tc>
      </w:tr>
      <w:tr w14:paraId="52A1B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2484A5A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耕地</w:t>
            </w:r>
          </w:p>
        </w:tc>
        <w:tc>
          <w:tcPr>
            <w:tcW w:w="0" w:type="auto"/>
            <w:tcBorders>
              <w:top w:val="nil"/>
              <w:left w:val="nil"/>
              <w:bottom w:val="single" w:color="000000" w:sz="8" w:space="0"/>
              <w:right w:val="single" w:color="000000" w:sz="8" w:space="0"/>
            </w:tcBorders>
            <w:shd w:val="clear" w:color="auto" w:fill="auto"/>
            <w:noWrap/>
            <w:vAlign w:val="center"/>
          </w:tcPr>
          <w:p w14:paraId="62B2794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4889.24 </w:t>
            </w:r>
          </w:p>
        </w:tc>
        <w:tc>
          <w:tcPr>
            <w:tcW w:w="3715" w:type="dxa"/>
            <w:tcBorders>
              <w:top w:val="nil"/>
              <w:left w:val="nil"/>
              <w:bottom w:val="single" w:color="000000" w:sz="8" w:space="0"/>
              <w:right w:val="single" w:color="000000" w:sz="8" w:space="0"/>
            </w:tcBorders>
            <w:shd w:val="clear" w:color="auto" w:fill="auto"/>
            <w:noWrap/>
            <w:vAlign w:val="center"/>
          </w:tcPr>
          <w:p w14:paraId="14B2CDE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34.37 </w:t>
            </w:r>
          </w:p>
        </w:tc>
      </w:tr>
      <w:tr w14:paraId="0A5C3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7483AFB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裸地</w:t>
            </w:r>
          </w:p>
        </w:tc>
        <w:tc>
          <w:tcPr>
            <w:tcW w:w="0" w:type="auto"/>
            <w:tcBorders>
              <w:top w:val="nil"/>
              <w:left w:val="nil"/>
              <w:bottom w:val="single" w:color="000000" w:sz="8" w:space="0"/>
              <w:right w:val="single" w:color="000000" w:sz="8" w:space="0"/>
            </w:tcBorders>
            <w:shd w:val="clear" w:color="auto" w:fill="auto"/>
            <w:noWrap/>
            <w:vAlign w:val="center"/>
          </w:tcPr>
          <w:p w14:paraId="5C3749B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23.42 </w:t>
            </w:r>
          </w:p>
        </w:tc>
        <w:tc>
          <w:tcPr>
            <w:tcW w:w="3715" w:type="dxa"/>
            <w:tcBorders>
              <w:top w:val="nil"/>
              <w:left w:val="nil"/>
              <w:bottom w:val="single" w:color="000000" w:sz="8" w:space="0"/>
              <w:right w:val="single" w:color="000000" w:sz="8" w:space="0"/>
            </w:tcBorders>
            <w:shd w:val="clear" w:color="auto" w:fill="auto"/>
            <w:noWrap/>
            <w:vAlign w:val="center"/>
          </w:tcPr>
          <w:p w14:paraId="74E68C5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0.16 </w:t>
            </w:r>
          </w:p>
        </w:tc>
      </w:tr>
      <w:tr w14:paraId="009C2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1E9DDFE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水域及水利设施用地</w:t>
            </w:r>
          </w:p>
        </w:tc>
        <w:tc>
          <w:tcPr>
            <w:tcW w:w="0" w:type="auto"/>
            <w:tcBorders>
              <w:top w:val="nil"/>
              <w:left w:val="nil"/>
              <w:bottom w:val="single" w:color="000000" w:sz="8" w:space="0"/>
              <w:right w:val="single" w:color="000000" w:sz="8" w:space="0"/>
            </w:tcBorders>
            <w:shd w:val="clear" w:color="auto" w:fill="auto"/>
            <w:noWrap/>
            <w:vAlign w:val="center"/>
          </w:tcPr>
          <w:p w14:paraId="447527E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198.95 </w:t>
            </w:r>
          </w:p>
        </w:tc>
        <w:tc>
          <w:tcPr>
            <w:tcW w:w="3715" w:type="dxa"/>
            <w:tcBorders>
              <w:top w:val="nil"/>
              <w:left w:val="nil"/>
              <w:bottom w:val="single" w:color="000000" w:sz="8" w:space="0"/>
              <w:right w:val="single" w:color="000000" w:sz="8" w:space="0"/>
            </w:tcBorders>
            <w:shd w:val="clear" w:color="auto" w:fill="auto"/>
            <w:noWrap/>
            <w:vAlign w:val="center"/>
          </w:tcPr>
          <w:p w14:paraId="341B5CC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1.40 </w:t>
            </w:r>
          </w:p>
        </w:tc>
      </w:tr>
      <w:tr w14:paraId="52A39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nil"/>
              <w:left w:val="single" w:color="000000" w:sz="8" w:space="0"/>
              <w:bottom w:val="single" w:color="000000" w:sz="8" w:space="0"/>
              <w:right w:val="single" w:color="000000" w:sz="8" w:space="0"/>
            </w:tcBorders>
            <w:shd w:val="clear" w:color="auto" w:fill="auto"/>
            <w:noWrap/>
            <w:vAlign w:val="center"/>
          </w:tcPr>
          <w:p w14:paraId="0E91FEC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建筑及交通运输用地</w:t>
            </w:r>
          </w:p>
        </w:tc>
        <w:tc>
          <w:tcPr>
            <w:tcW w:w="0" w:type="auto"/>
            <w:tcBorders>
              <w:top w:val="nil"/>
              <w:left w:val="nil"/>
              <w:bottom w:val="single" w:color="000000" w:sz="8" w:space="0"/>
              <w:right w:val="single" w:color="000000" w:sz="8" w:space="0"/>
            </w:tcBorders>
            <w:shd w:val="clear" w:color="auto" w:fill="auto"/>
            <w:noWrap/>
            <w:vAlign w:val="center"/>
          </w:tcPr>
          <w:p w14:paraId="7704B5D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1024.43 </w:t>
            </w:r>
          </w:p>
        </w:tc>
        <w:tc>
          <w:tcPr>
            <w:tcW w:w="3715" w:type="dxa"/>
            <w:tcBorders>
              <w:top w:val="nil"/>
              <w:left w:val="nil"/>
              <w:bottom w:val="single" w:color="000000" w:sz="8" w:space="0"/>
              <w:right w:val="single" w:color="000000" w:sz="8" w:space="0"/>
            </w:tcBorders>
            <w:shd w:val="clear" w:color="auto" w:fill="auto"/>
            <w:noWrap/>
            <w:vAlign w:val="center"/>
          </w:tcPr>
          <w:p w14:paraId="538DE9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7.20 </w:t>
            </w:r>
          </w:p>
        </w:tc>
      </w:tr>
      <w:tr w14:paraId="39E5B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895" w:type="dxa"/>
            <w:tcBorders>
              <w:top w:val="nil"/>
              <w:left w:val="single" w:color="000000" w:sz="8" w:space="0"/>
              <w:bottom w:val="single" w:color="000000" w:sz="8" w:space="0"/>
              <w:right w:val="single" w:color="000000" w:sz="8" w:space="0"/>
            </w:tcBorders>
            <w:shd w:val="clear" w:color="auto" w:fill="auto"/>
            <w:noWrap/>
            <w:vAlign w:val="center"/>
          </w:tcPr>
          <w:p w14:paraId="5B84EBF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合计</w:t>
            </w:r>
          </w:p>
        </w:tc>
        <w:tc>
          <w:tcPr>
            <w:tcW w:w="1909" w:type="dxa"/>
            <w:tcBorders>
              <w:top w:val="nil"/>
              <w:left w:val="nil"/>
              <w:bottom w:val="single" w:color="000000" w:sz="8" w:space="0"/>
              <w:right w:val="single" w:color="000000" w:sz="8" w:space="0"/>
            </w:tcBorders>
            <w:shd w:val="clear" w:color="auto" w:fill="auto"/>
            <w:noWrap/>
            <w:vAlign w:val="center"/>
          </w:tcPr>
          <w:p w14:paraId="3A9B670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 xml:space="preserve">14225.00 </w:t>
            </w:r>
          </w:p>
        </w:tc>
        <w:tc>
          <w:tcPr>
            <w:tcW w:w="3715" w:type="dxa"/>
            <w:tcBorders>
              <w:top w:val="nil"/>
              <w:left w:val="nil"/>
              <w:bottom w:val="single" w:color="000000" w:sz="8" w:space="0"/>
              <w:right w:val="single" w:color="000000" w:sz="8" w:space="0"/>
            </w:tcBorders>
            <w:shd w:val="clear" w:color="auto" w:fill="auto"/>
            <w:noWrap/>
            <w:vAlign w:val="center"/>
          </w:tcPr>
          <w:p w14:paraId="7E8EEAF0">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100</w:t>
            </w:r>
          </w:p>
        </w:tc>
      </w:tr>
    </w:tbl>
    <w:p w14:paraId="2161B0D2">
      <w:pPr>
        <w:pStyle w:val="4"/>
        <w:bidi w:val="0"/>
        <w:rPr>
          <w:rFonts w:hint="default" w:ascii="Times New Roman" w:hAnsi="Times New Roman" w:eastAsia="宋体" w:cs="Times New Roman"/>
          <w:color w:val="auto"/>
          <w:highlight w:val="none"/>
          <w:lang w:eastAsia="zh-CN"/>
        </w:rPr>
      </w:pPr>
    </w:p>
    <w:p w14:paraId="37BBB149">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水生生态</w:t>
      </w:r>
    </w:p>
    <w:p w14:paraId="60D4063C">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生生态现状调查涵盖鱼类、浮游植物、浮游动物、底栖动物、生境等要素，主要参考区域内已完成的工程环评报告中相关调查成果，并结合文献记录、历史资料以及现场调查等，综合考虑南盘江（曲靖市境内）流域综合规划范围内水生生态现状。参考报告及文献包括《曲靖市珠江水系水生动物保护区（北盘江、五洛河、牛街河、多依河鱼类保护区）总体规划（2019—2028 年）》《曲靖市罗师灌区工程环境影响报告书》、云南境内南盘江水系鱼类种质资源现状及保护对策（王伟营等，2011）、《多依河保护区鱼类资源及调查》（徐丽琼等，2017）、《珠江（云南段）河湖健康评价报告》（2024年）、《黄泥河“一河一策”方案》（2024—2028年）、《云南省曲靖市阿岗水库工程环境影响报告书》（2016年）。</w:t>
      </w:r>
    </w:p>
    <w:p w14:paraId="543B2E68">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调查范围</w:t>
      </w:r>
    </w:p>
    <w:p w14:paraId="52713D42">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根据《规划环境影响评价技术导则 流域综合规划》（HJ 1218—2021）、《环境影响评价技术导则 生态影响》（HJ/T19-2022）中生态环境影响评价范围的确定原则，水生生态环境现状调查范围主要为南盘江（曲靖市境内）流域内工程涉及的河流、水库，主要包含南盘江干流、南盘江一级支流黄泥河、多依河、五洛河，二级支流九龙河等河流，以及阿岗水库、独木水库等已建水库。</w:t>
      </w:r>
    </w:p>
    <w:p w14:paraId="7362EE2D">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3.4.2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 xml:space="preserve">1 </w:t>
      </w:r>
      <w:r>
        <w:rPr>
          <w:rFonts w:hint="default" w:ascii="Times New Roman" w:hAnsi="Times New Roman" w:cs="Times New Roman"/>
          <w:color w:val="auto"/>
          <w:highlight w:val="none"/>
        </w:rPr>
        <w:t>水生生态调查点一览表</w:t>
      </w:r>
    </w:p>
    <w:tbl>
      <w:tblPr>
        <w:tblStyle w:val="22"/>
        <w:tblW w:w="909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4"/>
        <w:gridCol w:w="1725"/>
        <w:gridCol w:w="1086"/>
        <w:gridCol w:w="1891"/>
        <w:gridCol w:w="1536"/>
        <w:gridCol w:w="1431"/>
        <w:gridCol w:w="714"/>
      </w:tblGrid>
      <w:tr w14:paraId="6B5FD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521FD0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DC6426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所在水系</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BDD8B8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断面类型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53DA47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断面名称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CE145A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经度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7D64E3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纬度</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E9018F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来源</w:t>
            </w:r>
          </w:p>
        </w:tc>
      </w:tr>
      <w:tr w14:paraId="445EF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894BE6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570AFB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50E319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0C3ACE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花山水库段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014110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103°53′54.477″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A2D63B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25°45′54.110″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B2ADBF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p>
        </w:tc>
      </w:tr>
      <w:tr w14:paraId="67C8D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4CA0B8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6913FC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7618E4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D5FE9B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沾益段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B06062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103°50′39.929″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1E44E3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25°40′25.283″</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4772C8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p>
        </w:tc>
      </w:tr>
      <w:tr w14:paraId="757E9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11CFE9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88C2BC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DAFF84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E9BA10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麒麟区段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F4EC3D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103°51′25.483″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596789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25°23′2.134″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538C1C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p>
        </w:tc>
      </w:tr>
      <w:tr w14:paraId="1F9C5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1B2819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2BA89E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1591B9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D02804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响水坝水库段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8E43AC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103°49′4.450″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87CCF1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25°10′29.410″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432AF9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p>
        </w:tc>
      </w:tr>
      <w:tr w14:paraId="3985D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122D57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288532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8D404E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B4D042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陆良段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7819A8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103°40′19.651″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A60B5C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25°1′38.121″</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551F09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p>
        </w:tc>
      </w:tr>
      <w:tr w14:paraId="5E1AE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830933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E806BB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6A1FF3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30945E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天生桥段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990114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103°30′52.627″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BBC289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24°56′43.095″</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40E2A7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p>
        </w:tc>
      </w:tr>
      <w:tr w14:paraId="2E8DC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B18AA0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107FBA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7D92AB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F06964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凤凰谷电站库区段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31D298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104°9′11.951″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9B7D9B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24°28′15.629″</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C0B26C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p>
        </w:tc>
      </w:tr>
      <w:tr w14:paraId="283A5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A7A3EC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56A1C5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B3E00E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FF2131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师宗段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48B679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104°19′53.843″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67B2A2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24°33′0.579″</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368B1E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p>
        </w:tc>
      </w:tr>
      <w:tr w14:paraId="65CFF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260B10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11D4AB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3159F5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01D5F1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罗平段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E364A5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104°28′28.500″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EE420B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24°39′13.964″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ED8A03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①</w:t>
            </w:r>
          </w:p>
        </w:tc>
      </w:tr>
      <w:tr w14:paraId="7D456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DE9A6D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BB6DA6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二级支流金马河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FE3011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9FCC34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金马河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A29E8D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103°45′56″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097242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24°43′17″</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4052F5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763D8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ED2616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49C3E6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二级支流务龙河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696120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E31525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务龙河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7F43B8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103°54′42″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24C661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24°44′01″</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DB391C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11B97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6DF197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404C72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三级支流窑房河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EF86AB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7D2300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窑房河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450A13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104°10′59″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786A00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25°02′17″</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EF3251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7B97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5939AA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4E7430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二级支流雨波罗河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188819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2760B9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雨波罗河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359C50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1B2E6A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25°08′50″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55334C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0486D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39D8CA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180ABC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二级支流革宜河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34A72E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795BB6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革宜河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DDD14D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104°09′10″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0915F3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24°58′39″</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897AD6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4F5B8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374B27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F70EFD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一级支流篆长河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70930E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48FB45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篆长河干流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CF4EC1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C1AEBF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25°04′45″</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C9AFC1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7658D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0F4E8B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0EFED2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一级支流多依河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D36EE3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448463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多依河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4B28DF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104°31′25″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DB5073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24°44′19″</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2EEC96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7ABCE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BBAA35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9650BF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一级支流大干河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B25ACA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6470CE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大干河干流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142C28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E6349C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24°52′57″</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B3ED2C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0ABE1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12029A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E9B360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二级支流子午河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3CA9B9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803A5A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子午河泵站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6B201A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104°06′46″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07366E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24°53′16″</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AEEE09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2EFA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E61F75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756B6B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二级支流二允河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46E2CD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F3A994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二允河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51A02D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103°57′12″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A26228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24°50′41″</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D7F84D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30CDB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1F6C7B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1D71E2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二级支流子午河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064F68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E51AC8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子午河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A01F1C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355E62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24°45′31″</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56C549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63D57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F4FE93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FDB6E7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一级支流九龙河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E021D5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9B0B4C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九龙瀑布下游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7A1823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104°24′38″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CCCFD9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25°00′31″</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880185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5307E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F2A95B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8EA968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一级支流九龙河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779C68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5B77BD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腊庄电站出水口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788122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104°12′27″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FD030E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24°52′49″</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FCC439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7D0E0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92FF43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5EB344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二级支流白马河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C11BCD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EE17AE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白马河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64CE80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103°41′20″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179D62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24°44′49″</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2FE704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44AAD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0158CE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D2D360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二级支流务龙河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AB13EE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42E0FE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小务龙水库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2A4144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103°55′34″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555713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24°47′29″</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C605F6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00DEE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2A50A9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DF09D5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二级支流小撒卜龙河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3ED12C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B515BB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小撒卜龙水库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512BFB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103°46′54″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672CB6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24°50′58″</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BF041F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13F06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506F1C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50DBAC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一级支流九龙河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2BCB2A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BA067B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阿岗水库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C09BD1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DF5FF4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25°00′41″</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1017BD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3B8E3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C0D47A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2DD9F3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一级支流九龙河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1673FD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4096B1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独木水库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C2AEB8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104°06′43″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880728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25°17′42″</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ADF156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7227A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B55708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4B5609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一级支流大干河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856AEA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0E77F4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湾子水库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112241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104°14′54″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FA57F4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24°46′37″</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831020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57C80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883850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79F05B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一级支流九龙河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C49EAE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1BAD1C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龙王庙水库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CA75CB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104°16′45″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436FAB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24°52′51″</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301935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16E9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7FAFC5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6C4BC7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三级支流官庄河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41BD32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FBE9FD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溜子田水库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848177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104°06′37″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94A2B2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24°46′37″</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C75A2A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7FE3E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7987C9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34DB03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一级支流九龙河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D0A135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AAF8B5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东风水库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EF4A19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104°00′32″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9CF940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24°55′33″</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617E90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39573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7FE34F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4BAFA1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二级支流子午河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E4DD41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803B07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色从水库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099BA6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103°59′05″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E6A3FF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24°43′44″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4237FE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4D9E1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FDDB5E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C7B3A4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二级支流板桥河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9834F3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48D887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鸭子塘水库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3CC569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103°51′06″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0CFB76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24°52′46″</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DDD4CC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②</w:t>
            </w:r>
          </w:p>
        </w:tc>
      </w:tr>
      <w:tr w14:paraId="5AA64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F7C899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EA0F4E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南盘江干流</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0DF40C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BA5F5B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珠江源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4824DD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103°57′41″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8CC13B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25°53′08″</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43EF8E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③</w:t>
            </w:r>
          </w:p>
        </w:tc>
      </w:tr>
      <w:tr w14:paraId="2FAA2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E45FF0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2C2AC7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南盘江干流</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62B8BF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46B901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沾益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08F23B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103°50′26″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49DB8D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25°38′44″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6FB07C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③</w:t>
            </w:r>
          </w:p>
        </w:tc>
      </w:tr>
      <w:tr w14:paraId="79C40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46B011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3EDC23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南盘江干流</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E175AE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A2CA9E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八大河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DE8F48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104°28′29″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BC9757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24°39′14″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B2C0B9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③</w:t>
            </w:r>
          </w:p>
        </w:tc>
      </w:tr>
      <w:tr w14:paraId="32CA4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EB4A97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FB1B21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南盘江干流</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59DE7F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960C71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长底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238712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104°29′54″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6CAF53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25°01′53″</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6F5F67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③</w:t>
            </w:r>
          </w:p>
        </w:tc>
      </w:tr>
      <w:tr w14:paraId="2F573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1EF4C2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C2707A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一级支流九龙河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728660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C91CC9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罗平</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A52CFA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104°16′25″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AC3B0D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24°54′27″</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7EFCC8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③</w:t>
            </w:r>
          </w:p>
        </w:tc>
      </w:tr>
      <w:tr w14:paraId="249AE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0917F2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616033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一级支流多依河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890439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A8B944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腊者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1DAF89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104°28′17″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6EA532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24°44′32″</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7730FC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④</w:t>
            </w:r>
          </w:p>
        </w:tc>
      </w:tr>
      <w:tr w14:paraId="66713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C5F8FB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7FEF75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一级支流多依河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7EF0A1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4A8389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多依村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CCADCD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104°29′34″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E36E9B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24°45′50″</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3554BD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④</w:t>
            </w:r>
          </w:p>
        </w:tc>
      </w:tr>
      <w:tr w14:paraId="0ED77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88491D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63C37D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一级支流多依河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012203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E20668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雷公滩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87E416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104°30′05″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A9048E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24°45′12″</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3F788A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④</w:t>
            </w:r>
          </w:p>
        </w:tc>
      </w:tr>
      <w:tr w14:paraId="3C0E4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A6B9B2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25A3FE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一级支流多依河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5580C5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70507F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三江口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3FFBE7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104°31′34″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1A2AC2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24°44′04″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A394B9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④</w:t>
            </w:r>
          </w:p>
        </w:tc>
      </w:tr>
      <w:tr w14:paraId="18561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102555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DD0295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一级支流黄泥河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A85220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2A8ACA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亚红马塘段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7BDA5E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104°14′56″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022283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25°34′03″</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8D0A86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⑤</w:t>
            </w:r>
          </w:p>
        </w:tc>
      </w:tr>
      <w:tr w14:paraId="7A19A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30A8F1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289D9A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一级支流黄泥河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DDB27C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E142A8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凡力弓段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AA1E4C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104°17′59″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F927D6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25°33′06″</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992D5F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⑤</w:t>
            </w:r>
          </w:p>
        </w:tc>
      </w:tr>
      <w:tr w14:paraId="6F17D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34D5FA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40E439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一级支流黄泥河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B83241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4BDFEF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取额段</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DA0D21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04079B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25°28′13″</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045BE5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⑤</w:t>
            </w:r>
          </w:p>
        </w:tc>
      </w:tr>
      <w:tr w14:paraId="23054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5839C6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B43471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一级支流黄泥河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72BC96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FFDE34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三岔河电站水库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959A54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104°20′42″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05F666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25°25′34″</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BD6E58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⑤</w:t>
            </w:r>
          </w:p>
        </w:tc>
      </w:tr>
      <w:tr w14:paraId="789EC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08AD7F3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D683C2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一级支流黄泥河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3243A91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8B984C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新堡电站水库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880D5B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104°23′51″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C23027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25°07′31″</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2F98C4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⑤</w:t>
            </w:r>
          </w:p>
        </w:tc>
      </w:tr>
      <w:tr w14:paraId="1C155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5142EB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B87513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一级支流黄泥河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EE93A7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48982B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洪家寨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2532CC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104°24′12″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6FCC870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25°19′21″</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7155F3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⑤</w:t>
            </w:r>
          </w:p>
        </w:tc>
      </w:tr>
      <w:tr w14:paraId="096F1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6E55A8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49</w:t>
            </w:r>
          </w:p>
        </w:tc>
        <w:tc>
          <w:tcPr>
            <w:tcW w:w="182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CAC433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一级支流黄泥河</w:t>
            </w:r>
          </w:p>
        </w:tc>
        <w:tc>
          <w:tcPr>
            <w:tcW w:w="1139"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52ED5E9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w:t>
            </w:r>
          </w:p>
        </w:tc>
        <w:tc>
          <w:tcPr>
            <w:tcW w:w="2008"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7536BDD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块泽河电站水库</w:t>
            </w:r>
          </w:p>
        </w:tc>
        <w:tc>
          <w:tcPr>
            <w:tcW w:w="1343"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2D9CA3A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104°23′53″</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43351F1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25°22′18″</w:t>
            </w:r>
          </w:p>
        </w:tc>
        <w:tc>
          <w:tcPr>
            <w:tcW w:w="737" w:type="dxa"/>
            <w:tcBorders>
              <w:top w:val="single" w:color="000000" w:sz="4" w:space="0"/>
              <w:left w:val="single" w:color="000000" w:sz="4" w:space="0"/>
              <w:bottom w:val="single" w:color="000000" w:sz="4" w:space="0"/>
              <w:right w:val="single" w:color="000000" w:sz="4" w:space="0"/>
            </w:tcBorders>
            <w:shd w:val="clear" w:color="auto" w:fill="auto"/>
            <w:noWrap w:val="0"/>
            <w:tcMar>
              <w:top w:w="-1" w:type="dxa"/>
              <w:left w:w="-1" w:type="dxa"/>
              <w:bottom w:w="-1" w:type="dxa"/>
              <w:right w:w="-1" w:type="dxa"/>
            </w:tcMar>
            <w:vAlign w:val="center"/>
          </w:tcPr>
          <w:p w14:paraId="18D04AF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⑤</w:t>
            </w:r>
          </w:p>
        </w:tc>
      </w:tr>
    </w:tbl>
    <w:p w14:paraId="257E4E5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注：①</w:t>
      </w:r>
      <w:r>
        <w:rPr>
          <w:rFonts w:hint="default" w:ascii="Times New Roman" w:hAnsi="Times New Roman" w:eastAsia="宋体" w:cs="Times New Roman"/>
          <w:i w:val="0"/>
          <w:iCs w:val="0"/>
          <w:color w:val="auto"/>
          <w:kern w:val="0"/>
          <w:sz w:val="21"/>
          <w:szCs w:val="21"/>
          <w:highlight w:val="none"/>
          <w:u w:val="none"/>
          <w:lang w:val="en-US" w:eastAsia="zh-CN" w:bidi="ar"/>
        </w:rPr>
        <w:t>《珠江（云南段）河湖健康评价报告》（2024年）；</w:t>
      </w:r>
      <w:r>
        <w:rPr>
          <w:rFonts w:hint="default" w:ascii="Times New Roman" w:hAnsi="Times New Roman" w:eastAsia="宋体" w:cs="Times New Roman"/>
          <w:color w:val="auto"/>
          <w:sz w:val="21"/>
          <w:szCs w:val="21"/>
          <w:highlight w:val="none"/>
          <w:lang w:val="en-US" w:eastAsia="zh-CN"/>
        </w:rPr>
        <w:t>②</w:t>
      </w:r>
      <w:r>
        <w:rPr>
          <w:rFonts w:hint="default" w:ascii="Times New Roman" w:hAnsi="Times New Roman" w:eastAsia="宋体" w:cs="Times New Roman"/>
          <w:i w:val="0"/>
          <w:iCs w:val="0"/>
          <w:color w:val="auto"/>
          <w:kern w:val="0"/>
          <w:sz w:val="21"/>
          <w:szCs w:val="21"/>
          <w:highlight w:val="none"/>
          <w:u w:val="none"/>
          <w:lang w:val="en-US" w:eastAsia="zh-CN" w:bidi="ar"/>
        </w:rPr>
        <w:t>《曲靖市罗师灌区工程环境影响报告书》；</w:t>
      </w:r>
      <w:r>
        <w:rPr>
          <w:rFonts w:hint="default" w:ascii="Times New Roman" w:hAnsi="Times New Roman" w:eastAsia="宋体" w:cs="Times New Roman"/>
          <w:color w:val="auto"/>
          <w:sz w:val="21"/>
          <w:szCs w:val="21"/>
          <w:highlight w:val="none"/>
          <w:lang w:val="en-US" w:eastAsia="zh-CN"/>
        </w:rPr>
        <w:t>③</w:t>
      </w:r>
      <w:r>
        <w:rPr>
          <w:rFonts w:hint="default" w:ascii="Times New Roman" w:hAnsi="Times New Roman" w:eastAsia="宋体" w:cs="Times New Roman"/>
          <w:i w:val="0"/>
          <w:iCs w:val="0"/>
          <w:color w:val="auto"/>
          <w:kern w:val="0"/>
          <w:sz w:val="21"/>
          <w:szCs w:val="21"/>
          <w:highlight w:val="none"/>
          <w:u w:val="none"/>
          <w:lang w:val="en-US" w:eastAsia="zh-CN" w:bidi="ar"/>
        </w:rPr>
        <w:t>云南境内南盘江水系鱼类种质资源现状及保护对策（王伟营等，2011）；</w:t>
      </w:r>
      <w:r>
        <w:rPr>
          <w:rFonts w:hint="default" w:ascii="Times New Roman" w:hAnsi="Times New Roman" w:eastAsia="宋体" w:cs="Times New Roman"/>
          <w:color w:val="auto"/>
          <w:sz w:val="21"/>
          <w:szCs w:val="21"/>
          <w:highlight w:val="none"/>
          <w:lang w:val="en-US" w:eastAsia="zh-CN"/>
        </w:rPr>
        <w:t>④为</w:t>
      </w:r>
      <w:r>
        <w:rPr>
          <w:rFonts w:hint="default" w:ascii="Times New Roman" w:hAnsi="Times New Roman" w:eastAsia="宋体" w:cs="Times New Roman"/>
          <w:i w:val="0"/>
          <w:iCs w:val="0"/>
          <w:color w:val="auto"/>
          <w:kern w:val="0"/>
          <w:sz w:val="21"/>
          <w:szCs w:val="21"/>
          <w:highlight w:val="none"/>
          <w:u w:val="none"/>
          <w:lang w:val="en-US" w:eastAsia="zh-CN" w:bidi="ar"/>
        </w:rPr>
        <w:t>《多依河保护区鱼类资源及调查》（徐丽琼等，2017）</w:t>
      </w:r>
      <w:r>
        <w:rPr>
          <w:rFonts w:hint="default" w:ascii="Times New Roman" w:hAnsi="Times New Roman" w:eastAsia="宋体" w:cs="Times New Roman"/>
          <w:color w:val="auto"/>
          <w:sz w:val="21"/>
          <w:szCs w:val="21"/>
          <w:highlight w:val="none"/>
          <w:lang w:val="en-US" w:eastAsia="zh-CN"/>
        </w:rPr>
        <w:t>⑤</w:t>
      </w:r>
      <w:r>
        <w:rPr>
          <w:rFonts w:hint="default" w:ascii="Times New Roman" w:hAnsi="Times New Roman" w:eastAsia="宋体" w:cs="Times New Roman"/>
          <w:i w:val="0"/>
          <w:iCs w:val="0"/>
          <w:color w:val="auto"/>
          <w:kern w:val="0"/>
          <w:sz w:val="21"/>
          <w:szCs w:val="21"/>
          <w:highlight w:val="none"/>
          <w:u w:val="none"/>
          <w:lang w:val="en-US" w:eastAsia="zh-CN" w:bidi="ar"/>
        </w:rPr>
        <w:t>《黄泥河“一河一策”方案》（2024—2028年）</w:t>
      </w:r>
      <w:r>
        <w:rPr>
          <w:rFonts w:hint="default" w:ascii="Times New Roman" w:hAnsi="Times New Roman" w:eastAsia="宋体" w:cs="Times New Roman"/>
          <w:color w:val="auto"/>
          <w:sz w:val="21"/>
          <w:szCs w:val="21"/>
          <w:highlight w:val="none"/>
        </w:rPr>
        <w:t>。</w:t>
      </w:r>
    </w:p>
    <w:p w14:paraId="4BBAE9A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cs="Times New Roman"/>
          <w:color w:val="auto"/>
          <w:sz w:val="21"/>
          <w:szCs w:val="21"/>
          <w:highlight w:val="none"/>
        </w:rPr>
      </w:pPr>
    </w:p>
    <w:p w14:paraId="5977142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114300" distR="114300">
            <wp:extent cx="5268595" cy="6899275"/>
            <wp:effectExtent l="9525" t="9525" r="17780" b="25400"/>
            <wp:docPr id="10" name="图片 10" descr="381dd7c2-2754-4887-ba24-8f88502381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381dd7c2-2754-4887-ba24-8f885023813b"/>
                    <pic:cNvPicPr>
                      <a:picLocks noChangeAspect="1"/>
                    </pic:cNvPicPr>
                  </pic:nvPicPr>
                  <pic:blipFill>
                    <a:blip r:embed="rId34"/>
                    <a:stretch>
                      <a:fillRect/>
                    </a:stretch>
                  </pic:blipFill>
                  <pic:spPr>
                    <a:xfrm>
                      <a:off x="0" y="0"/>
                      <a:ext cx="5268595" cy="6899275"/>
                    </a:xfrm>
                    <a:prstGeom prst="rect">
                      <a:avLst/>
                    </a:prstGeom>
                    <a:ln>
                      <a:solidFill>
                        <a:schemeClr val="tx1">
                          <a:lumMod val="85000"/>
                          <a:lumOff val="15000"/>
                        </a:schemeClr>
                      </a:solidFill>
                    </a:ln>
                  </pic:spPr>
                </pic:pic>
              </a:graphicData>
            </a:graphic>
          </wp:inline>
        </w:drawing>
      </w:r>
    </w:p>
    <w:p w14:paraId="6D9EAFDE">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图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3.4.2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SEQ 图 \* ARABIC \s 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水生态调查点位布置示意图</w:t>
      </w:r>
    </w:p>
    <w:p w14:paraId="31107EC6">
      <w:pPr>
        <w:rPr>
          <w:rFonts w:hint="default" w:ascii="Times New Roman" w:hAnsi="Times New Roman" w:eastAsia="宋体" w:cs="Times New Roman"/>
          <w:color w:val="auto"/>
          <w:highlight w:val="none"/>
          <w:lang w:val="en-US" w:eastAsia="zh-CN"/>
        </w:rPr>
      </w:pPr>
    </w:p>
    <w:p w14:paraId="766CF7EC">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调查内容</w:t>
      </w:r>
    </w:p>
    <w:p w14:paraId="763E582F">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调查规划范围内水生生物的种类、组成和分布，重点调查珍稀、濒危、特有水生生物和保护鱼类的资源分布、生态习性、重要生境及其保护现状。评价流域生态系统结构与功能状况、生物多样性现状及空间分布，分析流域生态状况和变化趋势及成因。</w:t>
      </w:r>
    </w:p>
    <w:p w14:paraId="60A6A17A">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水生生物</w:t>
      </w:r>
    </w:p>
    <w:p w14:paraId="7D44D883">
      <w:pPr>
        <w:pStyle w:val="7"/>
        <w:numPr>
          <w:ilvl w:val="4"/>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浮游植物</w:t>
      </w:r>
    </w:p>
    <w:p w14:paraId="5087F2E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（1）种类组成</w:t>
      </w:r>
    </w:p>
    <w:p w14:paraId="0A7DF31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根据资料统计，南盘江（曲靖市境内）流域综合规划范围内</w:t>
      </w:r>
      <w:r>
        <w:rPr>
          <w:rFonts w:hint="default" w:ascii="Times New Roman" w:hAnsi="Times New Roman" w:cs="Times New Roman"/>
          <w:color w:val="auto"/>
          <w:highlight w:val="none"/>
        </w:rPr>
        <w:t>共观察到浮游植物124种，隶属于蓝藻门、金藻门、隐藻门、硅藻门、裸藻门、甲藻门、绿藻门和黄藻门8个门。浮游植物种类组成详见</w:t>
      </w:r>
      <w:r>
        <w:rPr>
          <w:rFonts w:hint="default" w:ascii="Times New Roman" w:hAnsi="Times New Roman" w:cs="Times New Roman"/>
          <w:color w:val="auto"/>
          <w:highlight w:val="none"/>
          <w:lang w:val="en-US" w:eastAsia="zh-CN"/>
        </w:rPr>
        <w:t>下</w:t>
      </w:r>
      <w:r>
        <w:rPr>
          <w:rFonts w:hint="default" w:ascii="Times New Roman" w:hAnsi="Times New Roman" w:cs="Times New Roman"/>
          <w:color w:val="auto"/>
          <w:highlight w:val="none"/>
        </w:rPr>
        <w:t>图。从调查结果来看，绿藻门的种类最多，有56种，分别占全部藻类种类的45.16%；其次是硅藻门，有31种，占全部藻类种</w:t>
      </w:r>
      <w:r>
        <w:rPr>
          <w:rFonts w:hint="default" w:ascii="Times New Roman" w:hAnsi="Times New Roman" w:cs="Times New Roman"/>
          <w:color w:val="auto"/>
          <w:highlight w:val="none"/>
          <w:lang w:eastAsia="zh-CN"/>
        </w:rPr>
        <w:t>类的</w:t>
      </w:r>
      <w:r>
        <w:rPr>
          <w:rFonts w:hint="default" w:ascii="Times New Roman" w:hAnsi="Times New Roman" w:cs="Times New Roman"/>
          <w:color w:val="auto"/>
          <w:highlight w:val="none"/>
        </w:rPr>
        <w:t>25.00%；蓝藻门有24种，占全部藻类种类的19.35%；隐藻门有4种，占全部藻类种类的3.23%；裸藻门和金藻门各有3种，占全部藻类种类的2.42%；甲藻门有2种，占全部藻类种类的1.61%；黄藻门有1种，占全部藻类种类的0.81%。</w:t>
      </w:r>
    </w:p>
    <w:p w14:paraId="1CE3802A">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3059430" cy="2299335"/>
            <wp:effectExtent l="0" t="0" r="7620" b="5715"/>
            <wp:docPr id="10021868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86841" name="图片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3060000" cy="2299824"/>
                    </a:xfrm>
                    <a:prstGeom prst="rect">
                      <a:avLst/>
                    </a:prstGeom>
                    <a:noFill/>
                  </pic:spPr>
                </pic:pic>
              </a:graphicData>
            </a:graphic>
          </wp:inline>
        </w:drawing>
      </w:r>
    </w:p>
    <w:p w14:paraId="5EB897AF">
      <w:pPr>
        <w:pStyle w:val="42"/>
        <w:rPr>
          <w:rFonts w:hint="default" w:ascii="Times New Roman" w:hAnsi="Times New Roman" w:cs="Times New Roman"/>
          <w:color w:val="auto"/>
          <w:highlight w:val="none"/>
        </w:rPr>
      </w:pPr>
      <w:bookmarkStart w:id="77" w:name="_Hlk179534460"/>
      <w:r>
        <w:rPr>
          <w:rFonts w:hint="default" w:ascii="Times New Roman" w:hAnsi="Times New Roman" w:cs="Times New Roman"/>
          <w:color w:val="auto"/>
          <w:highlight w:val="none"/>
        </w:rPr>
        <w:t xml:space="preserve">图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3.4.2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SEQ 图 \* ARABIC \s 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规划范围内</w:t>
      </w:r>
      <w:r>
        <w:rPr>
          <w:rFonts w:hint="default" w:ascii="Times New Roman" w:hAnsi="Times New Roman" w:cs="Times New Roman"/>
          <w:color w:val="auto"/>
          <w:highlight w:val="none"/>
        </w:rPr>
        <w:t>浮游植物组成（物种数和占比）</w:t>
      </w:r>
    </w:p>
    <w:bookmarkEnd w:id="77"/>
    <w:p w14:paraId="6A9FF8E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（2）浮游植物密度和生物量</w:t>
      </w:r>
    </w:p>
    <w:p w14:paraId="3A4FDC1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规划范围内</w:t>
      </w:r>
      <w:r>
        <w:rPr>
          <w:rFonts w:hint="default" w:ascii="Times New Roman" w:hAnsi="Times New Roman" w:cs="Times New Roman"/>
          <w:color w:val="auto"/>
          <w:highlight w:val="none"/>
        </w:rPr>
        <w:t>平均浮游植物密度为998.82万个/L，其中，平均密度最大的为蓝藻门，平均密度为703.27万个/L；其次为硅藻门，平均密度为192.91万个/L。水库监测断面浮游植物密度远远大于河流，水库监测断面的平均浮游植物密度为2287.61万个/L，河流监测断面的平均浮游植物密度仅为78.26万个/L。</w:t>
      </w:r>
    </w:p>
    <w:p w14:paraId="252142D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规划范围内</w:t>
      </w:r>
      <w:r>
        <w:rPr>
          <w:rFonts w:hint="default" w:ascii="Times New Roman" w:hAnsi="Times New Roman" w:cs="Times New Roman"/>
          <w:color w:val="auto"/>
          <w:highlight w:val="none"/>
        </w:rPr>
        <w:t>浮游植物平均生物量为1.23 mg/L，其中，平均生物量最大的为甲藻门，平均生物量为5.72 mg/L；其次为硅藻门，平均生物量为5.52 mg/L。水库监测断面浮游植物生物量远大于河流，水库监测断面的浮游植物平均生物量为2.05 mg/L，河流监测断面的浮游植物平均生物量仅为0.14 mg/L。</w:t>
      </w:r>
    </w:p>
    <w:p w14:paraId="1DDF3E2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）现状评价</w:t>
      </w:r>
    </w:p>
    <w:p w14:paraId="1861136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本次调查中所观察到的</w:t>
      </w:r>
      <w:r>
        <w:rPr>
          <w:rFonts w:hint="default" w:ascii="Times New Roman" w:hAnsi="Times New Roman" w:cs="Times New Roman"/>
          <w:color w:val="auto"/>
          <w:highlight w:val="none"/>
          <w:lang w:eastAsia="zh-CN"/>
        </w:rPr>
        <w:t>浮游植物</w:t>
      </w:r>
      <w:r>
        <w:rPr>
          <w:rFonts w:hint="default" w:ascii="Times New Roman" w:hAnsi="Times New Roman" w:cs="Times New Roman"/>
          <w:color w:val="auto"/>
          <w:highlight w:val="none"/>
        </w:rPr>
        <w:t>组成有以下显著的特点：第一，水库浮游植物密度较高，而河流浮游植物密度远远低于水库。第二，调查的河流和水库断面均以硅藻门和蓝藻门浮游植物为主；第三，调查中的藻类为广布种，无珍稀和保护物种。</w:t>
      </w:r>
    </w:p>
    <w:p w14:paraId="72630071">
      <w:pPr>
        <w:pStyle w:val="7"/>
        <w:numPr>
          <w:ilvl w:val="4"/>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浮游</w:t>
      </w:r>
      <w:r>
        <w:rPr>
          <w:rFonts w:hint="default" w:ascii="Times New Roman" w:hAnsi="Times New Roman" w:eastAsia="宋体" w:cs="Times New Roman"/>
          <w:color w:val="auto"/>
          <w:highlight w:val="none"/>
        </w:rPr>
        <w:t>动物</w:t>
      </w:r>
    </w:p>
    <w:p w14:paraId="1B93204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（1）种类组成</w:t>
      </w:r>
    </w:p>
    <w:p w14:paraId="764B3556">
      <w:pPr>
        <w:ind w:firstLine="480"/>
        <w:rPr>
          <w:rFonts w:hint="default" w:ascii="Times New Roman" w:hAnsi="Times New Roman" w:cs="Times New Roman"/>
          <w:color w:val="auto"/>
          <w:highlight w:val="none"/>
        </w:rPr>
      </w:pPr>
      <w:bookmarkStart w:id="78" w:name="_Hlk179479597"/>
      <w:r>
        <w:rPr>
          <w:rFonts w:hint="default" w:ascii="Times New Roman" w:hAnsi="Times New Roman" w:cs="Times New Roman"/>
          <w:color w:val="auto"/>
          <w:highlight w:val="none"/>
          <w:lang w:val="en-US" w:eastAsia="zh-CN"/>
        </w:rPr>
        <w:t>根据资料统计，南盘江（曲靖市境内）流域综合规划范围内</w:t>
      </w:r>
      <w:r>
        <w:rPr>
          <w:rFonts w:hint="default" w:ascii="Times New Roman" w:hAnsi="Times New Roman" w:cs="Times New Roman"/>
          <w:color w:val="auto"/>
          <w:highlight w:val="none"/>
        </w:rPr>
        <w:t>共观察到浮游动物75种。</w:t>
      </w:r>
      <w:bookmarkEnd w:id="78"/>
      <w:r>
        <w:rPr>
          <w:rFonts w:hint="default" w:ascii="Times New Roman" w:hAnsi="Times New Roman" w:cs="Times New Roman"/>
          <w:color w:val="auto"/>
          <w:highlight w:val="none"/>
        </w:rPr>
        <w:t>其中原生动物18种，占总种数的24.00 %；轮虫33种，占总种数的44.00%；枝角类11种，占总种数的14.67%；桡足类13种，占总种数的17.33%。浮游动物种类组如</w:t>
      </w:r>
      <w:r>
        <w:rPr>
          <w:rFonts w:hint="default" w:ascii="Times New Roman" w:hAnsi="Times New Roman" w:cs="Times New Roman"/>
          <w:color w:val="auto"/>
          <w:highlight w:val="none"/>
          <w:lang w:val="en-US" w:eastAsia="zh-CN"/>
        </w:rPr>
        <w:t>下图</w:t>
      </w:r>
      <w:r>
        <w:rPr>
          <w:rFonts w:hint="default" w:ascii="Times New Roman" w:hAnsi="Times New Roman" w:cs="Times New Roman"/>
          <w:color w:val="auto"/>
          <w:highlight w:val="none"/>
        </w:rPr>
        <w:t>所示。</w:t>
      </w:r>
    </w:p>
    <w:p w14:paraId="3E4A1EC0">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2917190" cy="2615565"/>
            <wp:effectExtent l="0" t="0" r="16510" b="13335"/>
            <wp:docPr id="38938192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381921" name="图片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2917190" cy="2615565"/>
                    </a:xfrm>
                    <a:prstGeom prst="rect">
                      <a:avLst/>
                    </a:prstGeom>
                    <a:noFill/>
                  </pic:spPr>
                </pic:pic>
              </a:graphicData>
            </a:graphic>
          </wp:inline>
        </w:drawing>
      </w:r>
    </w:p>
    <w:p w14:paraId="3C8A84FD">
      <w:pPr>
        <w:pStyle w:val="42"/>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图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4.4.2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SEQ 图 \* ARABIC \s 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3</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规划范围内</w:t>
      </w:r>
      <w:r>
        <w:rPr>
          <w:rFonts w:hint="default" w:ascii="Times New Roman" w:hAnsi="Times New Roman" w:cs="Times New Roman"/>
          <w:color w:val="auto"/>
          <w:highlight w:val="none"/>
        </w:rPr>
        <w:t>浮游动物组成（物种数和占比）</w:t>
      </w:r>
    </w:p>
    <w:p w14:paraId="291CC49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（2）浮游动物密度和生物量</w:t>
      </w:r>
    </w:p>
    <w:p w14:paraId="16DD86D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根据资料统计，南盘江（曲靖市境内）流域综合规划范围内</w:t>
      </w:r>
      <w:r>
        <w:rPr>
          <w:rFonts w:hint="default" w:ascii="Times New Roman" w:hAnsi="Times New Roman" w:cs="Times New Roman"/>
          <w:color w:val="auto"/>
          <w:highlight w:val="none"/>
        </w:rPr>
        <w:t>浮游动物平均密度为18.02 ind./L，其中，平均密度最大的为轮虫，平均密度为12.83 ind./L；密度最小的为枝角类，平均密度为0.08 ind./L。水库监测断面浮游动物密度远远大于河流，水库监测断面的平均浮游动物密度为36.38 ind./L，河流监测断面的平均浮游动物密度仅为4.91 ind./L。</w:t>
      </w:r>
    </w:p>
    <w:p w14:paraId="05225CB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规划范围内</w:t>
      </w:r>
      <w:r>
        <w:rPr>
          <w:rFonts w:hint="default" w:ascii="Times New Roman" w:hAnsi="Times New Roman" w:cs="Times New Roman"/>
          <w:color w:val="auto"/>
          <w:highlight w:val="none"/>
        </w:rPr>
        <w:t>浮游动物生物量为0.0232 mg/L，其中，平均生物量最大的为轮虫0.0149 mg/L，最小的为原生动物，平均生物量为0.0002mg/L。水库监测断面浮游动物生物量远大于河流，水库监测断面的平均浮游动物生物量为0.0485 mg/L，河流监测断面的平均浮游动物生物量仅为0.0052 mg/L。</w:t>
      </w:r>
    </w:p>
    <w:p w14:paraId="124B933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）现状评价</w:t>
      </w:r>
    </w:p>
    <w:p w14:paraId="46461F05">
      <w:pPr>
        <w:rPr>
          <w:rFonts w:hint="default" w:ascii="Times New Roman" w:hAnsi="Times New Roman" w:cs="Times New Roman"/>
          <w:color w:val="auto"/>
          <w:highlight w:val="none"/>
        </w:rPr>
      </w:pPr>
      <w:r>
        <w:rPr>
          <w:rFonts w:hint="default" w:ascii="Times New Roman" w:hAnsi="Times New Roman" w:cs="Times New Roman"/>
          <w:color w:val="auto"/>
          <w:highlight w:val="none"/>
        </w:rPr>
        <w:t>调查结果显示浮游动物种类组成有如下特点：1）调查河道水流较急，不适合浮游动物</w:t>
      </w:r>
      <w:r>
        <w:rPr>
          <w:rFonts w:hint="default" w:ascii="Times New Roman" w:hAnsi="Times New Roman" w:cs="Times New Roman"/>
          <w:color w:val="auto"/>
          <w:highlight w:val="none"/>
          <w:lang w:val="en-US" w:eastAsia="zh-CN"/>
        </w:rPr>
        <w:t>聚集</w:t>
      </w:r>
      <w:r>
        <w:rPr>
          <w:rFonts w:hint="default" w:ascii="Times New Roman" w:hAnsi="Times New Roman" w:cs="Times New Roman"/>
          <w:color w:val="auto"/>
          <w:highlight w:val="none"/>
        </w:rPr>
        <w:t>，浮游动物密度和生物量较低；2）调查水库中，水体营养程度高，其浮游动物的密度和生物量也较高。3）调查中的浮游动物基本为广布种。</w:t>
      </w:r>
    </w:p>
    <w:p w14:paraId="76F270A1">
      <w:pPr>
        <w:pStyle w:val="7"/>
        <w:numPr>
          <w:ilvl w:val="4"/>
          <w:numId w:val="4"/>
        </w:numPr>
        <w:spacing w:before="374" w:after="249"/>
        <w:rPr>
          <w:rFonts w:hint="default" w:ascii="Times New Roman" w:hAnsi="Times New Roman" w:cs="Times New Roman"/>
          <w:bCs/>
          <w:color w:val="auto"/>
          <w:szCs w:val="28"/>
          <w:highlight w:val="none"/>
        </w:rPr>
      </w:pPr>
      <w:r>
        <w:rPr>
          <w:rFonts w:hint="default" w:ascii="Times New Roman" w:hAnsi="Times New Roman" w:cs="Times New Roman"/>
          <w:bCs/>
          <w:color w:val="auto"/>
          <w:szCs w:val="28"/>
          <w:highlight w:val="none"/>
        </w:rPr>
        <w:t>着生藻类</w:t>
      </w:r>
    </w:p>
    <w:p w14:paraId="4DD7C33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（1）种类组成</w:t>
      </w:r>
    </w:p>
    <w:p w14:paraId="69687F5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根据资料统计，南盘江（曲靖市境内）流域综合规划范围内</w:t>
      </w:r>
      <w:r>
        <w:rPr>
          <w:rFonts w:hint="default" w:ascii="Times New Roman" w:hAnsi="Times New Roman" w:cs="Times New Roman"/>
          <w:color w:val="auto"/>
          <w:highlight w:val="none"/>
        </w:rPr>
        <w:t>共观察到着生藻类8门69种。其中硅藻门占绝对优势，共检测到34种，占总种类数的49.28%；其次为蓝藻门和绿藻门，分别有15种和13种，各占总种类数的21.74%和18.84%；金藻门、黄藻门和甲藻门各有一种，占总种类数的1.45%。各断面着生藻水平分布规律基本一致，以硅藻门占绝对优势，其次为绿藻门和蓝藻门。常见种类为菱形藻</w:t>
      </w:r>
      <w:r>
        <w:rPr>
          <w:rFonts w:hint="default" w:ascii="Times New Roman" w:hAnsi="Times New Roman" w:cs="Times New Roman"/>
          <w:i/>
          <w:iCs/>
          <w:color w:val="auto"/>
          <w:highlight w:val="none"/>
        </w:rPr>
        <w:t>Nitzschia sp.</w:t>
      </w:r>
      <w:r>
        <w:rPr>
          <w:rFonts w:hint="default" w:ascii="Times New Roman" w:hAnsi="Times New Roman" w:cs="Times New Roman"/>
          <w:color w:val="auto"/>
          <w:highlight w:val="none"/>
        </w:rPr>
        <w:t>、舟形藻</w:t>
      </w:r>
      <w:r>
        <w:rPr>
          <w:rFonts w:hint="default" w:ascii="Times New Roman" w:hAnsi="Times New Roman" w:cs="Times New Roman"/>
          <w:i/>
          <w:iCs/>
          <w:color w:val="auto"/>
          <w:highlight w:val="none"/>
        </w:rPr>
        <w:t>Navicula sp.</w:t>
      </w:r>
      <w:r>
        <w:rPr>
          <w:rFonts w:hint="default" w:ascii="Times New Roman" w:hAnsi="Times New Roman" w:cs="Times New Roman"/>
          <w:color w:val="auto"/>
          <w:highlight w:val="none"/>
        </w:rPr>
        <w:t>、扁圆卵形藻</w:t>
      </w:r>
      <w:r>
        <w:rPr>
          <w:rFonts w:hint="default" w:ascii="Times New Roman" w:hAnsi="Times New Roman" w:cs="Times New Roman"/>
          <w:i/>
          <w:iCs/>
          <w:color w:val="auto"/>
          <w:highlight w:val="none"/>
        </w:rPr>
        <w:t>Cocconeis placentula</w:t>
      </w:r>
      <w:r>
        <w:rPr>
          <w:rFonts w:hint="default" w:ascii="Times New Roman" w:hAnsi="Times New Roman" w:cs="Times New Roman"/>
          <w:color w:val="auto"/>
          <w:highlight w:val="none"/>
        </w:rPr>
        <w:t>、异极藻</w:t>
      </w:r>
      <w:r>
        <w:rPr>
          <w:rFonts w:hint="default" w:ascii="Times New Roman" w:hAnsi="Times New Roman" w:cs="Times New Roman"/>
          <w:i/>
          <w:iCs/>
          <w:color w:val="auto"/>
          <w:highlight w:val="none"/>
        </w:rPr>
        <w:t>Gomphonema sp.</w:t>
      </w:r>
      <w:r>
        <w:rPr>
          <w:rFonts w:hint="default" w:ascii="Times New Roman" w:hAnsi="Times New Roman" w:cs="Times New Roman"/>
          <w:color w:val="auto"/>
          <w:highlight w:val="none"/>
        </w:rPr>
        <w:t>、曲壳藻</w:t>
      </w:r>
      <w:r>
        <w:rPr>
          <w:rFonts w:hint="default" w:ascii="Times New Roman" w:hAnsi="Times New Roman" w:cs="Times New Roman"/>
          <w:i/>
          <w:iCs/>
          <w:color w:val="auto"/>
          <w:highlight w:val="none"/>
        </w:rPr>
        <w:t>Achnanthes sp.</w:t>
      </w:r>
      <w:r>
        <w:rPr>
          <w:rFonts w:hint="default" w:ascii="Times New Roman" w:hAnsi="Times New Roman" w:cs="Times New Roman"/>
          <w:color w:val="auto"/>
          <w:highlight w:val="none"/>
        </w:rPr>
        <w:t>等。</w:t>
      </w:r>
    </w:p>
    <w:p w14:paraId="68E98065">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2869565" cy="2725420"/>
            <wp:effectExtent l="0" t="0" r="6985" b="17780"/>
            <wp:docPr id="188395470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54709" name="图片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2869565" cy="2725420"/>
                    </a:xfrm>
                    <a:prstGeom prst="rect">
                      <a:avLst/>
                    </a:prstGeom>
                    <a:noFill/>
                  </pic:spPr>
                </pic:pic>
              </a:graphicData>
            </a:graphic>
          </wp:inline>
        </w:drawing>
      </w:r>
    </w:p>
    <w:p w14:paraId="60EF9C73">
      <w:pPr>
        <w:pStyle w:val="42"/>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图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4.4.2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SEQ 图 \* ARABIC \s 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4</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规划范围内</w:t>
      </w:r>
      <w:r>
        <w:rPr>
          <w:rFonts w:hint="default" w:ascii="Times New Roman" w:hAnsi="Times New Roman" w:cs="Times New Roman"/>
          <w:color w:val="auto"/>
          <w:highlight w:val="none"/>
        </w:rPr>
        <w:t>着生藻类组成（物种数和占比）</w:t>
      </w:r>
    </w:p>
    <w:p w14:paraId="6351C7F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（2）着生藻类密度和生物量</w:t>
      </w:r>
    </w:p>
    <w:p w14:paraId="5371F11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调查水域着生藻类平均密度为42.91</w:t>
      </w:r>
      <w:r>
        <w:rPr>
          <w:rFonts w:hint="default" w:ascii="Times New Roman" w:hAnsi="Times New Roman" w:cs="Times New Roman"/>
          <w:color w:val="auto"/>
          <w:highlight w:val="none"/>
        </w:rPr>
        <w:sym w:font="Symbol" w:char="F0B4"/>
      </w:r>
      <w:r>
        <w:rPr>
          <w:rFonts w:hint="default" w:ascii="Times New Roman" w:hAnsi="Times New Roman" w:cs="Times New Roman"/>
          <w:color w:val="auto"/>
          <w:highlight w:val="none"/>
        </w:rPr>
        <w:t>10</w:t>
      </w:r>
      <w:r>
        <w:rPr>
          <w:rFonts w:hint="default" w:ascii="Times New Roman" w:hAnsi="Times New Roman" w:cs="Times New Roman"/>
          <w:color w:val="auto"/>
          <w:highlight w:val="none"/>
          <w:vertAlign w:val="superscript"/>
        </w:rPr>
        <w:t>8</w:t>
      </w:r>
      <w:r>
        <w:rPr>
          <w:rFonts w:hint="default" w:ascii="Times New Roman" w:hAnsi="Times New Roman" w:cs="Times New Roman"/>
          <w:color w:val="auto"/>
          <w:highlight w:val="none"/>
        </w:rPr>
        <w:t>cells/m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，河流断面中着生藻类均以硅藻门为主，其次为蓝藻门，裸藻门和绿藻门仅零星分布在几个断面中。不同河流断面着生藻类差异较大，密度最大的为金马河，着生藻类平均密度为214.46</w:t>
      </w:r>
      <w:r>
        <w:rPr>
          <w:rFonts w:hint="default" w:ascii="Times New Roman" w:hAnsi="Times New Roman" w:cs="Times New Roman"/>
          <w:color w:val="auto"/>
          <w:highlight w:val="none"/>
        </w:rPr>
        <w:sym w:font="Symbol" w:char="F0B4"/>
      </w:r>
      <w:r>
        <w:rPr>
          <w:rFonts w:hint="default" w:ascii="Times New Roman" w:hAnsi="Times New Roman" w:cs="Times New Roman"/>
          <w:color w:val="auto"/>
          <w:highlight w:val="none"/>
        </w:rPr>
        <w:t>10</w:t>
      </w:r>
      <w:r>
        <w:rPr>
          <w:rFonts w:hint="default" w:ascii="Times New Roman" w:hAnsi="Times New Roman" w:cs="Times New Roman"/>
          <w:color w:val="auto"/>
          <w:highlight w:val="none"/>
          <w:vertAlign w:val="superscript"/>
        </w:rPr>
        <w:t>8</w:t>
      </w:r>
      <w:r>
        <w:rPr>
          <w:rFonts w:hint="default" w:ascii="Times New Roman" w:hAnsi="Times New Roman" w:cs="Times New Roman"/>
          <w:color w:val="auto"/>
          <w:highlight w:val="none"/>
        </w:rPr>
        <w:t>cells/m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，最小的为务龙河，平均密度为2.34</w:t>
      </w:r>
      <w:r>
        <w:rPr>
          <w:rFonts w:hint="default" w:ascii="Times New Roman" w:hAnsi="Times New Roman" w:cs="Times New Roman"/>
          <w:color w:val="auto"/>
          <w:highlight w:val="none"/>
        </w:rPr>
        <w:sym w:font="Symbol" w:char="F0B4"/>
      </w:r>
      <w:bookmarkStart w:id="79" w:name="_Hlk179481026"/>
      <w:r>
        <w:rPr>
          <w:rFonts w:hint="default" w:ascii="Times New Roman" w:hAnsi="Times New Roman" w:cs="Times New Roman"/>
          <w:color w:val="auto"/>
          <w:highlight w:val="none"/>
        </w:rPr>
        <w:t>10</w:t>
      </w:r>
      <w:r>
        <w:rPr>
          <w:rFonts w:hint="default" w:ascii="Times New Roman" w:hAnsi="Times New Roman" w:cs="Times New Roman"/>
          <w:color w:val="auto"/>
          <w:highlight w:val="none"/>
          <w:vertAlign w:val="superscript"/>
        </w:rPr>
        <w:t>8</w:t>
      </w:r>
      <w:r>
        <w:rPr>
          <w:rFonts w:hint="default" w:ascii="Times New Roman" w:hAnsi="Times New Roman" w:cs="Times New Roman"/>
          <w:color w:val="auto"/>
          <w:highlight w:val="none"/>
        </w:rPr>
        <w:t>cells/m</w:t>
      </w:r>
      <w:r>
        <w:rPr>
          <w:rFonts w:hint="default" w:ascii="Times New Roman" w:hAnsi="Times New Roman" w:cs="Times New Roman"/>
          <w:color w:val="auto"/>
          <w:highlight w:val="none"/>
          <w:vertAlign w:val="superscript"/>
        </w:rPr>
        <w:t>2</w:t>
      </w:r>
      <w:bookmarkEnd w:id="79"/>
      <w:r>
        <w:rPr>
          <w:rFonts w:hint="default" w:ascii="Times New Roman" w:hAnsi="Times New Roman" w:cs="Times New Roman"/>
          <w:color w:val="auto"/>
          <w:highlight w:val="none"/>
        </w:rPr>
        <w:t>。</w:t>
      </w:r>
    </w:p>
    <w:p w14:paraId="1CA11FE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调查水域着生藻类平均生物量为580.82 mg/m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，硅藻门生物量占绝对优势，占全部生物量的83.47%，其余金藻门、黄藻门和隐藻门三个门类的着生藻类生物量较低。</w:t>
      </w:r>
    </w:p>
    <w:p w14:paraId="38FDE92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w:t>
      </w:r>
      <w:r>
        <w:rPr>
          <w:rFonts w:hint="default" w:ascii="Times New Roman" w:hAnsi="Times New Roman" w:cs="Times New Roman"/>
          <w:color w:val="auto"/>
          <w:highlight w:val="none"/>
        </w:rPr>
        <w:tab/>
      </w:r>
      <w:r>
        <w:rPr>
          <w:rFonts w:hint="default" w:ascii="Times New Roman" w:hAnsi="Times New Roman" w:cs="Times New Roman"/>
          <w:color w:val="auto"/>
          <w:highlight w:val="none"/>
        </w:rPr>
        <w:t>现状调查</w:t>
      </w:r>
    </w:p>
    <w:p w14:paraId="5F11BCC8">
      <w:pPr>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本次调查中发现的着生藻类均为广布物种，无珍稀和保护物种。着生藻的生长受到水动力过程、营养物质、光照以及摄食等各种因素的影响。</w:t>
      </w:r>
    </w:p>
    <w:p w14:paraId="5D8043A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（1）种类组成</w:t>
      </w:r>
    </w:p>
    <w:p w14:paraId="1CB0E5D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根据资料统计，南盘江（曲靖市境内）流域综合规划范围内</w:t>
      </w:r>
      <w:r>
        <w:rPr>
          <w:rFonts w:hint="default" w:ascii="Times New Roman" w:hAnsi="Times New Roman" w:cs="Times New Roman"/>
          <w:color w:val="auto"/>
          <w:highlight w:val="none"/>
        </w:rPr>
        <w:t>共</w:t>
      </w:r>
      <w:r>
        <w:rPr>
          <w:rFonts w:hint="default" w:ascii="Times New Roman" w:hAnsi="Times New Roman" w:cs="Times New Roman"/>
          <w:color w:val="auto"/>
          <w:highlight w:val="none"/>
          <w:lang w:val="en-US" w:eastAsia="zh-CN"/>
        </w:rPr>
        <w:t>观测</w:t>
      </w:r>
      <w:r>
        <w:rPr>
          <w:rFonts w:hint="default" w:ascii="Times New Roman" w:hAnsi="Times New Roman" w:cs="Times New Roman"/>
          <w:color w:val="auto"/>
          <w:highlight w:val="none"/>
        </w:rPr>
        <w:t>到大型底栖动物4门6纲14目32科63种。其中种类最多的是节肢动物门，共有44种，占总种数的69.84%；其次，是软体动物门，共有12种，占总种数的19.05%；环节动物门共有6种，占总种类数的9.52%；扁形动物最少，仅有1种，占总种数的1.59 %。优势种有铜锈环棱螺</w:t>
      </w:r>
      <w:r>
        <w:rPr>
          <w:rFonts w:hint="default" w:ascii="Times New Roman" w:hAnsi="Times New Roman" w:cs="Times New Roman"/>
          <w:i/>
          <w:iCs/>
          <w:color w:val="auto"/>
          <w:highlight w:val="none"/>
        </w:rPr>
        <w:t>Bellamya aeruginosa</w:t>
      </w:r>
      <w:r>
        <w:rPr>
          <w:rFonts w:hint="default" w:ascii="Times New Roman" w:hAnsi="Times New Roman" w:cs="Times New Roman"/>
          <w:color w:val="auto"/>
          <w:highlight w:val="none"/>
        </w:rPr>
        <w:t>、尖膀胱螺</w:t>
      </w:r>
      <w:r>
        <w:rPr>
          <w:rFonts w:hint="default" w:ascii="Times New Roman" w:hAnsi="Times New Roman" w:cs="Times New Roman"/>
          <w:i/>
          <w:iCs/>
          <w:color w:val="auto"/>
          <w:highlight w:val="none"/>
        </w:rPr>
        <w:t>Physa acuta</w:t>
      </w:r>
      <w:r>
        <w:rPr>
          <w:rFonts w:hint="default" w:ascii="Times New Roman" w:hAnsi="Times New Roman" w:cs="Times New Roman"/>
          <w:color w:val="auto"/>
          <w:highlight w:val="none"/>
        </w:rPr>
        <w:t>、新米虾</w:t>
      </w:r>
      <w:r>
        <w:rPr>
          <w:rFonts w:hint="default" w:ascii="Times New Roman" w:hAnsi="Times New Roman" w:cs="Times New Roman"/>
          <w:i/>
          <w:iCs/>
          <w:color w:val="auto"/>
          <w:highlight w:val="none"/>
        </w:rPr>
        <w:t>Neocaridina sp.</w:t>
      </w:r>
      <w:r>
        <w:rPr>
          <w:rFonts w:hint="default" w:ascii="Times New Roman" w:hAnsi="Times New Roman" w:cs="Times New Roman"/>
          <w:color w:val="auto"/>
          <w:highlight w:val="none"/>
        </w:rPr>
        <w:t>、白角多足摇蚊</w:t>
      </w:r>
      <w:r>
        <w:rPr>
          <w:rFonts w:hint="default" w:ascii="Times New Roman" w:hAnsi="Times New Roman" w:cs="Times New Roman"/>
          <w:i/>
          <w:iCs/>
          <w:color w:val="auto"/>
          <w:highlight w:val="none"/>
        </w:rPr>
        <w:t>Polypedilum albicorne</w:t>
      </w:r>
      <w:r>
        <w:rPr>
          <w:rFonts w:hint="default" w:ascii="Times New Roman" w:hAnsi="Times New Roman" w:cs="Times New Roman"/>
          <w:color w:val="auto"/>
          <w:highlight w:val="none"/>
        </w:rPr>
        <w:t>等。</w:t>
      </w:r>
    </w:p>
    <w:p w14:paraId="496F3AF5">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2873375" cy="2449195"/>
            <wp:effectExtent l="0" t="0" r="3175" b="8255"/>
            <wp:docPr id="157879960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799604" name="图片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873375" cy="2449195"/>
                    </a:xfrm>
                    <a:prstGeom prst="rect">
                      <a:avLst/>
                    </a:prstGeom>
                    <a:noFill/>
                  </pic:spPr>
                </pic:pic>
              </a:graphicData>
            </a:graphic>
          </wp:inline>
        </w:drawing>
      </w:r>
    </w:p>
    <w:p w14:paraId="4B35A384">
      <w:pPr>
        <w:pStyle w:val="42"/>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图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4.4.2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noBreakHyphen/>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SEQ 图 \* ARABIC \s 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5</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rPr>
        <w:t xml:space="preserve">  底栖动物组成（物种数和占比）</w:t>
      </w:r>
    </w:p>
    <w:p w14:paraId="63CEE8F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（2）底栖动物密度和生物量</w:t>
      </w:r>
    </w:p>
    <w:p w14:paraId="72ACABA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规划区各断面调查到的底栖动物平均密度为386.88 ind./m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。不同断面底栖动物密度存在差异，密度最大的为大干河干流，平均密度为1668.52 ind./m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，密度最小的为白马河，平均密度为103.70 ind./m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 xml:space="preserve">。河流断面底栖动物平均密度较水库断面大，河流断面底栖动物平均密度为462.37 </w:t>
      </w:r>
      <w:bookmarkStart w:id="80" w:name="_Hlk179535352"/>
      <w:r>
        <w:rPr>
          <w:rFonts w:hint="default" w:ascii="Times New Roman" w:hAnsi="Times New Roman" w:cs="Times New Roman"/>
          <w:color w:val="auto"/>
          <w:highlight w:val="none"/>
        </w:rPr>
        <w:t>ind./m</w:t>
      </w:r>
      <w:r>
        <w:rPr>
          <w:rFonts w:hint="default" w:ascii="Times New Roman" w:hAnsi="Times New Roman" w:cs="Times New Roman"/>
          <w:color w:val="auto"/>
          <w:highlight w:val="none"/>
          <w:vertAlign w:val="superscript"/>
        </w:rPr>
        <w:t>2</w:t>
      </w:r>
      <w:bookmarkEnd w:id="80"/>
      <w:r>
        <w:rPr>
          <w:rFonts w:hint="default" w:ascii="Times New Roman" w:hAnsi="Times New Roman" w:cs="Times New Roman"/>
          <w:color w:val="auto"/>
          <w:highlight w:val="none"/>
        </w:rPr>
        <w:t>，水库断面底栖动物平均密度为281.20 ind./m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p>
    <w:p w14:paraId="265230B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调查水域各断面底栖动物平均生物量为35.65 g/m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，不同断面底栖动物生物量存在一定的差异，其中生物量最大的为湾子水库，平均生物量为253.48 g/m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，最小的为雨波罗河，为3.67 g/m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p>
    <w:p w14:paraId="63CFAC0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）现状评价</w:t>
      </w:r>
    </w:p>
    <w:p w14:paraId="31079D9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本次调查中发现的大型底栖动物均为广布物种，根据《云南省外来入侵物种名录》（2019），评价区内分布有两种外来入侵底栖动物，分别为福寿螺 </w:t>
      </w:r>
      <w:r>
        <w:rPr>
          <w:rFonts w:hint="default" w:ascii="Times New Roman" w:hAnsi="Times New Roman" w:cs="Times New Roman"/>
          <w:i/>
          <w:iCs/>
          <w:color w:val="auto"/>
          <w:highlight w:val="none"/>
        </w:rPr>
        <w:t>Pomacea canaliculata</w:t>
      </w:r>
      <w:r>
        <w:rPr>
          <w:rFonts w:hint="default" w:ascii="Times New Roman" w:hAnsi="Times New Roman" w:cs="Times New Roman"/>
          <w:color w:val="auto"/>
          <w:highlight w:val="none"/>
        </w:rPr>
        <w:t>（恶性入侵，危害等级为I级），</w:t>
      </w:r>
      <w:bookmarkStart w:id="81" w:name="_Hlk195082993"/>
      <w:r>
        <w:rPr>
          <w:rFonts w:hint="default" w:ascii="Times New Roman" w:hAnsi="Times New Roman" w:cs="Times New Roman"/>
          <w:color w:val="auto"/>
          <w:highlight w:val="none"/>
        </w:rPr>
        <w:t>尖膀胱螺</w:t>
      </w:r>
      <w:r>
        <w:rPr>
          <w:rFonts w:hint="default" w:ascii="Times New Roman" w:hAnsi="Times New Roman" w:cs="Times New Roman"/>
          <w:i/>
          <w:iCs/>
          <w:color w:val="auto"/>
          <w:highlight w:val="none"/>
        </w:rPr>
        <w:t xml:space="preserve"> Physa acuta</w:t>
      </w:r>
      <w:bookmarkEnd w:id="81"/>
      <w:r>
        <w:rPr>
          <w:rFonts w:hint="default" w:ascii="Times New Roman" w:hAnsi="Times New Roman" w:cs="Times New Roman"/>
          <w:color w:val="auto"/>
          <w:highlight w:val="none"/>
        </w:rPr>
        <w:t>（一般入侵，危害等级为</w:t>
      </w:r>
      <w:r>
        <w:rPr>
          <w:rFonts w:hint="default" w:ascii="Times New Roman" w:hAnsi="Times New Roman" w:cs="Times New Roman"/>
          <w:color w:val="auto"/>
          <w:highlight w:val="none"/>
          <w:lang w:eastAsia="zh-CN"/>
        </w:rPr>
        <w:t>Ⅳ级</w:t>
      </w:r>
      <w:r>
        <w:rPr>
          <w:rFonts w:hint="default" w:ascii="Times New Roman" w:hAnsi="Times New Roman" w:cs="Times New Roman"/>
          <w:color w:val="auto"/>
          <w:highlight w:val="none"/>
        </w:rPr>
        <w:t>）。</w:t>
      </w:r>
    </w:p>
    <w:p w14:paraId="0C34F51C">
      <w:pPr>
        <w:pStyle w:val="7"/>
        <w:numPr>
          <w:ilvl w:val="4"/>
          <w:numId w:val="4"/>
        </w:numPr>
        <w:spacing w:before="374" w:after="249"/>
        <w:rPr>
          <w:rFonts w:hint="default" w:ascii="Times New Roman" w:hAnsi="Times New Roman" w:cs="Times New Roman"/>
          <w:bCs/>
          <w:color w:val="auto"/>
          <w:szCs w:val="28"/>
          <w:highlight w:val="none"/>
        </w:rPr>
      </w:pPr>
      <w:r>
        <w:rPr>
          <w:rFonts w:hint="default" w:ascii="Times New Roman" w:hAnsi="Times New Roman" w:cs="Times New Roman"/>
          <w:bCs/>
          <w:color w:val="auto"/>
          <w:szCs w:val="28"/>
          <w:highlight w:val="none"/>
        </w:rPr>
        <w:t>水生维管束</w:t>
      </w:r>
      <w:r>
        <w:rPr>
          <w:rFonts w:hint="default" w:ascii="Times New Roman" w:hAnsi="Times New Roman" w:cs="Times New Roman"/>
          <w:color w:val="auto"/>
          <w:highlight w:val="none"/>
          <w:lang w:val="en-US" w:eastAsia="zh-CN"/>
        </w:rPr>
        <w:t>植物</w:t>
      </w:r>
    </w:p>
    <w:p w14:paraId="66ABEB7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根据资料统计，南盘江（曲靖市境内）流域综合规划范围内</w:t>
      </w:r>
      <w:r>
        <w:rPr>
          <w:rFonts w:hint="default" w:ascii="Times New Roman" w:hAnsi="Times New Roman" w:cs="Times New Roman"/>
          <w:color w:val="auto"/>
          <w:highlight w:val="none"/>
        </w:rPr>
        <w:t>共监测到水生植物14种，分别为泽泻、菹草、水葱、粉绿狐尾藻、马来眼子菜、香蒲、浮萍、芦苇、黑藻、金鱼藻、水葫芦。自然河段水生植物较少，仅在由于水势较缓的河段发育有沉水植物。水库库区水深，且水位变化较大，不适合水生植物生长，仅有一些漂浮植物。</w:t>
      </w:r>
    </w:p>
    <w:p w14:paraId="3A60C230">
      <w:pPr>
        <w:pStyle w:val="6"/>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鱼类</w:t>
      </w:r>
    </w:p>
    <w:p w14:paraId="069C9A41">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鱼类组成及特点</w:t>
      </w:r>
    </w:p>
    <w:p w14:paraId="5C7BD04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鱼类历史记录主要参考《云南鱼类志上、下册》（褚新洛、陈银瑞，1989，1990）、《云南鱼类名录》（陈小勇，2013）、《云南境内南盘江水系鱼类种质资源现状及保护对策》（王伟营等，2011）、《多依河保护区鱼类资源及调查》（徐丽琼等，2017）和《曲靖市珠江水系水生动物保护区（北盘江、五洛河、牛街河、多依河鱼类保护区）总体规划（2019</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2028年）》（2020年）。分类系统依据《云南鱼类名录》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陈小勇，2013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。根据以上文献及资料显示，</w:t>
      </w:r>
      <w:r>
        <w:rPr>
          <w:rFonts w:hint="default" w:ascii="Times New Roman" w:hAnsi="Times New Roman" w:cs="Times New Roman"/>
          <w:color w:val="auto"/>
          <w:highlight w:val="none"/>
          <w:lang w:val="en-US" w:eastAsia="zh-CN"/>
        </w:rPr>
        <w:t>规划范围</w:t>
      </w:r>
      <w:r>
        <w:rPr>
          <w:rFonts w:hint="default" w:ascii="Times New Roman" w:hAnsi="Times New Roman" w:cs="Times New Roman"/>
          <w:color w:val="auto"/>
          <w:highlight w:val="none"/>
        </w:rPr>
        <w:t>内历史记载分布有鱼类</w:t>
      </w:r>
      <w:r>
        <w:rPr>
          <w:rFonts w:hint="default" w:ascii="Times New Roman" w:hAnsi="Times New Roman" w:cs="Times New Roman"/>
          <w:color w:val="auto"/>
          <w:highlight w:val="none"/>
          <w:lang w:val="en-US" w:eastAsia="zh-CN"/>
        </w:rPr>
        <w:t>7</w:t>
      </w:r>
      <w:r>
        <w:rPr>
          <w:rFonts w:hint="default" w:ascii="Times New Roman" w:hAnsi="Times New Roman" w:cs="Times New Roman"/>
          <w:color w:val="auto"/>
          <w:highlight w:val="none"/>
        </w:rPr>
        <w:t>目</w:t>
      </w:r>
      <w:r>
        <w:rPr>
          <w:rFonts w:hint="default" w:ascii="Times New Roman" w:hAnsi="Times New Roman" w:cs="Times New Roman"/>
          <w:color w:val="auto"/>
          <w:highlight w:val="none"/>
          <w:lang w:val="en-US" w:eastAsia="zh-CN"/>
        </w:rPr>
        <w:t>18</w:t>
      </w:r>
      <w:r>
        <w:rPr>
          <w:rFonts w:hint="default" w:ascii="Times New Roman" w:hAnsi="Times New Roman" w:cs="Times New Roman"/>
          <w:color w:val="auto"/>
          <w:highlight w:val="none"/>
        </w:rPr>
        <w:t>科</w:t>
      </w:r>
      <w:r>
        <w:rPr>
          <w:rFonts w:hint="default" w:ascii="Times New Roman" w:hAnsi="Times New Roman" w:cs="Times New Roman"/>
          <w:color w:val="auto"/>
          <w:highlight w:val="none"/>
          <w:lang w:val="en-US" w:eastAsia="zh-CN"/>
        </w:rPr>
        <w:t>90</w:t>
      </w:r>
      <w:r>
        <w:rPr>
          <w:rFonts w:hint="default" w:ascii="Times New Roman" w:hAnsi="Times New Roman" w:cs="Times New Roman"/>
          <w:color w:val="auto"/>
          <w:highlight w:val="none"/>
        </w:rPr>
        <w:t>种，其中土著鱼类</w:t>
      </w:r>
      <w:r>
        <w:rPr>
          <w:rFonts w:hint="default" w:ascii="Times New Roman" w:hAnsi="Times New Roman" w:cs="Times New Roman"/>
          <w:color w:val="auto"/>
          <w:highlight w:val="none"/>
          <w:lang w:val="en-US" w:eastAsia="zh-CN"/>
        </w:rPr>
        <w:t>73</w:t>
      </w:r>
      <w:r>
        <w:rPr>
          <w:rFonts w:hint="default" w:ascii="Times New Roman" w:hAnsi="Times New Roman" w:cs="Times New Roman"/>
          <w:color w:val="auto"/>
          <w:highlight w:val="none"/>
        </w:rPr>
        <w:t>种，占所有鱼类的8</w:t>
      </w:r>
      <w:r>
        <w:rPr>
          <w:rFonts w:hint="default" w:ascii="Times New Roman" w:hAnsi="Times New Roman" w:cs="Times New Roman"/>
          <w:color w:val="auto"/>
          <w:highlight w:val="none"/>
          <w:lang w:val="en-US" w:eastAsia="zh-CN"/>
        </w:rPr>
        <w:t>1.1</w:t>
      </w:r>
      <w:r>
        <w:rPr>
          <w:rFonts w:hint="default" w:ascii="Times New Roman" w:hAnsi="Times New Roman" w:cs="Times New Roman"/>
          <w:color w:val="auto"/>
          <w:highlight w:val="none"/>
        </w:rPr>
        <w:t>%，其中，特有种</w:t>
      </w:r>
      <w:r>
        <w:rPr>
          <w:rFonts w:hint="default" w:ascii="Times New Roman" w:hAnsi="Times New Roman" w:cs="Times New Roman"/>
          <w:color w:val="auto"/>
          <w:highlight w:val="none"/>
          <w:lang w:val="en-US" w:eastAsia="zh-CN"/>
        </w:rPr>
        <w:t>21</w:t>
      </w:r>
      <w:r>
        <w:rPr>
          <w:rFonts w:hint="default" w:ascii="Times New Roman" w:hAnsi="Times New Roman" w:cs="Times New Roman"/>
          <w:color w:val="auto"/>
          <w:highlight w:val="none"/>
        </w:rPr>
        <w:t>种，占土著鱼类的</w:t>
      </w:r>
      <w:r>
        <w:rPr>
          <w:rFonts w:hint="default" w:ascii="Times New Roman" w:hAnsi="Times New Roman" w:cs="Times New Roman"/>
          <w:color w:val="auto"/>
          <w:highlight w:val="none"/>
          <w:lang w:val="en-US" w:eastAsia="zh-CN"/>
        </w:rPr>
        <w:t>23.3</w:t>
      </w:r>
      <w:r>
        <w:rPr>
          <w:rFonts w:hint="default" w:ascii="Times New Roman" w:hAnsi="Times New Roman" w:cs="Times New Roman"/>
          <w:color w:val="auto"/>
          <w:highlight w:val="none"/>
        </w:rPr>
        <w:t>%。鱼类名录详见</w:t>
      </w:r>
      <w:r>
        <w:rPr>
          <w:rFonts w:hint="default" w:ascii="Times New Roman" w:hAnsi="Times New Roman" w:cs="Times New Roman"/>
          <w:color w:val="auto"/>
          <w:highlight w:val="none"/>
          <w:lang w:val="en-US" w:eastAsia="zh-CN"/>
        </w:rPr>
        <w:t>附录</w:t>
      </w:r>
      <w:r>
        <w:rPr>
          <w:rFonts w:hint="default" w:ascii="Times New Roman" w:hAnsi="Times New Roman" w:cs="Times New Roman"/>
          <w:color w:val="auto"/>
          <w:highlight w:val="none"/>
        </w:rPr>
        <w:t>。</w:t>
      </w:r>
    </w:p>
    <w:p w14:paraId="1CFB6B19">
      <w:pPr>
        <w:ind w:firstLine="480"/>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rPr>
        <w:t>其中鲤形目种类最多，有4科</w:t>
      </w:r>
      <w:r>
        <w:rPr>
          <w:rFonts w:hint="default" w:ascii="Times New Roman" w:hAnsi="Times New Roman" w:eastAsia="宋体" w:cs="Times New Roman"/>
          <w:color w:val="auto"/>
          <w:sz w:val="24"/>
          <w:highlight w:val="none"/>
          <w:lang w:val="en-US" w:eastAsia="zh-CN"/>
        </w:rPr>
        <w:t>70</w:t>
      </w:r>
      <w:r>
        <w:rPr>
          <w:rFonts w:hint="default" w:ascii="Times New Roman" w:hAnsi="Times New Roman" w:eastAsia="宋体" w:cs="Times New Roman"/>
          <w:color w:val="auto"/>
          <w:sz w:val="24"/>
          <w:highlight w:val="none"/>
        </w:rPr>
        <w:t>种，占历史鱼类总数的</w:t>
      </w:r>
      <w:r>
        <w:rPr>
          <w:rFonts w:hint="default" w:ascii="Times New Roman" w:hAnsi="Times New Roman" w:eastAsia="宋体" w:cs="Times New Roman"/>
          <w:color w:val="auto"/>
          <w:sz w:val="24"/>
          <w:highlight w:val="none"/>
          <w:lang w:val="en-US" w:eastAsia="zh-CN"/>
        </w:rPr>
        <w:t>77.8</w:t>
      </w:r>
      <w:r>
        <w:rPr>
          <w:rFonts w:hint="default" w:ascii="Times New Roman" w:hAnsi="Times New Roman" w:eastAsia="宋体" w:cs="Times New Roman"/>
          <w:color w:val="auto"/>
          <w:sz w:val="24"/>
          <w:highlight w:val="none"/>
        </w:rPr>
        <w:t>%；鲇形目</w:t>
      </w:r>
      <w:r>
        <w:rPr>
          <w:rFonts w:hint="default" w:ascii="Times New Roman" w:hAnsi="Times New Roman" w:eastAsia="宋体" w:cs="Times New Roman"/>
          <w:color w:val="auto"/>
          <w:sz w:val="24"/>
          <w:highlight w:val="none"/>
          <w:lang w:val="en-US" w:eastAsia="zh-CN"/>
        </w:rPr>
        <w:t>5</w:t>
      </w:r>
      <w:r>
        <w:rPr>
          <w:rFonts w:hint="default" w:ascii="Times New Roman" w:hAnsi="Times New Roman" w:eastAsia="宋体" w:cs="Times New Roman"/>
          <w:color w:val="auto"/>
          <w:sz w:val="24"/>
          <w:highlight w:val="none"/>
        </w:rPr>
        <w:t>科</w:t>
      </w:r>
      <w:r>
        <w:rPr>
          <w:rFonts w:hint="default" w:ascii="Times New Roman" w:hAnsi="Times New Roman" w:eastAsia="宋体" w:cs="Times New Roman"/>
          <w:color w:val="auto"/>
          <w:sz w:val="24"/>
          <w:highlight w:val="none"/>
          <w:lang w:val="en-US" w:eastAsia="zh-CN"/>
        </w:rPr>
        <w:t>7</w:t>
      </w:r>
      <w:r>
        <w:rPr>
          <w:rFonts w:hint="default" w:ascii="Times New Roman" w:hAnsi="Times New Roman" w:eastAsia="宋体" w:cs="Times New Roman"/>
          <w:color w:val="auto"/>
          <w:sz w:val="24"/>
          <w:highlight w:val="none"/>
        </w:rPr>
        <w:t>种，占所有鱼类的</w:t>
      </w:r>
      <w:r>
        <w:rPr>
          <w:rFonts w:hint="default" w:ascii="Times New Roman" w:hAnsi="Times New Roman" w:eastAsia="宋体" w:cs="Times New Roman"/>
          <w:color w:val="auto"/>
          <w:sz w:val="24"/>
          <w:highlight w:val="none"/>
          <w:lang w:val="en-US" w:eastAsia="zh-CN"/>
        </w:rPr>
        <w:t>7.8</w:t>
      </w:r>
      <w:r>
        <w:rPr>
          <w:rFonts w:hint="default" w:ascii="Times New Roman" w:hAnsi="Times New Roman" w:eastAsia="宋体" w:cs="Times New Roman"/>
          <w:color w:val="auto"/>
          <w:sz w:val="24"/>
          <w:highlight w:val="none"/>
        </w:rPr>
        <w:t>%；鲈形目</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科</w:t>
      </w:r>
      <w:r>
        <w:rPr>
          <w:rFonts w:hint="default" w:ascii="Times New Roman" w:hAnsi="Times New Roman" w:eastAsia="宋体" w:cs="Times New Roman"/>
          <w:color w:val="auto"/>
          <w:sz w:val="24"/>
          <w:highlight w:val="none"/>
          <w:lang w:val="en-US" w:eastAsia="zh-CN"/>
        </w:rPr>
        <w:t>8</w:t>
      </w:r>
      <w:r>
        <w:rPr>
          <w:rFonts w:hint="default" w:ascii="Times New Roman" w:hAnsi="Times New Roman" w:eastAsia="宋体" w:cs="Times New Roman"/>
          <w:color w:val="auto"/>
          <w:sz w:val="24"/>
          <w:highlight w:val="none"/>
        </w:rPr>
        <w:t>种，占所有鱼类的</w:t>
      </w:r>
      <w:r>
        <w:rPr>
          <w:rFonts w:hint="default" w:ascii="Times New Roman" w:hAnsi="Times New Roman" w:eastAsia="宋体" w:cs="Times New Roman"/>
          <w:color w:val="auto"/>
          <w:sz w:val="24"/>
          <w:highlight w:val="none"/>
          <w:lang w:val="en-US" w:eastAsia="zh-CN"/>
        </w:rPr>
        <w:t>8.9</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颌针鱼目2科2种，占所有鱼类的2.2%；其余胡瓜鱼、鳉形目、合鳃鱼目各1科1种，分别占所有鱼类的1.1%。</w:t>
      </w:r>
      <w:r>
        <w:rPr>
          <w:rFonts w:hint="default" w:ascii="Times New Roman" w:hAnsi="Times New Roman" w:eastAsia="宋体" w:cs="Times New Roman"/>
          <w:color w:val="auto"/>
          <w:sz w:val="24"/>
          <w:highlight w:val="none"/>
        </w:rPr>
        <w:t>评价区鱼类组成</w:t>
      </w:r>
      <w:r>
        <w:rPr>
          <w:rFonts w:hint="default" w:ascii="Times New Roman" w:hAnsi="Times New Roman" w:eastAsia="宋体" w:cs="Times New Roman"/>
          <w:color w:val="auto"/>
          <w:sz w:val="24"/>
          <w:highlight w:val="none"/>
          <w:lang w:eastAsia="zh-CN"/>
        </w:rPr>
        <w:t>见下</w:t>
      </w:r>
      <w:r>
        <w:rPr>
          <w:rFonts w:hint="default" w:ascii="Times New Roman" w:hAnsi="Times New Roman" w:eastAsia="宋体" w:cs="Times New Roman"/>
          <w:color w:val="auto"/>
          <w:sz w:val="24"/>
          <w:highlight w:val="none"/>
        </w:rPr>
        <w:t>表</w:t>
      </w:r>
      <w:r>
        <w:rPr>
          <w:rFonts w:hint="default" w:ascii="Times New Roman" w:hAnsi="Times New Roman" w:eastAsia="宋体" w:cs="Times New Roman"/>
          <w:color w:val="auto"/>
          <w:sz w:val="24"/>
          <w:highlight w:val="none"/>
          <w:lang w:eastAsia="zh-CN"/>
        </w:rPr>
        <w:t>。</w:t>
      </w:r>
    </w:p>
    <w:p w14:paraId="60EC5748">
      <w:pPr>
        <w:pStyle w:val="41"/>
        <w:numPr>
          <w:ilvl w:val="5"/>
          <w:numId w:val="0"/>
        </w:numPr>
        <w:ind w:left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3.4.2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SEQ 表 \* ARABIC \s 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1</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lang w:val="en-US" w:eastAsia="zh-CN"/>
        </w:rPr>
        <w:t>历史鱼类组成</w:t>
      </w:r>
      <w:r>
        <w:rPr>
          <w:rFonts w:hint="default" w:ascii="Times New Roman" w:hAnsi="Times New Roman" w:cs="Times New Roman"/>
          <w:color w:val="auto"/>
          <w:highlight w:val="none"/>
        </w:rPr>
        <w:t>表</w:t>
      </w:r>
    </w:p>
    <w:tbl>
      <w:tblPr>
        <w:tblStyle w:val="22"/>
        <w:tblW w:w="85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03"/>
        <w:gridCol w:w="3330"/>
        <w:gridCol w:w="886"/>
      </w:tblGrid>
      <w:tr w14:paraId="000C8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auto" w:sz="12" w:space="0"/>
              <w:left w:val="single" w:color="auto" w:sz="12" w:space="0"/>
              <w:bottom w:val="nil"/>
              <w:right w:val="nil"/>
            </w:tcBorders>
            <w:shd w:val="clear" w:color="auto" w:fill="auto"/>
            <w:noWrap w:val="0"/>
            <w:tcMar>
              <w:top w:w="-1" w:type="dxa"/>
              <w:left w:w="-1" w:type="dxa"/>
              <w:bottom w:w="-1" w:type="dxa"/>
              <w:right w:w="-1" w:type="dxa"/>
            </w:tcMar>
            <w:vAlign w:val="center"/>
          </w:tcPr>
          <w:p w14:paraId="6AF5B04A">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Style w:val="43"/>
                <w:rFonts w:hint="default" w:ascii="Times New Roman" w:hAnsi="Times New Roman" w:eastAsia="宋体" w:cs="Times New Roman"/>
                <w:b/>
                <w:color w:val="auto"/>
                <w:sz w:val="21"/>
                <w:szCs w:val="21"/>
                <w:highlight w:val="none"/>
                <w:lang w:val="en-US" w:eastAsia="zh-CN" w:bidi="ar"/>
              </w:rPr>
              <w:t>目</w:t>
            </w:r>
          </w:p>
        </w:tc>
        <w:tc>
          <w:tcPr>
            <w:tcW w:w="0" w:type="auto"/>
            <w:tcBorders>
              <w:top w:val="single" w:color="auto" w:sz="12" w:space="0"/>
              <w:left w:val="single" w:color="auto" w:sz="4" w:space="0"/>
              <w:bottom w:val="nil"/>
              <w:right w:val="nil"/>
            </w:tcBorders>
            <w:shd w:val="clear" w:color="auto" w:fill="auto"/>
            <w:noWrap w:val="0"/>
            <w:tcMar>
              <w:top w:w="-1" w:type="dxa"/>
              <w:left w:w="-1" w:type="dxa"/>
              <w:bottom w:w="-1" w:type="dxa"/>
              <w:right w:w="-1" w:type="dxa"/>
            </w:tcMar>
            <w:vAlign w:val="center"/>
          </w:tcPr>
          <w:p w14:paraId="2E1BE083">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Style w:val="43"/>
                <w:rFonts w:hint="default" w:ascii="Times New Roman" w:hAnsi="Times New Roman" w:eastAsia="宋体" w:cs="Times New Roman"/>
                <w:b/>
                <w:color w:val="auto"/>
                <w:sz w:val="21"/>
                <w:szCs w:val="21"/>
                <w:highlight w:val="none"/>
                <w:lang w:val="en-US" w:eastAsia="zh-CN" w:bidi="ar"/>
              </w:rPr>
              <w:t>科</w:t>
            </w:r>
          </w:p>
        </w:tc>
        <w:tc>
          <w:tcPr>
            <w:tcW w:w="886" w:type="dxa"/>
            <w:tcBorders>
              <w:top w:val="single" w:color="auto" w:sz="12"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3A4B08D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i w:val="0"/>
                <w:iCs w:val="0"/>
                <w:color w:val="auto"/>
                <w:sz w:val="21"/>
                <w:szCs w:val="21"/>
                <w:highlight w:val="none"/>
                <w:u w:val="none"/>
              </w:rPr>
            </w:pPr>
            <w:r>
              <w:rPr>
                <w:rFonts w:hint="default" w:ascii="Times New Roman" w:hAnsi="Times New Roman" w:eastAsia="宋体" w:cs="Times New Roman"/>
                <w:b/>
                <w:i w:val="0"/>
                <w:iCs w:val="0"/>
                <w:color w:val="auto"/>
                <w:kern w:val="0"/>
                <w:sz w:val="21"/>
                <w:szCs w:val="21"/>
                <w:highlight w:val="none"/>
                <w:u w:val="none"/>
                <w:lang w:val="en-US" w:eastAsia="zh-CN" w:bidi="ar"/>
              </w:rPr>
              <w:t>种</w:t>
            </w:r>
          </w:p>
        </w:tc>
      </w:tr>
      <w:tr w14:paraId="293C9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6F0009E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鲤形目</w:t>
            </w:r>
            <w:r>
              <w:rPr>
                <w:rFonts w:hint="default" w:ascii="Times New Roman" w:hAnsi="Times New Roman" w:eastAsia="宋体" w:cs="Times New Roman"/>
                <w:i w:val="0"/>
                <w:iCs w:val="0"/>
                <w:color w:val="auto"/>
                <w:kern w:val="0"/>
                <w:sz w:val="21"/>
                <w:szCs w:val="21"/>
                <w:highlight w:val="none"/>
                <w:u w:val="none"/>
                <w:lang w:val="en-US" w:eastAsia="zh-CN" w:bidi="ar"/>
              </w:rPr>
              <w:t>CYPRINIFORMES</w:t>
            </w: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00B68C5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鳅科</w:t>
            </w:r>
            <w:r>
              <w:rPr>
                <w:rFonts w:hint="default" w:ascii="Times New Roman" w:hAnsi="Times New Roman" w:eastAsia="宋体" w:cs="Times New Roman"/>
                <w:i w:val="0"/>
                <w:iCs w:val="0"/>
                <w:color w:val="auto"/>
                <w:kern w:val="0"/>
                <w:sz w:val="21"/>
                <w:szCs w:val="21"/>
                <w:highlight w:val="none"/>
                <w:u w:val="none"/>
                <w:lang w:val="en-US" w:eastAsia="zh-CN" w:bidi="ar"/>
              </w:rPr>
              <w:t>Cobitidae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4808B7C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r>
      <w:tr w14:paraId="7EF6D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77DF1C04">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21E34EF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爬鳅科</w:t>
            </w:r>
            <w:r>
              <w:rPr>
                <w:rFonts w:hint="default" w:ascii="Times New Roman" w:hAnsi="Times New Roman" w:eastAsia="宋体" w:cs="Times New Roman"/>
                <w:i w:val="0"/>
                <w:iCs w:val="0"/>
                <w:color w:val="auto"/>
                <w:kern w:val="0"/>
                <w:sz w:val="21"/>
                <w:szCs w:val="21"/>
                <w:highlight w:val="none"/>
                <w:u w:val="none"/>
                <w:lang w:val="en-US" w:eastAsia="zh-CN" w:bidi="ar"/>
              </w:rPr>
              <w:t>Balitoridae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586FBF72">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r>
      <w:tr w14:paraId="36C04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0E1A53AD">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078566E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条鳅科</w:t>
            </w:r>
            <w:r>
              <w:rPr>
                <w:rFonts w:hint="default" w:ascii="Times New Roman" w:hAnsi="Times New Roman" w:eastAsia="宋体" w:cs="Times New Roman"/>
                <w:i w:val="0"/>
                <w:iCs w:val="0"/>
                <w:color w:val="auto"/>
                <w:kern w:val="0"/>
                <w:sz w:val="21"/>
                <w:szCs w:val="21"/>
                <w:highlight w:val="none"/>
                <w:u w:val="none"/>
                <w:lang w:val="en-US" w:eastAsia="zh-CN" w:bidi="ar"/>
              </w:rPr>
              <w:t>Nemacheilidae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005404E5">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15</w:t>
            </w:r>
          </w:p>
        </w:tc>
      </w:tr>
      <w:tr w14:paraId="15002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1F11C2C3">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38A52A4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鲤科</w:t>
            </w:r>
            <w:r>
              <w:rPr>
                <w:rFonts w:hint="default" w:ascii="Times New Roman" w:hAnsi="Times New Roman" w:eastAsia="宋体" w:cs="Times New Roman"/>
                <w:i w:val="0"/>
                <w:iCs w:val="0"/>
                <w:color w:val="auto"/>
                <w:kern w:val="0"/>
                <w:sz w:val="21"/>
                <w:szCs w:val="21"/>
                <w:highlight w:val="none"/>
                <w:u w:val="none"/>
                <w:lang w:val="en-US" w:eastAsia="zh-CN" w:bidi="ar"/>
              </w:rPr>
              <w:t>Cyprinidae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5A7C2B3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46</w:t>
            </w:r>
          </w:p>
        </w:tc>
      </w:tr>
      <w:tr w14:paraId="3ED9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2DBBC7B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鲇形目</w:t>
            </w:r>
            <w:r>
              <w:rPr>
                <w:rFonts w:hint="default" w:ascii="Times New Roman" w:hAnsi="Times New Roman" w:eastAsia="宋体" w:cs="Times New Roman"/>
                <w:i w:val="0"/>
                <w:iCs w:val="0"/>
                <w:color w:val="auto"/>
                <w:kern w:val="0"/>
                <w:sz w:val="21"/>
                <w:szCs w:val="21"/>
                <w:highlight w:val="none"/>
                <w:u w:val="none"/>
                <w:lang w:val="en-US" w:eastAsia="zh-CN" w:bidi="ar"/>
              </w:rPr>
              <w:t>SILURIFORMES</w:t>
            </w: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16082BD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甲鲇科</w:t>
            </w:r>
            <w:r>
              <w:rPr>
                <w:rFonts w:hint="default" w:ascii="Times New Roman" w:hAnsi="Times New Roman" w:eastAsia="宋体" w:cs="Times New Roman"/>
                <w:i w:val="0"/>
                <w:iCs w:val="0"/>
                <w:color w:val="auto"/>
                <w:kern w:val="0"/>
                <w:sz w:val="21"/>
                <w:szCs w:val="21"/>
                <w:highlight w:val="none"/>
                <w:u w:val="none"/>
                <w:lang w:val="en-US" w:eastAsia="zh-CN" w:bidi="ar"/>
              </w:rPr>
              <w:t>Loricariidae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6787E4C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29E65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5959F056">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2417577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胡子鲇科</w:t>
            </w:r>
            <w:r>
              <w:rPr>
                <w:rFonts w:hint="default" w:ascii="Times New Roman" w:hAnsi="Times New Roman" w:eastAsia="宋体" w:cs="Times New Roman"/>
                <w:i w:val="0"/>
                <w:iCs w:val="0"/>
                <w:color w:val="auto"/>
                <w:kern w:val="0"/>
                <w:sz w:val="21"/>
                <w:szCs w:val="21"/>
                <w:highlight w:val="none"/>
                <w:u w:val="none"/>
                <w:lang w:val="en-US" w:eastAsia="zh-CN" w:bidi="ar"/>
              </w:rPr>
              <w:t>Clariidae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5470004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68DBA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3"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288A6A0E">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6DE7796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鲿科</w:t>
            </w:r>
            <w:r>
              <w:rPr>
                <w:rFonts w:hint="default" w:ascii="Times New Roman" w:hAnsi="Times New Roman" w:eastAsia="宋体" w:cs="Times New Roman"/>
                <w:i w:val="0"/>
                <w:iCs w:val="0"/>
                <w:color w:val="auto"/>
                <w:kern w:val="0"/>
                <w:sz w:val="21"/>
                <w:szCs w:val="21"/>
                <w:highlight w:val="none"/>
                <w:u w:val="none"/>
                <w:lang w:val="en-US" w:eastAsia="zh-CN" w:bidi="ar"/>
              </w:rPr>
              <w:t>Bagridae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52BC578B">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51152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47177530">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6936953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鲇科</w:t>
            </w:r>
            <w:r>
              <w:rPr>
                <w:rFonts w:hint="default" w:ascii="Times New Roman" w:hAnsi="Times New Roman" w:eastAsia="宋体" w:cs="Times New Roman"/>
                <w:i w:val="0"/>
                <w:iCs w:val="0"/>
                <w:color w:val="auto"/>
                <w:kern w:val="0"/>
                <w:sz w:val="21"/>
                <w:szCs w:val="21"/>
                <w:highlight w:val="none"/>
                <w:u w:val="none"/>
                <w:lang w:val="en-US" w:eastAsia="zh-CN" w:bidi="ar"/>
              </w:rPr>
              <w:t>Siluridae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1B37078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01C07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597F1F31">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48AC123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鮡科</w:t>
            </w:r>
            <w:r>
              <w:rPr>
                <w:rFonts w:hint="default" w:ascii="Times New Roman" w:hAnsi="Times New Roman" w:eastAsia="宋体" w:cs="Times New Roman"/>
                <w:i w:val="0"/>
                <w:iCs w:val="0"/>
                <w:color w:val="auto"/>
                <w:kern w:val="0"/>
                <w:sz w:val="21"/>
                <w:szCs w:val="21"/>
                <w:highlight w:val="none"/>
                <w:u w:val="none"/>
                <w:lang w:val="en-US" w:eastAsia="zh-CN" w:bidi="ar"/>
              </w:rPr>
              <w:t>Sisoridae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6B2B30CD">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14D64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724CA1D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胡瓜鱼目</w:t>
            </w:r>
            <w:r>
              <w:rPr>
                <w:rFonts w:hint="default" w:ascii="Times New Roman" w:hAnsi="Times New Roman" w:eastAsia="宋体" w:cs="Times New Roman"/>
                <w:i w:val="0"/>
                <w:iCs w:val="0"/>
                <w:color w:val="auto"/>
                <w:kern w:val="0"/>
                <w:sz w:val="21"/>
                <w:szCs w:val="21"/>
                <w:highlight w:val="none"/>
                <w:u w:val="none"/>
                <w:lang w:val="en-US" w:eastAsia="zh-CN" w:bidi="ar"/>
              </w:rPr>
              <w:t>OSMERIFORMES</w:t>
            </w: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4AE1145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银鱼科</w:t>
            </w:r>
            <w:r>
              <w:rPr>
                <w:rFonts w:hint="default" w:ascii="Times New Roman" w:hAnsi="Times New Roman" w:eastAsia="宋体" w:cs="Times New Roman"/>
                <w:i w:val="0"/>
                <w:iCs w:val="0"/>
                <w:color w:val="auto"/>
                <w:kern w:val="0"/>
                <w:sz w:val="21"/>
                <w:szCs w:val="21"/>
                <w:highlight w:val="none"/>
                <w:u w:val="none"/>
                <w:lang w:val="en-US" w:eastAsia="zh-CN" w:bidi="ar"/>
              </w:rPr>
              <w:t>Salangidae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1E3374A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461B7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4C2CFE2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颌针鱼目</w:t>
            </w:r>
            <w:r>
              <w:rPr>
                <w:rFonts w:hint="default" w:ascii="Times New Roman" w:hAnsi="Times New Roman" w:eastAsia="宋体" w:cs="Times New Roman"/>
                <w:i w:val="0"/>
                <w:iCs w:val="0"/>
                <w:color w:val="auto"/>
                <w:kern w:val="0"/>
                <w:sz w:val="21"/>
                <w:szCs w:val="21"/>
                <w:highlight w:val="none"/>
                <w:u w:val="none"/>
                <w:lang w:val="en-US" w:eastAsia="zh-CN" w:bidi="ar"/>
              </w:rPr>
              <w:t>BELONIFORMES</w:t>
            </w: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0124248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鱵科</w:t>
            </w:r>
            <w:r>
              <w:rPr>
                <w:rFonts w:hint="default" w:ascii="Times New Roman" w:hAnsi="Times New Roman" w:eastAsia="宋体" w:cs="Times New Roman"/>
                <w:i w:val="0"/>
                <w:iCs w:val="0"/>
                <w:color w:val="auto"/>
                <w:kern w:val="0"/>
                <w:sz w:val="21"/>
                <w:szCs w:val="21"/>
                <w:highlight w:val="none"/>
                <w:u w:val="none"/>
                <w:lang w:val="en-US" w:eastAsia="zh-CN" w:bidi="ar"/>
              </w:rPr>
              <w:t>Hemiramphidae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77BC6A6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06EE2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79DEB247">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7673041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怪颌鳉科</w:t>
            </w:r>
            <w:r>
              <w:rPr>
                <w:rFonts w:hint="default" w:ascii="Times New Roman" w:hAnsi="Times New Roman" w:eastAsia="宋体" w:cs="Times New Roman"/>
                <w:i w:val="0"/>
                <w:iCs w:val="0"/>
                <w:color w:val="auto"/>
                <w:kern w:val="0"/>
                <w:sz w:val="21"/>
                <w:szCs w:val="21"/>
                <w:highlight w:val="none"/>
                <w:u w:val="none"/>
                <w:lang w:val="en-US" w:eastAsia="zh-CN" w:bidi="ar"/>
              </w:rPr>
              <w:t>Adrianichthyidae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7FE4B3FC">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2049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6708BFF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鳉形目</w:t>
            </w:r>
            <w:r>
              <w:rPr>
                <w:rFonts w:hint="default" w:ascii="Times New Roman" w:hAnsi="Times New Roman" w:eastAsia="宋体" w:cs="Times New Roman"/>
                <w:i w:val="0"/>
                <w:iCs w:val="0"/>
                <w:color w:val="auto"/>
                <w:kern w:val="0"/>
                <w:sz w:val="21"/>
                <w:szCs w:val="21"/>
                <w:highlight w:val="none"/>
                <w:u w:val="none"/>
                <w:lang w:val="en-US" w:eastAsia="zh-CN" w:bidi="ar"/>
              </w:rPr>
              <w:t>CYPRINODONTIFORMES</w:t>
            </w: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7FD5828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胎鳉科</w:t>
            </w:r>
            <w:r>
              <w:rPr>
                <w:rFonts w:hint="default" w:ascii="Times New Roman" w:hAnsi="Times New Roman" w:eastAsia="宋体" w:cs="Times New Roman"/>
                <w:i w:val="0"/>
                <w:iCs w:val="0"/>
                <w:color w:val="auto"/>
                <w:kern w:val="0"/>
                <w:sz w:val="21"/>
                <w:szCs w:val="21"/>
                <w:highlight w:val="none"/>
                <w:u w:val="none"/>
                <w:lang w:val="en-US" w:eastAsia="zh-CN" w:bidi="ar"/>
              </w:rPr>
              <w:t>Poeciliidae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755E4E0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51614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00206B8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合鳃鱼目</w:t>
            </w:r>
            <w:r>
              <w:rPr>
                <w:rFonts w:hint="default" w:ascii="Times New Roman" w:hAnsi="Times New Roman" w:eastAsia="宋体" w:cs="Times New Roman"/>
                <w:i w:val="0"/>
                <w:iCs w:val="0"/>
                <w:color w:val="auto"/>
                <w:kern w:val="0"/>
                <w:sz w:val="21"/>
                <w:szCs w:val="21"/>
                <w:highlight w:val="none"/>
                <w:u w:val="none"/>
                <w:lang w:val="en-US" w:eastAsia="zh-CN" w:bidi="ar"/>
              </w:rPr>
              <w:t>SYNBRANCHIFORMES</w:t>
            </w: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4ED79C3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合鳃鱼科</w:t>
            </w:r>
            <w:r>
              <w:rPr>
                <w:rFonts w:hint="default" w:ascii="Times New Roman" w:hAnsi="Times New Roman" w:eastAsia="宋体" w:cs="Times New Roman"/>
                <w:i w:val="0"/>
                <w:iCs w:val="0"/>
                <w:color w:val="auto"/>
                <w:kern w:val="0"/>
                <w:sz w:val="21"/>
                <w:szCs w:val="21"/>
                <w:highlight w:val="none"/>
                <w:u w:val="none"/>
                <w:lang w:val="en-US" w:eastAsia="zh-CN" w:bidi="ar"/>
              </w:rPr>
              <w:t>Synbranchidae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28B2AEC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40E7C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2E0AD6F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鲈形目</w:t>
            </w:r>
            <w:r>
              <w:rPr>
                <w:rFonts w:hint="default" w:ascii="Times New Roman" w:hAnsi="Times New Roman" w:eastAsia="宋体" w:cs="Times New Roman"/>
                <w:i w:val="0"/>
                <w:iCs w:val="0"/>
                <w:color w:val="auto"/>
                <w:kern w:val="0"/>
                <w:sz w:val="21"/>
                <w:szCs w:val="21"/>
                <w:highlight w:val="none"/>
                <w:u w:val="none"/>
                <w:lang w:val="en-US" w:eastAsia="zh-CN" w:bidi="ar"/>
              </w:rPr>
              <w:t>PERCIFORMES</w:t>
            </w: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4111D11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丽鱼科</w:t>
            </w:r>
            <w:r>
              <w:rPr>
                <w:rFonts w:hint="default" w:ascii="Times New Roman" w:hAnsi="Times New Roman" w:eastAsia="宋体" w:cs="Times New Roman"/>
                <w:i w:val="0"/>
                <w:iCs w:val="0"/>
                <w:color w:val="auto"/>
                <w:kern w:val="0"/>
                <w:sz w:val="21"/>
                <w:szCs w:val="21"/>
                <w:highlight w:val="none"/>
                <w:u w:val="none"/>
                <w:lang w:val="en-US" w:eastAsia="zh-CN" w:bidi="ar"/>
              </w:rPr>
              <w:t>Cichlidae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79A6DDD8">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58B0F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22033C2E">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45BDD38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沙塘鳢科</w:t>
            </w:r>
            <w:r>
              <w:rPr>
                <w:rFonts w:hint="default" w:ascii="Times New Roman" w:hAnsi="Times New Roman" w:eastAsia="宋体" w:cs="Times New Roman"/>
                <w:i w:val="0"/>
                <w:iCs w:val="0"/>
                <w:color w:val="auto"/>
                <w:kern w:val="0"/>
                <w:sz w:val="21"/>
                <w:szCs w:val="21"/>
                <w:highlight w:val="none"/>
                <w:u w:val="none"/>
                <w:lang w:val="en-US" w:eastAsia="zh-CN" w:bidi="ar"/>
              </w:rPr>
              <w:t>Odontobutidae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2958BCD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r>
      <w:tr w14:paraId="6FCD9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31F99F34">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170DC9D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鰕虎鱼科</w:t>
            </w:r>
            <w:r>
              <w:rPr>
                <w:rFonts w:hint="default" w:ascii="Times New Roman" w:hAnsi="Times New Roman" w:eastAsia="宋体" w:cs="Times New Roman"/>
                <w:i w:val="0"/>
                <w:iCs w:val="0"/>
                <w:color w:val="auto"/>
                <w:kern w:val="0"/>
                <w:sz w:val="21"/>
                <w:szCs w:val="21"/>
                <w:highlight w:val="none"/>
                <w:u w:val="none"/>
                <w:lang w:val="en-US" w:eastAsia="zh-CN" w:bidi="ar"/>
              </w:rPr>
              <w:t>Gobiidae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2BA82B56">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r>
      <w:tr w14:paraId="3B1E6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vMerge w:val="continue"/>
            <w:tcBorders>
              <w:top w:val="single" w:color="auto" w:sz="4" w:space="0"/>
              <w:left w:val="single" w:color="auto" w:sz="12" w:space="0"/>
              <w:bottom w:val="nil"/>
              <w:right w:val="nil"/>
            </w:tcBorders>
            <w:shd w:val="clear" w:color="auto" w:fill="auto"/>
            <w:noWrap w:val="0"/>
            <w:tcMar>
              <w:top w:w="-1" w:type="dxa"/>
              <w:left w:w="-1" w:type="dxa"/>
              <w:bottom w:w="-1" w:type="dxa"/>
              <w:right w:w="-1" w:type="dxa"/>
            </w:tcMar>
            <w:vAlign w:val="center"/>
          </w:tcPr>
          <w:p w14:paraId="597E4D63">
            <w:pPr>
              <w:snapToGrid w:val="0"/>
              <w:ind w:left="0" w:leftChars="0" w:right="0" w:rightChars="0" w:firstLine="0" w:firstLineChars="0"/>
              <w:jc w:val="left"/>
              <w:rPr>
                <w:rFonts w:hint="default" w:ascii="Times New Roman" w:hAnsi="Times New Roman" w:eastAsia="宋体" w:cs="Times New Roman"/>
                <w:i w:val="0"/>
                <w:iCs w:val="0"/>
                <w:color w:val="auto"/>
                <w:sz w:val="21"/>
                <w:szCs w:val="21"/>
                <w:highlight w:val="none"/>
                <w:u w:val="none"/>
              </w:rPr>
            </w:pPr>
          </w:p>
        </w:tc>
        <w:tc>
          <w:tcPr>
            <w:tcW w:w="0" w:type="auto"/>
            <w:tcBorders>
              <w:top w:val="single" w:color="auto" w:sz="4" w:space="0"/>
              <w:left w:val="single" w:color="auto" w:sz="4" w:space="0"/>
              <w:bottom w:val="nil"/>
              <w:right w:val="nil"/>
            </w:tcBorders>
            <w:shd w:val="clear" w:color="auto" w:fill="auto"/>
            <w:noWrap w:val="0"/>
            <w:tcMar>
              <w:top w:w="-1" w:type="dxa"/>
              <w:left w:w="-1" w:type="dxa"/>
              <w:bottom w:w="-1" w:type="dxa"/>
              <w:right w:w="-1" w:type="dxa"/>
            </w:tcMar>
            <w:vAlign w:val="center"/>
          </w:tcPr>
          <w:p w14:paraId="67A95AD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i w:val="0"/>
                <w:iCs w:val="0"/>
                <w:color w:val="auto"/>
                <w:sz w:val="21"/>
                <w:szCs w:val="21"/>
                <w:highlight w:val="none"/>
                <w:u w:val="none"/>
              </w:rPr>
            </w:pPr>
            <w:r>
              <w:rPr>
                <w:rStyle w:val="43"/>
                <w:rFonts w:hint="default" w:ascii="Times New Roman" w:hAnsi="Times New Roman" w:eastAsia="宋体" w:cs="Times New Roman"/>
                <w:color w:val="auto"/>
                <w:sz w:val="21"/>
                <w:szCs w:val="21"/>
                <w:highlight w:val="none"/>
                <w:lang w:val="en-US" w:eastAsia="zh-CN" w:bidi="ar"/>
              </w:rPr>
              <w:t>鳢科</w:t>
            </w:r>
            <w:r>
              <w:rPr>
                <w:rFonts w:hint="default" w:ascii="Times New Roman" w:hAnsi="Times New Roman" w:eastAsia="宋体" w:cs="Times New Roman"/>
                <w:i w:val="0"/>
                <w:iCs w:val="0"/>
                <w:color w:val="auto"/>
                <w:kern w:val="0"/>
                <w:sz w:val="21"/>
                <w:szCs w:val="21"/>
                <w:highlight w:val="none"/>
                <w:u w:val="none"/>
                <w:lang w:val="en-US" w:eastAsia="zh-CN" w:bidi="ar"/>
              </w:rPr>
              <w:t>Channidae</w:t>
            </w:r>
          </w:p>
        </w:tc>
        <w:tc>
          <w:tcPr>
            <w:tcW w:w="886" w:type="dxa"/>
            <w:tcBorders>
              <w:top w:val="single" w:color="auto" w:sz="4" w:space="0"/>
              <w:left w:val="single" w:color="auto" w:sz="4" w:space="0"/>
              <w:bottom w:val="nil"/>
              <w:right w:val="single" w:color="auto" w:sz="12" w:space="0"/>
            </w:tcBorders>
            <w:shd w:val="clear" w:color="auto" w:fill="auto"/>
            <w:noWrap w:val="0"/>
            <w:tcMar>
              <w:top w:w="-1" w:type="dxa"/>
              <w:left w:w="-1" w:type="dxa"/>
              <w:bottom w:w="-1" w:type="dxa"/>
              <w:right w:w="-1" w:type="dxa"/>
            </w:tcMar>
            <w:vAlign w:val="center"/>
          </w:tcPr>
          <w:p w14:paraId="6459D9EE">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w:t>
            </w:r>
          </w:p>
        </w:tc>
      </w:tr>
      <w:tr w14:paraId="72265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303" w:type="dxa"/>
            <w:tcBorders>
              <w:top w:val="single" w:color="auto" w:sz="4" w:space="0"/>
              <w:left w:val="single" w:color="auto" w:sz="12" w:space="0"/>
              <w:bottom w:val="single" w:color="auto" w:sz="12" w:space="0"/>
              <w:right w:val="nil"/>
            </w:tcBorders>
            <w:shd w:val="clear" w:color="auto" w:fill="auto"/>
            <w:noWrap w:val="0"/>
            <w:tcMar>
              <w:top w:w="-1" w:type="dxa"/>
              <w:left w:w="-1" w:type="dxa"/>
              <w:bottom w:w="-1" w:type="dxa"/>
              <w:right w:w="-1" w:type="dxa"/>
            </w:tcMar>
            <w:vAlign w:val="center"/>
          </w:tcPr>
          <w:p w14:paraId="6995525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7</w:t>
            </w:r>
            <w:r>
              <w:rPr>
                <w:rStyle w:val="44"/>
                <w:rFonts w:hint="default" w:ascii="Times New Roman" w:hAnsi="Times New Roman" w:eastAsia="宋体" w:cs="Times New Roman"/>
                <w:color w:val="auto"/>
                <w:sz w:val="21"/>
                <w:szCs w:val="21"/>
                <w:highlight w:val="none"/>
                <w:lang w:val="en-US" w:eastAsia="zh-CN" w:bidi="ar"/>
              </w:rPr>
              <w:t>目</w:t>
            </w:r>
          </w:p>
        </w:tc>
        <w:tc>
          <w:tcPr>
            <w:tcW w:w="3330" w:type="dxa"/>
            <w:tcBorders>
              <w:top w:val="single" w:color="auto" w:sz="4" w:space="0"/>
              <w:left w:val="single" w:color="auto" w:sz="4" w:space="0"/>
              <w:bottom w:val="single" w:color="auto" w:sz="12" w:space="0"/>
              <w:right w:val="nil"/>
            </w:tcBorders>
            <w:shd w:val="clear" w:color="auto" w:fill="auto"/>
            <w:noWrap w:val="0"/>
            <w:tcMar>
              <w:top w:w="-1" w:type="dxa"/>
              <w:left w:w="-1" w:type="dxa"/>
              <w:bottom w:w="-1" w:type="dxa"/>
              <w:right w:w="-1" w:type="dxa"/>
            </w:tcMar>
            <w:vAlign w:val="center"/>
          </w:tcPr>
          <w:p w14:paraId="1D64EEA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18</w:t>
            </w:r>
            <w:r>
              <w:rPr>
                <w:rStyle w:val="44"/>
                <w:rFonts w:hint="default" w:ascii="Times New Roman" w:hAnsi="Times New Roman" w:eastAsia="宋体" w:cs="Times New Roman"/>
                <w:color w:val="auto"/>
                <w:sz w:val="21"/>
                <w:szCs w:val="21"/>
                <w:highlight w:val="none"/>
                <w:lang w:val="en-US" w:eastAsia="zh-CN" w:bidi="ar"/>
              </w:rPr>
              <w:t>科</w:t>
            </w:r>
          </w:p>
        </w:tc>
        <w:tc>
          <w:tcPr>
            <w:tcW w:w="886" w:type="dxa"/>
            <w:tcBorders>
              <w:top w:val="single" w:color="auto" w:sz="4" w:space="0"/>
              <w:left w:val="single" w:color="auto" w:sz="4" w:space="0"/>
              <w:bottom w:val="single" w:color="auto" w:sz="12" w:space="0"/>
              <w:right w:val="single" w:color="auto" w:sz="12" w:space="0"/>
            </w:tcBorders>
            <w:shd w:val="clear" w:color="auto" w:fill="auto"/>
            <w:noWrap w:val="0"/>
            <w:tcMar>
              <w:top w:w="-1" w:type="dxa"/>
              <w:left w:w="-1" w:type="dxa"/>
              <w:bottom w:w="-1" w:type="dxa"/>
              <w:right w:w="-1" w:type="dxa"/>
            </w:tcMar>
            <w:vAlign w:val="center"/>
          </w:tcPr>
          <w:p w14:paraId="3CDAF804">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90种</w:t>
            </w:r>
          </w:p>
        </w:tc>
      </w:tr>
    </w:tbl>
    <w:p w14:paraId="72A6CE42">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鱼类区系特征</w:t>
      </w:r>
    </w:p>
    <w:p w14:paraId="27A737CB">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为了</w:t>
      </w:r>
      <w:r>
        <w:rPr>
          <w:rFonts w:hint="default" w:ascii="Times New Roman" w:hAnsi="Times New Roman" w:cs="Times New Roman"/>
          <w:color w:val="auto"/>
          <w:highlight w:val="none"/>
          <w:lang w:val="en-US" w:eastAsia="zh-CN"/>
        </w:rPr>
        <w:t>更好地反映评价区内鱼类区系的特点，鱼类区系评价以鱼类历史分布数据为基础，分析时剔除了大鳞副泥鳅、鲮、尖齿胡子鲇、黄颡鱼、太湖新银鱼、间下鱵鱼、食蚊鱼、莫桑比克罗非鱼、小黄䱂鱼、波氏吻鰕虎鱼等外来物种，以及草鱼、青鱼、鲢、鳙等引入养殖鱼类，剩余70种鱼类进行区系评价。鱼类区系类型的划分主要依据《中国动物志：硬骨鱼纲·鲤形目（中卷）》（陈宜瑜，1998）。</w:t>
      </w:r>
    </w:p>
    <w:p w14:paraId="57105150">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范围内缺乏以雅罗鱼亚科为代表的“北方冷水性类群”；以鲤科的鲌亚科（7种）、鲴亚科、鲢亚科、雅罗鱼亚科的东亚群）和鮈亚科（3种）为“东亚类群”的代表，鳅科（2种）、鲿科（1种）可划入该类群，东亚类群物种数占区系评价鱼类总种数的18.6%；以鲤科的鿕亚科（2种）、鲃亚科（16种）、鲤亚科（0种）和鱊亚科（1种）为“老第三纪原始类群”的代表，占评价鱼类总种数的27.1%；以野鲮亚科为代表的“南方类群”，评价区分布8种，爬鳅科（6种）、条鳅科（10种）可划入该类群，南方类群占区系评价鱼类总种数的34.3%；以裂腹鱼亚科为代表的“青藏高原类群”分布2种，条鳅科（5种）、鮡科（2种）可划入该类群，青藏高原类群物种数占区系评价鱼类总种数的12.9%。</w:t>
      </w:r>
    </w:p>
    <w:p w14:paraId="4D6FBA35">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综上所述，规划范围内鱼类组成总体属于“南方类群”和“老第三纪原始类群”的复合组合，同时杂有“青藏高原类群”和东亚类群”鱼类。其区系的特点可简要归结为以下几点：</w:t>
      </w:r>
    </w:p>
    <w:p w14:paraId="55BAD2AE">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a.缺乏以鲤形目鲤科雅罗鱼亚科和鱊亚科某些种类为代表的“北方冷水性类群”。</w:t>
      </w:r>
    </w:p>
    <w:p w14:paraId="5E01CD24">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b.鲤科鱼类为该区系鱼类的主要组成部分，其中，鲤科的鿕亚科、鲃亚科、鲤亚科和鱊亚科为代表的“老第三纪类群”和青藏高原隆起早期分化的“南方类群”，是区系鲤科鱼类主要组成成分。</w:t>
      </w:r>
    </w:p>
    <w:p w14:paraId="29B32E9F">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c.非鲤科鱼类以条鳅科和爬鳅科鱼类为主要组成部分。</w:t>
      </w:r>
    </w:p>
    <w:p w14:paraId="0BE4BCF0">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鱼类生活史特点</w:t>
      </w:r>
    </w:p>
    <w:p w14:paraId="734CD51C">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（1）生活型</w:t>
      </w:r>
    </w:p>
    <w:p w14:paraId="65989073">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评价范围内分布鱼类的生活型划分为以下5类：</w:t>
      </w:r>
    </w:p>
    <w:p w14:paraId="28EA8098">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a.急流生态型：包括中华纹胸鮡、云南盘鮈、短鳔盘鮈、暗色唇鱼、南方白甲鱼、马口鱼、倒刺鲃等。</w:t>
      </w:r>
    </w:p>
    <w:p w14:paraId="47540183">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b.流水生态型：包括斑白鱼、金线鲃属、荷马条鳅属、横纹南鳅等。</w:t>
      </w:r>
    </w:p>
    <w:p w14:paraId="7CCAE490">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c.缓流或静水生态型：包括泥鳅、黄鳝、食蚊鱼、小黄鱼幼鱼、鰕鯱鱼、青鳉、草鱼、麦穗鱼、条纹小鲃等。</w:t>
      </w:r>
    </w:p>
    <w:p w14:paraId="0EAF70AF">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（2）食性</w:t>
      </w:r>
    </w:p>
    <w:p w14:paraId="7B82B386">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评价范围内鱼类食性可以划分为4类：</w:t>
      </w:r>
    </w:p>
    <w:p w14:paraId="602E2698">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①主要摄食着生藻类的，如南方白甲鱼、云南盘鮈、墨头鱼，它们的口下位，口裂较宽，近似横裂，口唇部发达，有些种类下颌前缘具有锋利的角质，适应于刮取生长于石上的藻类的摄食方式。</w:t>
      </w:r>
    </w:p>
    <w:p w14:paraId="658B8C6D">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②主要摄食底栖无脊椎动物的，如鳅科、鮡科鱼类，它们的口部通常具有发达的触须或肥厚的唇，用以吸取食物。所摄取的食物，主要是砾石河滩石缝间生长的昆虫的幼虫或稚虫及寡毛类。</w:t>
      </w:r>
    </w:p>
    <w:p w14:paraId="3597316D">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③主要捕食鱼虾的，如鲇、鰕虎鱼等。这些种类均具有较为锋利的牙齿。</w:t>
      </w:r>
    </w:p>
    <w:p w14:paraId="044FF7CC">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④杂食性鱼类，如金线鲃、鲤鱼、鲫鱼、麦穗鱼、棒花鱼。这些种类既摄食水生昆虫、虾类、软体动物等动物性饵料，也摄食藻类及植物的残渣、种子等。</w:t>
      </w:r>
    </w:p>
    <w:p w14:paraId="0AE1EE62">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⑤肉食性鱼类，主要捕食鱼虾，如花鲈鲤等。这些种类口部均具有较为锋利的牙齿。</w:t>
      </w:r>
    </w:p>
    <w:p w14:paraId="1882CB98">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（3）产卵类型</w:t>
      </w:r>
    </w:p>
    <w:p w14:paraId="6CC93D37">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①产漂流性卵种类：主要生活在水体的中、上层的鱼类。繁殖季节在3～5月，产出的卵体积大，比重略大于水。如倒刺鲃、青鱼、草鱼、鲢、鳙、䱗等。</w:t>
      </w:r>
    </w:p>
    <w:p w14:paraId="7F3E4D41">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产粘性卵种类：主要生活在水体中、下层，繁殖季节为2～5月。产强粘性卵的种类通常生活于激流浅滩或流速较大的河槽，如麦穗鱼、棒花鱼、暗色唇鱼等；产半粘性卵的种类通常生活于静水水域水草丰富的地方，如鲤、鲫等。</w:t>
      </w:r>
    </w:p>
    <w:p w14:paraId="1426B492">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③产沉性卵种类：典型的适应浅滩流水环境的鱼类，产卵通常在早春月份或秋末，产于水温较低，水质清新的浅滩石砾之间，胚胎孵化时间长，如金线鲃等。</w:t>
      </w:r>
    </w:p>
    <w:p w14:paraId="2BEA058E">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④其他繁殖类型：具有护卵行为的黄鳝等。</w:t>
      </w:r>
    </w:p>
    <w:p w14:paraId="2B4B03BA">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鱼类重要生境</w:t>
      </w:r>
    </w:p>
    <w:p w14:paraId="1A324312">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鱼类重要生境是指在水域环境中，对鱼类的生存和繁殖起着关键作用的水域，又称鱼类关键生境或鱼类基础生境，通常包括</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产卵场</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索饵场</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和</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越冬场</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w:t>
      </w:r>
    </w:p>
    <w:p w14:paraId="1543D764">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鱼类产卵场是特指鱼类产卵繁殖的区域，是其生存和繁衍的重要场所，对渔业资源补充具有重要作用。不同的鱼类根据其自然进化历史和生态习性的不同，对产卵场的条件要求也各不相同。一般所说的产卵场，是指适合大多数鱼类产卵繁殖的生境</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鱼类索饵场是指鱼类和虾类等群集摄食的水域。根据最适索饵理论，鱼类总是选择饵料相对丰富的水域进行索饵摄食，一般主要位于交汇口附近</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鱼类越冬场是指气温下降后，鱼类栖息水域，通常为缓流的深水河槽或深潭。</w:t>
      </w:r>
    </w:p>
    <w:p w14:paraId="66AAE69A">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w:t>
      </w:r>
      <w:r>
        <w:rPr>
          <w:rFonts w:hint="default" w:ascii="Times New Roman" w:hAnsi="Times New Roman" w:eastAsia="宋体" w:cs="Times New Roman"/>
          <w:color w:val="auto"/>
          <w:sz w:val="24"/>
          <w:highlight w:val="none"/>
          <w:lang w:val="en-US" w:eastAsia="zh-CN"/>
        </w:rPr>
        <w:t>次</w:t>
      </w:r>
      <w:r>
        <w:rPr>
          <w:rFonts w:hint="default" w:ascii="Times New Roman" w:hAnsi="Times New Roman" w:eastAsia="宋体" w:cs="Times New Roman"/>
          <w:color w:val="auto"/>
          <w:sz w:val="24"/>
          <w:highlight w:val="none"/>
        </w:rPr>
        <w:t>鱼类</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三场</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评价主要根据多年鱼类生态学资料的积累、近期相关地区调查资料及查阅文献等，结合各流域生境的特点，推测其主要鱼类</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三场</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的分布。</w:t>
      </w:r>
    </w:p>
    <w:p w14:paraId="455D8287">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一、历史记载分布</w:t>
      </w:r>
    </w:p>
    <w:p w14:paraId="176C5896">
      <w:pPr>
        <w:pStyle w:val="37"/>
        <w:wordWrap w:val="0"/>
        <w:spacing w:line="360" w:lineRule="auto"/>
        <w:rPr>
          <w:rFonts w:hint="default" w:ascii="Times New Roman" w:hAnsi="Times New Roman" w:eastAsia="宋体" w:cs="Times New Roman"/>
          <w:color w:val="auto"/>
          <w:sz w:val="24"/>
          <w:highlight w:val="none"/>
          <w:lang w:val="en-US"/>
        </w:rPr>
      </w:pPr>
      <w:r>
        <w:rPr>
          <w:rFonts w:hint="default" w:ascii="Times New Roman" w:hAnsi="Times New Roman" w:eastAsia="宋体" w:cs="Times New Roman"/>
          <w:color w:val="auto"/>
          <w:sz w:val="24"/>
          <w:highlight w:val="none"/>
          <w:lang w:val="en-US" w:eastAsia="zh-CN"/>
        </w:rPr>
        <w:t>评价范围内鱼类</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三场</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历史记载分布主要参考《曲靖市珠江水系水生动物保护区（北盘江、五洛河、牛街河、多依河鱼类保护区）总体规划（2019</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2028年）》（2020年）（以下简称《规划》）。《规划》中提到多依河上分布有一处产卵场和两处索饵场</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牛街河分布2处产卵场和3处索饵场；五洛河分布1处产卵场和1处索饵场。具体位置如下图所示。</w:t>
      </w:r>
    </w:p>
    <w:p w14:paraId="55E30C69">
      <w:pPr>
        <w:pStyle w:val="37"/>
        <w:wordWrap w:val="0"/>
        <w:spacing w:line="360" w:lineRule="auto"/>
        <w:ind w:left="0" w:leftChars="0" w:firstLine="0" w:firstLineChars="0"/>
        <w:jc w:val="center"/>
        <w:rPr>
          <w:rFonts w:hint="default" w:ascii="Times New Roman" w:hAnsi="Times New Roman" w:eastAsia="宋体" w:cs="Times New Roman"/>
          <w:color w:val="auto"/>
          <w:sz w:val="24"/>
          <w:highlight w:val="none"/>
          <w:lang w:eastAsia="zh-CN"/>
        </w:rPr>
      </w:pPr>
      <w:r>
        <w:rPr>
          <w:rFonts w:hint="default" w:ascii="Times New Roman" w:hAnsi="Times New Roman" w:eastAsia="宋体" w:cs="Times New Roman"/>
          <w:color w:val="auto"/>
          <w:sz w:val="24"/>
          <w:highlight w:val="none"/>
          <w:lang w:eastAsia="zh-CN"/>
        </w:rPr>
        <w:drawing>
          <wp:inline distT="0" distB="0" distL="114300" distR="114300">
            <wp:extent cx="3634740" cy="5085715"/>
            <wp:effectExtent l="0" t="0" r="3810" b="635"/>
            <wp:docPr id="14" name="图片 14" descr="南盘江规划环评鱼类三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南盘江规划环评鱼类三场1"/>
                    <pic:cNvPicPr>
                      <a:picLocks noChangeAspect="1"/>
                    </pic:cNvPicPr>
                  </pic:nvPicPr>
                  <pic:blipFill>
                    <a:blip r:embed="rId39"/>
                    <a:srcRect l="2156" t="3390" r="1650" b="1439"/>
                    <a:stretch>
                      <a:fillRect/>
                    </a:stretch>
                  </pic:blipFill>
                  <pic:spPr>
                    <a:xfrm>
                      <a:off x="0" y="0"/>
                      <a:ext cx="3634740" cy="5085715"/>
                    </a:xfrm>
                    <a:prstGeom prst="rect">
                      <a:avLst/>
                    </a:prstGeom>
                  </pic:spPr>
                </pic:pic>
              </a:graphicData>
            </a:graphic>
          </wp:inline>
        </w:drawing>
      </w:r>
    </w:p>
    <w:p w14:paraId="5D565CD9">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二、</w:t>
      </w:r>
      <w:r>
        <w:rPr>
          <w:rFonts w:hint="default" w:ascii="Times New Roman" w:hAnsi="Times New Roman" w:eastAsia="宋体" w:cs="Times New Roman"/>
          <w:color w:val="auto"/>
          <w:sz w:val="24"/>
          <w:highlight w:val="none"/>
          <w:lang w:val="en-US" w:eastAsia="zh-CN"/>
        </w:rPr>
        <w:t>近期</w:t>
      </w:r>
      <w:r>
        <w:rPr>
          <w:rFonts w:hint="default" w:ascii="Times New Roman" w:hAnsi="Times New Roman" w:eastAsia="宋体" w:cs="Times New Roman"/>
          <w:color w:val="auto"/>
          <w:sz w:val="24"/>
          <w:highlight w:val="none"/>
        </w:rPr>
        <w:t>现状调查分布</w:t>
      </w:r>
    </w:p>
    <w:p w14:paraId="5534E0C6">
      <w:pPr>
        <w:pStyle w:val="37"/>
        <w:wordWrap w:val="0"/>
        <w:spacing w:line="360" w:lineRule="auto"/>
        <w:rPr>
          <w:rFonts w:hint="default" w:ascii="Times New Roman" w:hAnsi="Times New Roman" w:eastAsia="宋体" w:cs="Times New Roman"/>
          <w:color w:val="auto"/>
          <w:sz w:val="24"/>
          <w:highlight w:val="none"/>
        </w:rPr>
      </w:pPr>
      <w:bookmarkStart w:id="82" w:name="_Hlk178096299"/>
      <w:r>
        <w:rPr>
          <w:rFonts w:hint="default" w:ascii="Times New Roman" w:hAnsi="Times New Roman" w:eastAsia="宋体" w:cs="Times New Roman"/>
          <w:color w:val="auto"/>
          <w:sz w:val="24"/>
          <w:highlight w:val="none"/>
        </w:rPr>
        <w:t>（1）产卵场</w:t>
      </w:r>
    </w:p>
    <w:bookmarkEnd w:id="82"/>
    <w:p w14:paraId="689FF401">
      <w:pPr>
        <w:pStyle w:val="37"/>
        <w:wordWrap w:val="0"/>
        <w:spacing w:line="360" w:lineRule="auto"/>
        <w:rPr>
          <w:rFonts w:hint="default" w:ascii="Times New Roman" w:hAnsi="Times New Roman" w:eastAsia="宋体" w:cs="Times New Roman"/>
          <w:color w:val="auto"/>
          <w:sz w:val="24"/>
          <w:highlight w:val="none"/>
        </w:rPr>
      </w:pPr>
      <w:bookmarkStart w:id="83" w:name="_Hlk178148717"/>
      <w:r>
        <w:rPr>
          <w:rFonts w:hint="default" w:ascii="Times New Roman" w:hAnsi="Times New Roman" w:eastAsia="宋体" w:cs="Times New Roman"/>
          <w:color w:val="auto"/>
          <w:sz w:val="24"/>
          <w:highlight w:val="none"/>
        </w:rPr>
        <w:t>1.九龙河干流（包含上段篆长河）</w:t>
      </w:r>
    </w:p>
    <w:p w14:paraId="5B60AFAA">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1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①</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九龙河上游段（独木水库坝下至阿岗水库库尾段）：此段为复合段，河道沿岸有农田和村庄分布。枯期时水体清澈，水流平缓，汛期时，水流较急，泥沙含量较大。河段底质为泥沙，粗砾和黏土。河道两岸植被茂盛，曲直交叉分布，河水水流缓急交替。尽管此河段穿越村庄和农业种植区，但河流形态、河岸类型、植被覆盖等岸线条件较好，水深、流速适宜，无工业污染。作为阿岗水库建设工程重要的鱼类保护措施，曲靖市人民政府将独木水库坝下至阿岗水库库尾之间约43公里篆长河干流河段作为鱼类栖息地进行保护，全年禁渔，不再开发。经过几年来的保护，此河段可能已经形成鱼类产卵场。</w:t>
      </w:r>
    </w:p>
    <w:p w14:paraId="273FFCC7">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2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②</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九龙河中游段（冒水洞电站至腊庄电站出水口段）：九龙河中段自阿岗水库坝下妥者、木作到达大落水洞流入地下，成为地下暗河，于东南方向直线距离约2km处的冒水洞出露成为地表明流，南流至竹基镇响水右纳子午河后，往下折东流向他谷，过他谷后进入峡谷河段，至腊庄电站出水口监测点位，河长36.8km，落差245，河床比降6.7‰。此河段既有地下暗河段，又有山区峡谷河段和坝区平缓河段，河段类型丰富，且天然段占比较高，适宜多种水生习性鱼类生活。根据《云南省曲靖市阿岗水库工程环境影响报告书》（2016年）现场调查来看，九龙河中游段栖息有包括营洞穴生活的金线鲃属、急流型鱼类云南盘鮈和缓流型鱼类麦穗鱼、鰕虎鱼属等。在3种不同的河段类型条件下，可能存在多个不同鱼类的分散式产卵场。</w:t>
      </w:r>
      <w:r>
        <w:rPr>
          <w:rFonts w:hint="default" w:ascii="Times New Roman" w:hAnsi="Times New Roman" w:eastAsia="宋体" w:cs="Times New Roman"/>
          <w:color w:val="auto"/>
          <w:sz w:val="24"/>
          <w:highlight w:val="none"/>
          <w:lang w:val="en-US" w:eastAsia="zh-CN"/>
        </w:rPr>
        <w:t>罗师灌区项目组</w:t>
      </w:r>
      <w:r>
        <w:rPr>
          <w:rFonts w:hint="default" w:ascii="Times New Roman" w:hAnsi="Times New Roman" w:eastAsia="宋体" w:cs="Times New Roman"/>
          <w:color w:val="auto"/>
          <w:sz w:val="24"/>
          <w:highlight w:val="none"/>
        </w:rPr>
        <w:t>在主要鱼类繁殖期调查时，在腊庄电站出水口下游（E 104°12'26.7256",N 24°52'49.0318"）调查到</w:t>
      </w:r>
      <w:bookmarkStart w:id="84" w:name="_Hlk178083955"/>
      <w:r>
        <w:rPr>
          <w:rFonts w:hint="default" w:ascii="Times New Roman" w:hAnsi="Times New Roman" w:eastAsia="宋体" w:cs="Times New Roman"/>
          <w:color w:val="auto"/>
          <w:sz w:val="24"/>
          <w:highlight w:val="none"/>
        </w:rPr>
        <w:t>青鳉、鲫、子陵吻鰕虎鱼、高体鳑鲏、麦穗鱼、棒花鱼</w:t>
      </w:r>
      <w:bookmarkEnd w:id="84"/>
      <w:r>
        <w:rPr>
          <w:rFonts w:hint="default" w:ascii="Times New Roman" w:hAnsi="Times New Roman" w:eastAsia="宋体" w:cs="Times New Roman"/>
          <w:color w:val="auto"/>
          <w:sz w:val="24"/>
          <w:highlight w:val="none"/>
        </w:rPr>
        <w:t>等小型鱼类的仔鱼和幼鱼以及鲇的幼鱼，这些鱼类均产黏性或沉性卵。腊庄电站出水口下游为山区峡谷河段，往下为坝区平缓河段，沿岸柳树密布，结合渔获物和生境判断推测此处为江河缓流型鱼类产卵场。</w:t>
      </w:r>
    </w:p>
    <w:p w14:paraId="5CD126F9">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3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③</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九龙河下游段（腊庄电站出水口至入</w:t>
      </w:r>
      <w:bookmarkStart w:id="85" w:name="_Hlk178080103"/>
      <w:r>
        <w:rPr>
          <w:rFonts w:hint="default" w:ascii="Times New Roman" w:hAnsi="Times New Roman" w:eastAsia="宋体" w:cs="Times New Roman"/>
          <w:color w:val="auto"/>
          <w:sz w:val="24"/>
          <w:highlight w:val="none"/>
        </w:rPr>
        <w:t>黄泥河河口</w:t>
      </w:r>
      <w:bookmarkEnd w:id="85"/>
      <w:r>
        <w:rPr>
          <w:rFonts w:hint="default" w:ascii="Times New Roman" w:hAnsi="Times New Roman" w:eastAsia="宋体" w:cs="Times New Roman"/>
          <w:color w:val="auto"/>
          <w:sz w:val="24"/>
          <w:highlight w:val="none"/>
        </w:rPr>
        <w:t>段）：九龙河下游段自腊庄电站出水口，经“W”型绕行后向东北向流经江边、关塘、以德、以洪、九龙瀑布后直达黄泥河河口，长39.8km，落差296m，比降7.4‰，在以堵勒村以下500m进入九龙瀑布群，在4公里长的河道上，分布有十多级瀑布。下游大部分河段（除九龙瀑布）水流平缓，适于鱼类觅食和产卵，同时由于该河段既有花滩电站、大寨电站等电站的人为阻隔，又有九龙瀑布群的天然阻隔，鱼类生境的片段化和破碎化较为严重，难以形成集中式产卵场，可能存在零星的分散式产卵场。从渔获物看，现状调查该河段鱼类以青鳉、鲫、子陵吻鰕虎鱼、高体鳑鲏、麦穗鱼、棒花鱼、马口鱼、鲇等，大部分为外来种或广布种，产卵条件要求较低，产卵地点分散，一般不会形成集中的产卵场。项目组在主要鱼类繁殖期调查时，在九龙瀑布景区下游200m左右处（E</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104°24'37.9078",N</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25°00'30.8813"），调查到正在产卵的麦穗鱼，该断面水流平缓，水面开阔，水生植物茂盛，结合现场渔获物及生境判断，此处为江河缓流型鱼类产卵场。</w:t>
      </w:r>
    </w:p>
    <w:p w14:paraId="5ED0FFA3">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2.大干河干流（包含下段多依河）</w:t>
      </w:r>
    </w:p>
    <w:p w14:paraId="12EC009C">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1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①</w:t>
      </w:r>
      <w:r>
        <w:rPr>
          <w:rFonts w:hint="default" w:ascii="Times New Roman" w:hAnsi="Times New Roman" w:eastAsia="宋体" w:cs="Times New Roman"/>
          <w:color w:val="auto"/>
          <w:sz w:val="24"/>
          <w:highlight w:val="none"/>
        </w:rPr>
        <w:fldChar w:fldCharType="end"/>
      </w:r>
      <w:bookmarkStart w:id="86" w:name="_Hlk178152163"/>
      <w:r>
        <w:rPr>
          <w:rFonts w:hint="default" w:ascii="Times New Roman" w:hAnsi="Times New Roman" w:eastAsia="宋体" w:cs="Times New Roman"/>
          <w:color w:val="auto"/>
          <w:sz w:val="24"/>
          <w:highlight w:val="none"/>
        </w:rPr>
        <w:t>大干河上游为农村段，下游为复合段，沿河两岸基本都分布有大量农田。枯期时，大干河中段河道中有大面积浮萍覆盖河面，水体发臭，由此可见，沿岸农田灌溉退水将残留农药汇入河道，导致河流富营养化严重，存在产卵场的可能性不大。从渔获物看大干河干流鱼类以大鳞副泥鳅为主，大鳞副泥鳅喜欢生活在底泥较深的浅水水域，主要摄食底泥中的腐殖质和底栖动物，耐污性较强，这与枯期时现场生境一致，这种生境仅适合少量耐污性较强的小型鱼类生活，通常不会形成鱼类产卵场。</w:t>
      </w:r>
      <w:bookmarkEnd w:id="86"/>
    </w:p>
    <w:p w14:paraId="02E025D6">
      <w:pPr>
        <w:pStyle w:val="37"/>
        <w:wordWrap w:val="0"/>
        <w:spacing w:line="360" w:lineRule="auto"/>
        <w:rPr>
          <w:rFonts w:hint="default" w:ascii="Times New Roman" w:hAnsi="Times New Roman" w:eastAsia="宋体" w:cs="Times New Roman"/>
          <w:color w:val="auto"/>
          <w:sz w:val="24"/>
          <w:highlight w:val="none"/>
        </w:rPr>
      </w:pPr>
      <w:bookmarkStart w:id="87" w:name="_Hlk178088130"/>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2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②</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多依河</w:t>
      </w:r>
      <w:bookmarkEnd w:id="87"/>
      <w:r>
        <w:rPr>
          <w:rFonts w:hint="default" w:ascii="Times New Roman" w:hAnsi="Times New Roman" w:eastAsia="宋体" w:cs="Times New Roman"/>
          <w:color w:val="auto"/>
          <w:sz w:val="24"/>
          <w:highlight w:val="none"/>
        </w:rPr>
        <w:t>为大干河下游段，大干河经以龙、革来后，在花房附近转为地下伏流，经过大水井后转为明流河，称为多依河。多依河河道较短，仅1.3km，最后汇入南盘江。2006年曲靖市人民政府批准建立市级“多依河鱼类自然保护区”，2010年农业部（农计函〔2010〕66号）文件批复建设多依河水生野生动物自然保护区项目。保护区保护对象主要为多依河特有鱼种—多依河白鱼、罗平金线鲃，云南省重点保护鱼类—暗色唇</w:t>
      </w:r>
      <w:r>
        <w:rPr>
          <w:rFonts w:hint="default" w:ascii="Times New Roman" w:hAnsi="Times New Roman" w:eastAsia="宋体" w:cs="Times New Roman"/>
          <w:color w:val="auto"/>
          <w:sz w:val="24"/>
          <w:highlight w:val="none"/>
          <w:lang w:val="en-US" w:eastAsia="zh-CN"/>
        </w:rPr>
        <w:t>鱼</w:t>
      </w:r>
      <w:r>
        <w:rPr>
          <w:rFonts w:hint="default" w:ascii="Times New Roman" w:hAnsi="Times New Roman" w:eastAsia="宋体" w:cs="Times New Roman"/>
          <w:color w:val="auto"/>
          <w:sz w:val="24"/>
          <w:highlight w:val="none"/>
        </w:rPr>
        <w:t>。从现场生境看，多依河水体清澈，水面宽阔，流速较快，底质为黏土，两岸均为天然河段，生境较好。项目组在主要鱼类繁殖期调查时，肉眼可见多依河中鱼类成群，其中包括一定数量的幼鱼。从渔获物看，多依河调查断面分布有南盘江特有鱼类南盘江华吸鳅，此外，根据罗平美丽家园水产有限公司提供的放流资料，多依河连续5年放流暗色唇</w:t>
      </w:r>
      <w:r>
        <w:rPr>
          <w:rFonts w:hint="default" w:ascii="Times New Roman" w:hAnsi="Times New Roman" w:eastAsia="宋体" w:cs="Times New Roman"/>
          <w:color w:val="auto"/>
          <w:sz w:val="24"/>
          <w:highlight w:val="none"/>
          <w:lang w:val="en-US" w:eastAsia="zh-CN"/>
        </w:rPr>
        <w:t>鱼</w:t>
      </w:r>
      <w:r>
        <w:rPr>
          <w:rFonts w:hint="default" w:ascii="Times New Roman" w:hAnsi="Times New Roman" w:eastAsia="宋体" w:cs="Times New Roman"/>
          <w:color w:val="auto"/>
          <w:sz w:val="24"/>
          <w:highlight w:val="none"/>
        </w:rPr>
        <w:t>、南方白甲鱼和云南光唇鱼。根据生境和现场</w:t>
      </w:r>
      <w:r>
        <w:rPr>
          <w:rFonts w:hint="default" w:ascii="Times New Roman" w:hAnsi="Times New Roman" w:eastAsia="宋体" w:cs="Times New Roman"/>
          <w:color w:val="auto"/>
          <w:sz w:val="24"/>
          <w:highlight w:val="none"/>
          <w:lang w:eastAsia="zh-CN"/>
        </w:rPr>
        <w:t>渔获</w:t>
      </w:r>
      <w:r>
        <w:rPr>
          <w:rFonts w:hint="default" w:ascii="Times New Roman" w:hAnsi="Times New Roman" w:eastAsia="宋体" w:cs="Times New Roman"/>
          <w:color w:val="auto"/>
          <w:sz w:val="24"/>
          <w:highlight w:val="none"/>
        </w:rPr>
        <w:t>情况判断，多依河调查断面（E</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104°29'49.4657",N</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24°45'42.4111"）为鱼类产卵场。</w:t>
      </w:r>
    </w:p>
    <w:p w14:paraId="6C1828F4">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3.其他支流</w:t>
      </w:r>
    </w:p>
    <w:p w14:paraId="75E80AE8">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1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①</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九龙河支流子午河。新建子午河泵站（规划新建子午河泵站附近，E</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104°06'37.3080"， N</w:t>
      </w:r>
      <w:r>
        <w:rPr>
          <w:rFonts w:hint="default" w:ascii="Times New Roman" w:hAnsi="Times New Roman" w:cs="Times New Roman"/>
          <w:color w:val="auto"/>
          <w:sz w:val="24"/>
          <w:highlight w:val="none"/>
          <w:lang w:eastAsia="zh-CN"/>
        </w:rPr>
        <w:t>：</w:t>
      </w:r>
      <w:r>
        <w:rPr>
          <w:rFonts w:hint="default" w:ascii="Times New Roman" w:hAnsi="Times New Roman" w:eastAsia="宋体" w:cs="Times New Roman"/>
          <w:color w:val="auto"/>
          <w:sz w:val="24"/>
          <w:highlight w:val="none"/>
        </w:rPr>
        <w:t>24°53'25.7880"）至上游200m河段，水流平缓，水质较为清澈，水流量相对较大，水生植物较多，以黑藻、金鱼藻和狐尾藻为主，底质为砾石，自然状态保护良好。项目组在两次实地调查过程中，发现该河流断面有大量仔鱼和幼鱼，从现场渔获物来看，</w:t>
      </w:r>
      <w:bookmarkStart w:id="88" w:name="_Hlk178063057"/>
      <w:r>
        <w:rPr>
          <w:rFonts w:hint="default" w:ascii="Times New Roman" w:hAnsi="Times New Roman" w:eastAsia="宋体" w:cs="Times New Roman"/>
          <w:color w:val="auto"/>
          <w:sz w:val="24"/>
          <w:highlight w:val="none"/>
        </w:rPr>
        <w:t>棒花鱼、鲫、麦穗鱼、高体鳑鲏、子陵吻鰕虎鱼、小黄䱂鱼</w:t>
      </w:r>
      <w:bookmarkEnd w:id="88"/>
      <w:r>
        <w:rPr>
          <w:rFonts w:hint="default" w:ascii="Times New Roman" w:hAnsi="Times New Roman" w:eastAsia="宋体" w:cs="Times New Roman"/>
          <w:color w:val="auto"/>
          <w:sz w:val="24"/>
          <w:highlight w:val="none"/>
        </w:rPr>
        <w:t>为此断面优势鱼类，现场调查到的仔鱼和幼鱼也多为高体鳑鲏、麦穗鱼和子陵吻鰕虎鱼。棒花鱼、鲫、麦穗鱼、高体鳑鲏、子陵吻鰕虎鱼、小黄䱂鱼等广布型小型鱼类，通常在缓水处或者河道较深处进行繁殖，产卵于砂石、水生植物、树枝上，产卵地点分散，一般不会形成集中的产卵场。从现场生境和渔获物推断，此处为分散式水草型产卵场，产卵鱼类主要为资源量较大，保护价值较低的小型鱼类。泵站下游为山区型河段，落差较大，急流缓流交替，深潭浅滩均有分布，自然状态保护良好，适合急流型小型鱼类产卵，如条鳅科鱼类。</w:t>
      </w:r>
    </w:p>
    <w:p w14:paraId="61F75732">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2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②</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九龙河支流二允河、雨波罗河和革宜河：二允河、雨波罗河和革宜河三条支流均穿越农田和村庄，受人为干扰较大。从鱼类主要繁殖期现场调查来看，二允河现场调查到鲫鱼幼鱼，此外还有麦穗鱼和鲇鱼；革宜河和雨波罗河未调查到鱼类仔鱼或幼鱼。根据生境及渔获物判断，三条支流可能零星分布有缓流型鱼类的繁殖场地，而存在集中式产卵场的可能性较小。</w:t>
      </w:r>
    </w:p>
    <w:p w14:paraId="68D90F2D">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fldChar w:fldCharType="begin"/>
      </w:r>
      <w:r>
        <w:rPr>
          <w:rFonts w:hint="default" w:ascii="Times New Roman" w:hAnsi="Times New Roman" w:eastAsia="宋体" w:cs="Times New Roman"/>
          <w:color w:val="auto"/>
          <w:sz w:val="24"/>
          <w:highlight w:val="none"/>
        </w:rPr>
        <w:instrText xml:space="preserve"> = 3 \* GB3 </w:instrText>
      </w:r>
      <w:r>
        <w:rPr>
          <w:rFonts w:hint="default" w:ascii="Times New Roman" w:hAnsi="Times New Roman" w:eastAsia="宋体" w:cs="Times New Roman"/>
          <w:color w:val="auto"/>
          <w:sz w:val="24"/>
          <w:highlight w:val="none"/>
        </w:rPr>
        <w:fldChar w:fldCharType="separate"/>
      </w:r>
      <w:r>
        <w:rPr>
          <w:rFonts w:hint="default" w:ascii="Times New Roman" w:hAnsi="Times New Roman" w:eastAsia="宋体" w:cs="Times New Roman"/>
          <w:color w:val="auto"/>
          <w:sz w:val="24"/>
          <w:highlight w:val="none"/>
        </w:rPr>
        <w:t>③</w:t>
      </w:r>
      <w:r>
        <w:rPr>
          <w:rFonts w:hint="default" w:ascii="Times New Roman" w:hAnsi="Times New Roman" w:eastAsia="宋体" w:cs="Times New Roman"/>
          <w:color w:val="auto"/>
          <w:sz w:val="24"/>
          <w:highlight w:val="none"/>
        </w:rPr>
        <w:fldChar w:fldCharType="end"/>
      </w:r>
      <w:r>
        <w:rPr>
          <w:rFonts w:hint="default" w:ascii="Times New Roman" w:hAnsi="Times New Roman" w:eastAsia="宋体" w:cs="Times New Roman"/>
          <w:color w:val="auto"/>
          <w:sz w:val="24"/>
          <w:highlight w:val="none"/>
        </w:rPr>
        <w:t>甸溪河主要支流务龙河、金马河和白马河：务龙河、金马河和白马河三条支流均穿越农田和村庄，受人为干扰较大。从鱼类主要繁殖期现场调查来看，白马河几乎全段断流，不可能存在鱼类产卵场；金马河中下游部分河段断流，上游水量较小，河道狭窄，存在鱼类产卵场的可能性很小；务龙河上游小务龙村附近有一龙潭，自此往下河道已经建成水泥渠道，改变了原有自然河道，而下游段周边的农田灌溉尾水将残留农药汇入河道，因此存在鱼类产卵场的可能性较小。</w:t>
      </w:r>
    </w:p>
    <w:bookmarkEnd w:id="83"/>
    <w:p w14:paraId="6A280E68">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4.已建水库</w:t>
      </w:r>
    </w:p>
    <w:p w14:paraId="1DBD9C8D">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评价区内已建水库中鱼类种类相对单一，主要为人工引入养殖草鱼、鲢鱼、鳙鱼、鲫鱼、鲤等经济鱼类，麦穗鱼、棒花鱼、高体鳑鲏和鰕虎鱼等小型野杂鱼类，以及泥鳅等适应缓流土著鱼类。不同种类的产卵场根据种类不同而呈现出不同。</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四大家鱼</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等种类为产漂流性卵鱼类，需要大江大河才能产卵，在水库中无法繁殖；即使有条件产卵受精，也难以完成孵化的过程，也许会沿着水域河流上溯至干流上游产卵。鲤、鲫、麦穗鱼、棒花鱼、泥鳅、鰕虎鱼等种类产卵地点较为广泛，在水库沿岸坡度较缓的浅水区和水库区支流以及水库入库河流缓流区均可产卵，产卵于砂石、水生植物、树枝上，卵为粘沉性，产卵地点分散，一般不会形成集中的产卵场。</w:t>
      </w:r>
    </w:p>
    <w:p w14:paraId="0E2B8EDD">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（2）索饵场</w:t>
      </w:r>
    </w:p>
    <w:p w14:paraId="38146C42">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1.九龙河干支流</w:t>
      </w:r>
    </w:p>
    <w:p w14:paraId="0289EDC2">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九龙河已经建成梯级电站10多座，原本自然流动的河水汇聚，形成库区，食物资源丰富，是典型的索饵场。主要有篆长河（阿岗水库回水段）、冒水洞电站库尾、腊庄电站库尾。九龙河下游段，由于九龙瀑布常年的流水冲击，带来上游丰富的饵料，在九龙瀑布景区下游平坦开阔的河道中淤积，同时此处河滩发育良好，河岸植被茂密，该处底栖生物中发现了大量优势种为新米虾</w:t>
      </w:r>
      <w:r>
        <w:rPr>
          <w:rFonts w:hint="default" w:ascii="Times New Roman" w:hAnsi="Times New Roman" w:eastAsia="宋体" w:cs="Times New Roman"/>
          <w:i/>
          <w:color w:val="auto"/>
          <w:sz w:val="24"/>
          <w:highlight w:val="none"/>
        </w:rPr>
        <w:t xml:space="preserve">Neocaridina </w:t>
      </w:r>
      <w:r>
        <w:rPr>
          <w:rFonts w:hint="default" w:ascii="Times New Roman" w:hAnsi="Times New Roman" w:eastAsia="宋体" w:cs="Times New Roman"/>
          <w:i w:val="0"/>
          <w:iCs/>
          <w:color w:val="auto"/>
          <w:sz w:val="24"/>
          <w:highlight w:val="none"/>
        </w:rPr>
        <w:t>sp.</w:t>
      </w:r>
      <w:r>
        <w:rPr>
          <w:rFonts w:hint="default" w:ascii="Times New Roman" w:hAnsi="Times New Roman" w:eastAsia="宋体" w:cs="Times New Roman"/>
          <w:color w:val="auto"/>
          <w:sz w:val="24"/>
          <w:highlight w:val="none"/>
        </w:rPr>
        <w:t>，非常适合鱼类索饵。</w:t>
      </w:r>
    </w:p>
    <w:p w14:paraId="0072CD6C">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九龙河支流子午河、二允河、雨波罗河、革宜河：子午河底质多为泥沙、粗砾，水相对较深，饵料生物丰富，既有浮游生物、又有沉水植物，底栖动物以河蚬和螺类为主，还有一些昆虫幼虫在沉水植物间，是鱼类理想的觅食场所；二允河、雨波罗河、革宜河沿河分布有大面积农田，农业面源污染严重，底栖动物生物量较低，且多为耐污种，只有零星河段适合小型鱼类索饵，无集中的索饵场。</w:t>
      </w:r>
    </w:p>
    <w:p w14:paraId="4F3F6694">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2.大干河干流</w:t>
      </w:r>
    </w:p>
    <w:p w14:paraId="4E4F0B09">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大干河上游为</w:t>
      </w:r>
      <w:bookmarkStart w:id="89" w:name="_Hlk178153023"/>
      <w:r>
        <w:rPr>
          <w:rFonts w:hint="default" w:ascii="Times New Roman" w:hAnsi="Times New Roman" w:eastAsia="宋体" w:cs="Times New Roman"/>
          <w:color w:val="auto"/>
          <w:sz w:val="24"/>
          <w:highlight w:val="none"/>
        </w:rPr>
        <w:t>农村段，下游为复合段，沿河两岸基本都分布有大量农田。沿岸农田灌溉退水将残留农药汇入河道，</w:t>
      </w:r>
      <w:bookmarkEnd w:id="89"/>
      <w:r>
        <w:rPr>
          <w:rFonts w:hint="default" w:ascii="Times New Roman" w:hAnsi="Times New Roman" w:eastAsia="宋体" w:cs="Times New Roman"/>
          <w:color w:val="auto"/>
          <w:sz w:val="24"/>
          <w:highlight w:val="none"/>
        </w:rPr>
        <w:t>导致河流富营养化严重，水体发臭，底栖动物以耐污值较高的摇蚊为主，无集中的索饵场。</w:t>
      </w:r>
    </w:p>
    <w:p w14:paraId="496725BF">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多依河水体清澈，水面宽阔，流速较快，底质为砾石和黏土，两岸均为天然河段，生境较好，底栖动物以肋蜷科为主，生物量较高，除此之外浮游生物和沉水植物丰富，还有一些昆虫幼虫在漫滩卵石间生活，是鱼类理想的觅食场所。</w:t>
      </w:r>
    </w:p>
    <w:p w14:paraId="151FE32F">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3.甸溪河干支流</w:t>
      </w:r>
    </w:p>
    <w:p w14:paraId="035B50E7">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务龙河沿河两岸基本都分布有大量农田，农业面源污染、截流灌溉，使得该流域的水流量减少，仅零星河段适合小型鱼类索饵，无集中索饵场；枯期白马河几乎全段断流，金马河中下游部分河段断流，上游水量较小，河道狭窄，无集中索饵场。</w:t>
      </w:r>
    </w:p>
    <w:p w14:paraId="613B64B0">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4.水库断面</w:t>
      </w:r>
    </w:p>
    <w:p w14:paraId="3E92ABAC">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库区尾水段食物资源丰富，是库区鱼类及上游支流鱼类理想的索饵场。罗师灌区评价区内除九龙河干流上的水库外，其余参与水资源配置的水库多位于河流源头，库区上游河流段较短，鱼类在尾水溪流觅食的空间有限，存在集中索饵场的可能性较小。而部分水库如小撒卜龙水库所在的白马河枯期完全断流，库区尾水段不存在索饵场。</w:t>
      </w:r>
    </w:p>
    <w:p w14:paraId="1BD0C95E">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5.干支流交汇口</w:t>
      </w:r>
    </w:p>
    <w:p w14:paraId="33C9D37F">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支流与干流汇合处河面宽阔，水流变缓，由于常年的流水冲击，带来支流上游丰富的饵料，会成为相对集中的索饵场。</w:t>
      </w:r>
      <w:bookmarkStart w:id="90" w:name="_Hlk178154280"/>
      <w:r>
        <w:rPr>
          <w:rFonts w:hint="default" w:ascii="Times New Roman" w:hAnsi="Times New Roman" w:eastAsia="宋体" w:cs="Times New Roman"/>
          <w:color w:val="auto"/>
          <w:sz w:val="24"/>
          <w:highlight w:val="none"/>
        </w:rPr>
        <w:t>子午河</w:t>
      </w:r>
      <w:bookmarkEnd w:id="90"/>
      <w:r>
        <w:rPr>
          <w:rFonts w:hint="default" w:ascii="Times New Roman" w:hAnsi="Times New Roman" w:eastAsia="宋体" w:cs="Times New Roman"/>
          <w:color w:val="auto"/>
          <w:sz w:val="24"/>
          <w:highlight w:val="none"/>
        </w:rPr>
        <w:t>、革宜河与九龙河汇口，二允河与子午河汇口，九龙河、多依河与黄泥河汇口等可能存在相对集中的索饵场。</w:t>
      </w:r>
    </w:p>
    <w:p w14:paraId="60C37964">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（3）越冬场</w:t>
      </w:r>
    </w:p>
    <w:p w14:paraId="4614CB64">
      <w:pPr>
        <w:pStyle w:val="37"/>
        <w:wordWrap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河流鱼类以小型鱼类为主，除枯期部分河段出现断流外，其余调查河段最小水深也超过了0.2m，因此调查区域河流的干支流都适合现有的中小型鱼类长年活动。大部分河道在冬季（干季）过浅的话，反而无法形成典型的越冬场，因此本流域绝大多数干支流都不具备典型意义上的越冬场。鲢、鳙等大型鱼类冬季会进入较深的水域越冬，水库是这些鱼类理想的越冬场。</w:t>
      </w:r>
    </w:p>
    <w:p w14:paraId="35A95AD6">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重要鱼类</w:t>
      </w:r>
    </w:p>
    <w:p w14:paraId="5623AFB4">
      <w:pPr>
        <w:pStyle w:val="37"/>
        <w:wordWrap w:val="0"/>
        <w:spacing w:line="360" w:lineRule="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rPr>
        <w:t>根据文献及资料显示，评价区内历史记载分布有鱼类7目18科90种，</w:t>
      </w:r>
      <w:r>
        <w:rPr>
          <w:rFonts w:hint="default" w:ascii="Times New Roman" w:hAnsi="Times New Roman" w:eastAsia="宋体" w:cs="Times New Roman"/>
          <w:color w:val="auto"/>
          <w:sz w:val="24"/>
          <w:highlight w:val="none"/>
          <w:lang w:val="en-US" w:eastAsia="zh-CN"/>
        </w:rPr>
        <w:t>属珍稀濒危鱼类30种，</w:t>
      </w:r>
      <w:r>
        <w:rPr>
          <w:rFonts w:hint="default" w:ascii="Times New Roman" w:hAnsi="Times New Roman" w:eastAsia="宋体" w:cs="Times New Roman"/>
          <w:color w:val="auto"/>
          <w:sz w:val="24"/>
          <w:highlight w:val="none"/>
        </w:rPr>
        <w:t>其中，国家重点保护鱼类</w:t>
      </w:r>
      <w:r>
        <w:rPr>
          <w:rFonts w:hint="default" w:ascii="Times New Roman" w:hAnsi="Times New Roman" w:eastAsia="宋体" w:cs="Times New Roman"/>
          <w:color w:val="auto"/>
          <w:sz w:val="24"/>
          <w:highlight w:val="none"/>
          <w:lang w:val="en-US" w:eastAsia="zh-CN"/>
        </w:rPr>
        <w:t>10</w:t>
      </w:r>
      <w:r>
        <w:rPr>
          <w:rFonts w:hint="default" w:ascii="Times New Roman" w:hAnsi="Times New Roman" w:eastAsia="宋体" w:cs="Times New Roman"/>
          <w:color w:val="auto"/>
          <w:sz w:val="24"/>
          <w:highlight w:val="none"/>
        </w:rPr>
        <w:t>种</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国家</w:t>
      </w:r>
      <w:r>
        <w:rPr>
          <w:rFonts w:hint="default" w:ascii="Times New Roman" w:hAnsi="Times New Roman" w:eastAsia="宋体" w:cs="Times New Roman"/>
          <w:color w:val="auto"/>
          <w:sz w:val="24"/>
          <w:highlight w:val="none"/>
          <w:lang w:eastAsia="zh-CN"/>
        </w:rPr>
        <w:t>Ⅱ</w:t>
      </w:r>
      <w:r>
        <w:rPr>
          <w:rFonts w:hint="default" w:ascii="Times New Roman" w:hAnsi="Times New Roman" w:eastAsia="宋体" w:cs="Times New Roman"/>
          <w:color w:val="auto"/>
          <w:sz w:val="24"/>
          <w:highlight w:val="none"/>
          <w:lang w:val="en-US" w:eastAsia="zh-CN"/>
        </w:rPr>
        <w:t>级</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云南省二级保护鱼类1种</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列入《中国生物多样性红色名录</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2020</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rPr>
        <w:t>》濒危</w:t>
      </w:r>
      <w:r>
        <w:rPr>
          <w:rFonts w:hint="default" w:ascii="Times New Roman" w:hAnsi="Times New Roman" w:eastAsia="宋体" w:cs="Times New Roman"/>
          <w:color w:val="auto"/>
          <w:sz w:val="24"/>
          <w:highlight w:val="none"/>
          <w:lang w:val="en-US" w:eastAsia="zh-CN"/>
        </w:rPr>
        <w:t>6</w:t>
      </w:r>
      <w:r>
        <w:rPr>
          <w:rFonts w:hint="default" w:ascii="Times New Roman" w:hAnsi="Times New Roman" w:eastAsia="宋体" w:cs="Times New Roman"/>
          <w:color w:val="auto"/>
          <w:sz w:val="24"/>
          <w:highlight w:val="none"/>
        </w:rPr>
        <w:t>种，易危</w:t>
      </w:r>
      <w:r>
        <w:rPr>
          <w:rFonts w:hint="default" w:ascii="Times New Roman" w:hAnsi="Times New Roman" w:eastAsia="宋体" w:cs="Times New Roman"/>
          <w:color w:val="auto"/>
          <w:sz w:val="24"/>
          <w:highlight w:val="none"/>
          <w:lang w:val="en-US" w:eastAsia="zh-CN"/>
        </w:rPr>
        <w:t>17种</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还分布有五洛河盘鲮、多依河白鱼、大鳞白鱼等多种区域特有鱼类</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en-US" w:eastAsia="zh-CN"/>
        </w:rPr>
        <w:t>具体名录如下表所示。</w:t>
      </w:r>
    </w:p>
    <w:p w14:paraId="5D12A3B6">
      <w:pPr>
        <w:pStyle w:val="41"/>
        <w:numPr>
          <w:ilvl w:val="5"/>
          <w:numId w:val="0"/>
        </w:numPr>
        <w:ind w:left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STYLEREF 3 \s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3.4.2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SEQ 表 \* ARABIC \s 3 </w:instrText>
      </w:r>
      <w:r>
        <w:rPr>
          <w:rFonts w:hint="default" w:ascii="Times New Roman" w:hAnsi="Times New Roman" w:cs="Times New Roman"/>
          <w:color w:val="auto"/>
          <w:highlight w:val="none"/>
        </w:rPr>
        <w:fldChar w:fldCharType="separate"/>
      </w:r>
      <w:r>
        <w:rPr>
          <w:rFonts w:hint="default" w:ascii="Times New Roman" w:hAnsi="Times New Roman" w:cs="Times New Roman"/>
          <w:color w:val="auto"/>
          <w:highlight w:val="none"/>
        </w:rPr>
        <w:t>2</w:t>
      </w:r>
      <w:r>
        <w:rPr>
          <w:rFonts w:hint="default" w:ascii="Times New Roman" w:hAnsi="Times New Roman" w:cs="Times New Roman"/>
          <w:color w:val="auto"/>
          <w:highlight w:val="none"/>
        </w:rPr>
        <w:fldChar w:fldCharType="end"/>
      </w:r>
      <w:r>
        <w:rPr>
          <w:rFonts w:hint="default" w:ascii="Times New Roman" w:hAnsi="Times New Roman" w:cs="Times New Roman"/>
          <w:color w:val="auto"/>
          <w:highlight w:val="none"/>
          <w:lang w:val="en-US" w:eastAsia="zh-CN"/>
        </w:rPr>
        <w:t>评价区内重要鱼类组成</w:t>
      </w:r>
    </w:p>
    <w:tbl>
      <w:tblPr>
        <w:tblStyle w:val="22"/>
        <w:tblW w:w="84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663"/>
        <w:gridCol w:w="1536"/>
        <w:gridCol w:w="2864"/>
        <w:gridCol w:w="1923"/>
        <w:gridCol w:w="1502"/>
      </w:tblGrid>
      <w:tr w14:paraId="0A591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auto"/>
            <w:noWrap w:val="0"/>
            <w:tcMar>
              <w:top w:w="-1" w:type="dxa"/>
              <w:left w:w="-1" w:type="dxa"/>
              <w:bottom w:w="-1" w:type="dxa"/>
              <w:right w:w="-1" w:type="dxa"/>
            </w:tcMar>
            <w:vAlign w:val="center"/>
          </w:tcPr>
          <w:p w14:paraId="2226B11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序号</w:t>
            </w:r>
          </w:p>
        </w:tc>
        <w:tc>
          <w:tcPr>
            <w:tcW w:w="1536" w:type="dxa"/>
            <w:shd w:val="clear" w:color="auto" w:fill="auto"/>
            <w:noWrap w:val="0"/>
            <w:tcMar>
              <w:top w:w="-1" w:type="dxa"/>
              <w:left w:w="-1" w:type="dxa"/>
              <w:bottom w:w="-1" w:type="dxa"/>
              <w:right w:w="-1" w:type="dxa"/>
            </w:tcMar>
            <w:vAlign w:val="center"/>
          </w:tcPr>
          <w:p w14:paraId="24E16BD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中文名</w:t>
            </w:r>
          </w:p>
        </w:tc>
        <w:tc>
          <w:tcPr>
            <w:tcW w:w="0" w:type="auto"/>
            <w:shd w:val="clear" w:color="auto" w:fill="auto"/>
            <w:noWrap w:val="0"/>
            <w:tcMar>
              <w:top w:w="-1" w:type="dxa"/>
              <w:left w:w="-1" w:type="dxa"/>
              <w:bottom w:w="-1" w:type="dxa"/>
              <w:right w:w="-1" w:type="dxa"/>
            </w:tcMar>
            <w:vAlign w:val="center"/>
          </w:tcPr>
          <w:p w14:paraId="1C0EB90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属名+种名</w:t>
            </w:r>
          </w:p>
        </w:tc>
        <w:tc>
          <w:tcPr>
            <w:tcW w:w="1923" w:type="dxa"/>
            <w:shd w:val="clear" w:color="auto" w:fill="auto"/>
            <w:noWrap w:val="0"/>
            <w:tcMar>
              <w:top w:w="-1" w:type="dxa"/>
              <w:left w:w="-1" w:type="dxa"/>
              <w:bottom w:w="-1" w:type="dxa"/>
              <w:right w:w="-1" w:type="dxa"/>
            </w:tcMar>
            <w:vAlign w:val="center"/>
          </w:tcPr>
          <w:p w14:paraId="48F08EE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生物多样性红色名录（2020）</w:t>
            </w:r>
          </w:p>
        </w:tc>
        <w:tc>
          <w:tcPr>
            <w:tcW w:w="1502" w:type="dxa"/>
            <w:shd w:val="clear" w:color="auto" w:fill="auto"/>
            <w:noWrap w:val="0"/>
            <w:tcMar>
              <w:top w:w="-1" w:type="dxa"/>
              <w:left w:w="-1" w:type="dxa"/>
              <w:bottom w:w="-1" w:type="dxa"/>
              <w:right w:w="-1" w:type="dxa"/>
            </w:tcMar>
            <w:vAlign w:val="center"/>
          </w:tcPr>
          <w:p w14:paraId="1FCFAA2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保护等级</w:t>
            </w:r>
          </w:p>
        </w:tc>
      </w:tr>
      <w:tr w14:paraId="40A9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2F3DAE4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w:t>
            </w:r>
          </w:p>
        </w:tc>
        <w:tc>
          <w:tcPr>
            <w:tcW w:w="1536" w:type="dxa"/>
            <w:shd w:val="clear" w:color="auto" w:fill="auto"/>
            <w:noWrap w:val="0"/>
            <w:tcMar>
              <w:top w:w="-1" w:type="dxa"/>
              <w:left w:w="-1" w:type="dxa"/>
              <w:bottom w:w="-1" w:type="dxa"/>
              <w:right w:w="-1" w:type="dxa"/>
            </w:tcMar>
            <w:vAlign w:val="center"/>
          </w:tcPr>
          <w:p w14:paraId="70620FF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细头鳅</w:t>
            </w:r>
          </w:p>
        </w:tc>
        <w:tc>
          <w:tcPr>
            <w:tcW w:w="0" w:type="auto"/>
            <w:shd w:val="clear" w:color="auto" w:fill="auto"/>
            <w:noWrap w:val="0"/>
            <w:tcMar>
              <w:top w:w="-1" w:type="dxa"/>
              <w:left w:w="-1" w:type="dxa"/>
              <w:bottom w:w="-1" w:type="dxa"/>
              <w:right w:w="-1" w:type="dxa"/>
            </w:tcMar>
            <w:vAlign w:val="center"/>
          </w:tcPr>
          <w:p w14:paraId="2D08E927">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Paralepidocephalus yui</w:t>
            </w:r>
          </w:p>
        </w:tc>
        <w:tc>
          <w:tcPr>
            <w:tcW w:w="1923" w:type="dxa"/>
            <w:shd w:val="clear" w:color="auto" w:fill="auto"/>
            <w:noWrap w:val="0"/>
            <w:tcMar>
              <w:top w:w="-1" w:type="dxa"/>
              <w:left w:w="-1" w:type="dxa"/>
              <w:bottom w:w="-1" w:type="dxa"/>
              <w:right w:w="-1" w:type="dxa"/>
            </w:tcMar>
            <w:vAlign w:val="center"/>
          </w:tcPr>
          <w:p w14:paraId="305138F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EN</w:t>
            </w:r>
          </w:p>
        </w:tc>
        <w:tc>
          <w:tcPr>
            <w:tcW w:w="1502" w:type="dxa"/>
            <w:shd w:val="clear" w:color="auto" w:fill="auto"/>
            <w:noWrap w:val="0"/>
            <w:tcMar>
              <w:top w:w="-1" w:type="dxa"/>
              <w:left w:w="-1" w:type="dxa"/>
              <w:bottom w:w="-1" w:type="dxa"/>
              <w:right w:w="-1" w:type="dxa"/>
            </w:tcMar>
            <w:vAlign w:val="center"/>
          </w:tcPr>
          <w:p w14:paraId="4547D3B0">
            <w:pPr>
              <w:pStyle w:val="30"/>
              <w:bidi w:val="0"/>
              <w:rPr>
                <w:rFonts w:hint="default" w:ascii="Times New Roman" w:hAnsi="Times New Roman" w:cs="Times New Roman"/>
                <w:color w:val="auto"/>
                <w:highlight w:val="none"/>
              </w:rPr>
            </w:pPr>
          </w:p>
        </w:tc>
      </w:tr>
      <w:tr w14:paraId="7529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435751F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p>
        </w:tc>
        <w:tc>
          <w:tcPr>
            <w:tcW w:w="1536" w:type="dxa"/>
            <w:shd w:val="clear" w:color="auto" w:fill="auto"/>
            <w:noWrap w:val="0"/>
            <w:tcMar>
              <w:top w:w="-1" w:type="dxa"/>
              <w:left w:w="-1" w:type="dxa"/>
              <w:bottom w:w="-1" w:type="dxa"/>
              <w:right w:w="-1" w:type="dxa"/>
            </w:tcMar>
            <w:vAlign w:val="center"/>
          </w:tcPr>
          <w:p w14:paraId="55570AB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长须爬鳅</w:t>
            </w:r>
          </w:p>
        </w:tc>
        <w:tc>
          <w:tcPr>
            <w:tcW w:w="0" w:type="auto"/>
            <w:shd w:val="clear" w:color="auto" w:fill="auto"/>
            <w:noWrap w:val="0"/>
            <w:tcMar>
              <w:top w:w="-1" w:type="dxa"/>
              <w:left w:w="-1" w:type="dxa"/>
              <w:bottom w:w="-1" w:type="dxa"/>
              <w:right w:w="-1" w:type="dxa"/>
            </w:tcMar>
            <w:vAlign w:val="center"/>
          </w:tcPr>
          <w:p w14:paraId="648FC2BB">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Balitora longibarbatus</w:t>
            </w:r>
          </w:p>
        </w:tc>
        <w:tc>
          <w:tcPr>
            <w:tcW w:w="1923" w:type="dxa"/>
            <w:shd w:val="clear" w:color="auto" w:fill="auto"/>
            <w:noWrap w:val="0"/>
            <w:tcMar>
              <w:top w:w="-1" w:type="dxa"/>
              <w:left w:w="-1" w:type="dxa"/>
              <w:bottom w:w="-1" w:type="dxa"/>
              <w:right w:w="-1" w:type="dxa"/>
            </w:tcMar>
            <w:vAlign w:val="center"/>
          </w:tcPr>
          <w:p w14:paraId="4BB203D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6556CDFE">
            <w:pPr>
              <w:pStyle w:val="30"/>
              <w:bidi w:val="0"/>
              <w:rPr>
                <w:rFonts w:hint="default" w:ascii="Times New Roman" w:hAnsi="Times New Roman" w:cs="Times New Roman"/>
                <w:color w:val="auto"/>
                <w:highlight w:val="none"/>
              </w:rPr>
            </w:pPr>
          </w:p>
        </w:tc>
      </w:tr>
      <w:tr w14:paraId="3821E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34BA830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p>
        </w:tc>
        <w:tc>
          <w:tcPr>
            <w:tcW w:w="1536" w:type="dxa"/>
            <w:shd w:val="clear" w:color="auto" w:fill="auto"/>
            <w:noWrap w:val="0"/>
            <w:tcMar>
              <w:top w:w="-1" w:type="dxa"/>
              <w:left w:w="-1" w:type="dxa"/>
              <w:bottom w:w="-1" w:type="dxa"/>
              <w:right w:w="-1" w:type="dxa"/>
            </w:tcMar>
            <w:vAlign w:val="center"/>
          </w:tcPr>
          <w:p w14:paraId="0BC93AD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大鳍间吸鳅</w:t>
            </w:r>
          </w:p>
        </w:tc>
        <w:tc>
          <w:tcPr>
            <w:tcW w:w="0" w:type="auto"/>
            <w:shd w:val="clear" w:color="auto" w:fill="auto"/>
            <w:noWrap w:val="0"/>
            <w:tcMar>
              <w:top w:w="-1" w:type="dxa"/>
              <w:left w:w="-1" w:type="dxa"/>
              <w:bottom w:w="-1" w:type="dxa"/>
              <w:right w:w="-1" w:type="dxa"/>
            </w:tcMar>
            <w:vAlign w:val="center"/>
          </w:tcPr>
          <w:p w14:paraId="3C0DF201">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Hemimyzon macroptera</w:t>
            </w:r>
          </w:p>
        </w:tc>
        <w:tc>
          <w:tcPr>
            <w:tcW w:w="1923" w:type="dxa"/>
            <w:shd w:val="clear" w:color="auto" w:fill="auto"/>
            <w:noWrap w:val="0"/>
            <w:tcMar>
              <w:top w:w="-1" w:type="dxa"/>
              <w:left w:w="-1" w:type="dxa"/>
              <w:bottom w:w="-1" w:type="dxa"/>
              <w:right w:w="-1" w:type="dxa"/>
            </w:tcMar>
            <w:vAlign w:val="center"/>
          </w:tcPr>
          <w:p w14:paraId="509207E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357430E4">
            <w:pPr>
              <w:pStyle w:val="30"/>
              <w:bidi w:val="0"/>
              <w:rPr>
                <w:rFonts w:hint="default" w:ascii="Times New Roman" w:hAnsi="Times New Roman" w:cs="Times New Roman"/>
                <w:color w:val="auto"/>
                <w:highlight w:val="none"/>
              </w:rPr>
            </w:pPr>
          </w:p>
        </w:tc>
      </w:tr>
      <w:tr w14:paraId="65AB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080E9D6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1536" w:type="dxa"/>
            <w:shd w:val="clear" w:color="auto" w:fill="auto"/>
            <w:noWrap w:val="0"/>
            <w:tcMar>
              <w:top w:w="-1" w:type="dxa"/>
              <w:left w:w="-1" w:type="dxa"/>
              <w:bottom w:w="-1" w:type="dxa"/>
              <w:right w:w="-1" w:type="dxa"/>
            </w:tcMar>
            <w:vAlign w:val="center"/>
          </w:tcPr>
          <w:p w14:paraId="1002599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大眼间吸鳅</w:t>
            </w:r>
          </w:p>
        </w:tc>
        <w:tc>
          <w:tcPr>
            <w:tcW w:w="0" w:type="auto"/>
            <w:shd w:val="clear" w:color="auto" w:fill="auto"/>
            <w:noWrap w:val="0"/>
            <w:tcMar>
              <w:top w:w="-1" w:type="dxa"/>
              <w:left w:w="-1" w:type="dxa"/>
              <w:bottom w:w="-1" w:type="dxa"/>
              <w:right w:w="-1" w:type="dxa"/>
            </w:tcMar>
            <w:vAlign w:val="center"/>
          </w:tcPr>
          <w:p w14:paraId="20FF7F43">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Hemimyzon megalopseos</w:t>
            </w:r>
          </w:p>
        </w:tc>
        <w:tc>
          <w:tcPr>
            <w:tcW w:w="1923" w:type="dxa"/>
            <w:shd w:val="clear" w:color="auto" w:fill="auto"/>
            <w:noWrap w:val="0"/>
            <w:tcMar>
              <w:top w:w="-1" w:type="dxa"/>
              <w:left w:w="-1" w:type="dxa"/>
              <w:bottom w:w="-1" w:type="dxa"/>
              <w:right w:w="-1" w:type="dxa"/>
            </w:tcMar>
            <w:vAlign w:val="center"/>
          </w:tcPr>
          <w:p w14:paraId="7BB7508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72879282">
            <w:pPr>
              <w:pStyle w:val="30"/>
              <w:bidi w:val="0"/>
              <w:rPr>
                <w:rFonts w:hint="default" w:ascii="Times New Roman" w:hAnsi="Times New Roman" w:cs="Times New Roman"/>
                <w:color w:val="auto"/>
                <w:highlight w:val="none"/>
              </w:rPr>
            </w:pPr>
          </w:p>
        </w:tc>
      </w:tr>
      <w:tr w14:paraId="29DCF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60DBF30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w:t>
            </w:r>
          </w:p>
        </w:tc>
        <w:tc>
          <w:tcPr>
            <w:tcW w:w="1536" w:type="dxa"/>
            <w:shd w:val="clear" w:color="auto" w:fill="auto"/>
            <w:noWrap w:val="0"/>
            <w:tcMar>
              <w:top w:w="-1" w:type="dxa"/>
              <w:left w:w="-1" w:type="dxa"/>
              <w:bottom w:w="-1" w:type="dxa"/>
              <w:right w:w="-1" w:type="dxa"/>
            </w:tcMar>
            <w:vAlign w:val="center"/>
          </w:tcPr>
          <w:p w14:paraId="3827D7D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长背云南鳅</w:t>
            </w:r>
          </w:p>
        </w:tc>
        <w:tc>
          <w:tcPr>
            <w:tcW w:w="0" w:type="auto"/>
            <w:shd w:val="clear" w:color="auto" w:fill="auto"/>
            <w:noWrap w:val="0"/>
            <w:tcMar>
              <w:top w:w="-1" w:type="dxa"/>
              <w:left w:w="-1" w:type="dxa"/>
              <w:bottom w:w="-1" w:type="dxa"/>
              <w:right w:w="-1" w:type="dxa"/>
            </w:tcMar>
            <w:vAlign w:val="center"/>
          </w:tcPr>
          <w:p w14:paraId="692FCEF5">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Yunnanilus longidorsalis</w:t>
            </w:r>
          </w:p>
        </w:tc>
        <w:tc>
          <w:tcPr>
            <w:tcW w:w="1923" w:type="dxa"/>
            <w:shd w:val="clear" w:color="auto" w:fill="auto"/>
            <w:noWrap w:val="0"/>
            <w:tcMar>
              <w:top w:w="-1" w:type="dxa"/>
              <w:left w:w="-1" w:type="dxa"/>
              <w:bottom w:w="-1" w:type="dxa"/>
              <w:right w:w="-1" w:type="dxa"/>
            </w:tcMar>
            <w:vAlign w:val="center"/>
          </w:tcPr>
          <w:p w14:paraId="12530DF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05AAB4E1">
            <w:pPr>
              <w:pStyle w:val="30"/>
              <w:bidi w:val="0"/>
              <w:rPr>
                <w:rFonts w:hint="default" w:ascii="Times New Roman" w:hAnsi="Times New Roman" w:cs="Times New Roman"/>
                <w:color w:val="auto"/>
                <w:highlight w:val="none"/>
              </w:rPr>
            </w:pPr>
          </w:p>
        </w:tc>
      </w:tr>
      <w:tr w14:paraId="191D6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66C97F1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w:t>
            </w:r>
          </w:p>
        </w:tc>
        <w:tc>
          <w:tcPr>
            <w:tcW w:w="1536" w:type="dxa"/>
            <w:shd w:val="clear" w:color="auto" w:fill="auto"/>
            <w:noWrap w:val="0"/>
            <w:tcMar>
              <w:top w:w="-1" w:type="dxa"/>
              <w:left w:w="-1" w:type="dxa"/>
              <w:bottom w:w="-1" w:type="dxa"/>
              <w:right w:w="-1" w:type="dxa"/>
            </w:tcMar>
            <w:vAlign w:val="center"/>
          </w:tcPr>
          <w:p w14:paraId="0A190F0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南盘江云南鳅</w:t>
            </w:r>
          </w:p>
        </w:tc>
        <w:tc>
          <w:tcPr>
            <w:tcW w:w="0" w:type="auto"/>
            <w:shd w:val="clear" w:color="auto" w:fill="auto"/>
            <w:noWrap w:val="0"/>
            <w:tcMar>
              <w:top w:w="-1" w:type="dxa"/>
              <w:left w:w="-1" w:type="dxa"/>
              <w:bottom w:w="-1" w:type="dxa"/>
              <w:right w:w="-1" w:type="dxa"/>
            </w:tcMar>
            <w:vAlign w:val="center"/>
          </w:tcPr>
          <w:p w14:paraId="6FB02CF3">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Yunnanilus nanpanjiangensis</w:t>
            </w:r>
          </w:p>
        </w:tc>
        <w:tc>
          <w:tcPr>
            <w:tcW w:w="1923" w:type="dxa"/>
            <w:shd w:val="clear" w:color="auto" w:fill="auto"/>
            <w:noWrap w:val="0"/>
            <w:tcMar>
              <w:top w:w="-1" w:type="dxa"/>
              <w:left w:w="-1" w:type="dxa"/>
              <w:bottom w:w="-1" w:type="dxa"/>
              <w:right w:w="-1" w:type="dxa"/>
            </w:tcMar>
            <w:vAlign w:val="center"/>
          </w:tcPr>
          <w:p w14:paraId="5403769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47225B31">
            <w:pPr>
              <w:pStyle w:val="30"/>
              <w:bidi w:val="0"/>
              <w:rPr>
                <w:rFonts w:hint="default" w:ascii="Times New Roman" w:hAnsi="Times New Roman" w:cs="Times New Roman"/>
                <w:color w:val="auto"/>
                <w:highlight w:val="none"/>
              </w:rPr>
            </w:pPr>
          </w:p>
        </w:tc>
      </w:tr>
      <w:tr w14:paraId="59A62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0796FC0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7</w:t>
            </w:r>
          </w:p>
        </w:tc>
        <w:tc>
          <w:tcPr>
            <w:tcW w:w="1536" w:type="dxa"/>
            <w:shd w:val="clear" w:color="auto" w:fill="auto"/>
            <w:noWrap w:val="0"/>
            <w:tcMar>
              <w:top w:w="-1" w:type="dxa"/>
              <w:left w:w="-1" w:type="dxa"/>
              <w:bottom w:w="-1" w:type="dxa"/>
              <w:right w:w="-1" w:type="dxa"/>
            </w:tcMar>
            <w:vAlign w:val="center"/>
          </w:tcPr>
          <w:p w14:paraId="0676075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黑体云南鳅</w:t>
            </w:r>
          </w:p>
        </w:tc>
        <w:tc>
          <w:tcPr>
            <w:tcW w:w="0" w:type="auto"/>
            <w:shd w:val="clear" w:color="auto" w:fill="auto"/>
            <w:noWrap w:val="0"/>
            <w:tcMar>
              <w:top w:w="-1" w:type="dxa"/>
              <w:left w:w="-1" w:type="dxa"/>
              <w:bottom w:w="-1" w:type="dxa"/>
              <w:right w:w="-1" w:type="dxa"/>
            </w:tcMar>
            <w:vAlign w:val="center"/>
          </w:tcPr>
          <w:p w14:paraId="61B4DF50">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Yunnanilus niger</w:t>
            </w:r>
          </w:p>
        </w:tc>
        <w:tc>
          <w:tcPr>
            <w:tcW w:w="1923" w:type="dxa"/>
            <w:shd w:val="clear" w:color="auto" w:fill="auto"/>
            <w:noWrap w:val="0"/>
            <w:tcMar>
              <w:top w:w="-1" w:type="dxa"/>
              <w:left w:w="-1" w:type="dxa"/>
              <w:bottom w:w="-1" w:type="dxa"/>
              <w:right w:w="-1" w:type="dxa"/>
            </w:tcMar>
            <w:vAlign w:val="center"/>
          </w:tcPr>
          <w:p w14:paraId="54F6716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7DE32F5F">
            <w:pPr>
              <w:pStyle w:val="30"/>
              <w:bidi w:val="0"/>
              <w:rPr>
                <w:rFonts w:hint="default" w:ascii="Times New Roman" w:hAnsi="Times New Roman" w:cs="Times New Roman"/>
                <w:color w:val="auto"/>
                <w:highlight w:val="none"/>
              </w:rPr>
            </w:pPr>
          </w:p>
        </w:tc>
      </w:tr>
      <w:tr w14:paraId="1EFDE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3F75407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w:t>
            </w:r>
          </w:p>
        </w:tc>
        <w:tc>
          <w:tcPr>
            <w:tcW w:w="1536" w:type="dxa"/>
            <w:shd w:val="clear" w:color="auto" w:fill="auto"/>
            <w:noWrap w:val="0"/>
            <w:tcMar>
              <w:top w:w="-1" w:type="dxa"/>
              <w:left w:w="-1" w:type="dxa"/>
              <w:bottom w:w="-1" w:type="dxa"/>
              <w:right w:w="-1" w:type="dxa"/>
            </w:tcMar>
            <w:vAlign w:val="center"/>
          </w:tcPr>
          <w:p w14:paraId="294A711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沼泽云南鳅</w:t>
            </w:r>
          </w:p>
        </w:tc>
        <w:tc>
          <w:tcPr>
            <w:tcW w:w="0" w:type="auto"/>
            <w:shd w:val="clear" w:color="auto" w:fill="auto"/>
            <w:noWrap w:val="0"/>
            <w:tcMar>
              <w:top w:w="-1" w:type="dxa"/>
              <w:left w:w="-1" w:type="dxa"/>
              <w:bottom w:w="-1" w:type="dxa"/>
              <w:right w:w="-1" w:type="dxa"/>
            </w:tcMar>
            <w:vAlign w:val="center"/>
          </w:tcPr>
          <w:p w14:paraId="55BC2BB1">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Yunnanilus paludosus</w:t>
            </w:r>
          </w:p>
        </w:tc>
        <w:tc>
          <w:tcPr>
            <w:tcW w:w="1923" w:type="dxa"/>
            <w:shd w:val="clear" w:color="auto" w:fill="auto"/>
            <w:noWrap w:val="0"/>
            <w:tcMar>
              <w:top w:w="-1" w:type="dxa"/>
              <w:left w:w="-1" w:type="dxa"/>
              <w:bottom w:w="-1" w:type="dxa"/>
              <w:right w:w="-1" w:type="dxa"/>
            </w:tcMar>
            <w:vAlign w:val="center"/>
          </w:tcPr>
          <w:p w14:paraId="4443D6D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6FD74F55">
            <w:pPr>
              <w:pStyle w:val="30"/>
              <w:bidi w:val="0"/>
              <w:rPr>
                <w:rFonts w:hint="default" w:ascii="Times New Roman" w:hAnsi="Times New Roman" w:cs="Times New Roman"/>
                <w:color w:val="auto"/>
                <w:highlight w:val="none"/>
              </w:rPr>
            </w:pPr>
          </w:p>
        </w:tc>
      </w:tr>
      <w:tr w14:paraId="24C98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2557DC6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w:t>
            </w:r>
          </w:p>
        </w:tc>
        <w:tc>
          <w:tcPr>
            <w:tcW w:w="1536" w:type="dxa"/>
            <w:shd w:val="clear" w:color="auto" w:fill="auto"/>
            <w:noWrap w:val="0"/>
            <w:tcMar>
              <w:top w:w="-1" w:type="dxa"/>
              <w:left w:w="-1" w:type="dxa"/>
              <w:bottom w:w="-1" w:type="dxa"/>
              <w:right w:w="-1" w:type="dxa"/>
            </w:tcMar>
            <w:vAlign w:val="center"/>
          </w:tcPr>
          <w:p w14:paraId="064EBC7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寡鳞荷马条鳅</w:t>
            </w:r>
          </w:p>
        </w:tc>
        <w:tc>
          <w:tcPr>
            <w:tcW w:w="0" w:type="auto"/>
            <w:shd w:val="clear" w:color="auto" w:fill="auto"/>
            <w:noWrap w:val="0"/>
            <w:tcMar>
              <w:top w:w="-1" w:type="dxa"/>
              <w:left w:w="-1" w:type="dxa"/>
              <w:bottom w:w="-1" w:type="dxa"/>
              <w:right w:w="-1" w:type="dxa"/>
            </w:tcMar>
            <w:vAlign w:val="center"/>
          </w:tcPr>
          <w:p w14:paraId="4040B244">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Homatula oligolepis</w:t>
            </w:r>
          </w:p>
        </w:tc>
        <w:tc>
          <w:tcPr>
            <w:tcW w:w="1923" w:type="dxa"/>
            <w:shd w:val="clear" w:color="auto" w:fill="auto"/>
            <w:noWrap w:val="0"/>
            <w:tcMar>
              <w:top w:w="-1" w:type="dxa"/>
              <w:left w:w="-1" w:type="dxa"/>
              <w:bottom w:w="-1" w:type="dxa"/>
              <w:right w:w="-1" w:type="dxa"/>
            </w:tcMar>
            <w:vAlign w:val="center"/>
          </w:tcPr>
          <w:p w14:paraId="7697ECD1">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47DE27DB">
            <w:pPr>
              <w:pStyle w:val="30"/>
              <w:bidi w:val="0"/>
              <w:rPr>
                <w:rFonts w:hint="default" w:ascii="Times New Roman" w:hAnsi="Times New Roman" w:cs="Times New Roman"/>
                <w:color w:val="auto"/>
                <w:highlight w:val="none"/>
              </w:rPr>
            </w:pPr>
          </w:p>
        </w:tc>
      </w:tr>
      <w:tr w14:paraId="5E89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3859477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w:t>
            </w:r>
          </w:p>
        </w:tc>
        <w:tc>
          <w:tcPr>
            <w:tcW w:w="1536" w:type="dxa"/>
            <w:shd w:val="clear" w:color="auto" w:fill="auto"/>
            <w:noWrap w:val="0"/>
            <w:tcMar>
              <w:top w:w="-1" w:type="dxa"/>
              <w:left w:w="-1" w:type="dxa"/>
              <w:bottom w:w="-1" w:type="dxa"/>
              <w:right w:w="-1" w:type="dxa"/>
            </w:tcMar>
            <w:vAlign w:val="center"/>
          </w:tcPr>
          <w:p w14:paraId="4E5EDD6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大斑高原鳅</w:t>
            </w:r>
          </w:p>
        </w:tc>
        <w:tc>
          <w:tcPr>
            <w:tcW w:w="0" w:type="auto"/>
            <w:shd w:val="clear" w:color="auto" w:fill="auto"/>
            <w:noWrap w:val="0"/>
            <w:tcMar>
              <w:top w:w="-1" w:type="dxa"/>
              <w:left w:w="-1" w:type="dxa"/>
              <w:bottom w:w="-1" w:type="dxa"/>
              <w:right w:w="-1" w:type="dxa"/>
            </w:tcMar>
            <w:vAlign w:val="center"/>
          </w:tcPr>
          <w:p w14:paraId="1CF3E169">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Triplophysa macromaculata</w:t>
            </w:r>
          </w:p>
        </w:tc>
        <w:tc>
          <w:tcPr>
            <w:tcW w:w="1923" w:type="dxa"/>
            <w:shd w:val="clear" w:color="auto" w:fill="auto"/>
            <w:noWrap w:val="0"/>
            <w:tcMar>
              <w:top w:w="-1" w:type="dxa"/>
              <w:left w:w="-1" w:type="dxa"/>
              <w:bottom w:w="-1" w:type="dxa"/>
              <w:right w:w="-1" w:type="dxa"/>
            </w:tcMar>
            <w:vAlign w:val="center"/>
          </w:tcPr>
          <w:p w14:paraId="5B9D2E7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30ABD0DE">
            <w:pPr>
              <w:pStyle w:val="30"/>
              <w:bidi w:val="0"/>
              <w:rPr>
                <w:rFonts w:hint="default" w:ascii="Times New Roman" w:hAnsi="Times New Roman" w:cs="Times New Roman"/>
                <w:color w:val="auto"/>
                <w:highlight w:val="none"/>
              </w:rPr>
            </w:pPr>
          </w:p>
        </w:tc>
      </w:tr>
      <w:tr w14:paraId="40F85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3D377D2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w:t>
            </w:r>
          </w:p>
        </w:tc>
        <w:tc>
          <w:tcPr>
            <w:tcW w:w="1536" w:type="dxa"/>
            <w:shd w:val="clear" w:color="auto" w:fill="auto"/>
            <w:noWrap w:val="0"/>
            <w:tcMar>
              <w:top w:w="-1" w:type="dxa"/>
              <w:left w:w="-1" w:type="dxa"/>
              <w:bottom w:w="-1" w:type="dxa"/>
              <w:right w:w="-1" w:type="dxa"/>
            </w:tcMar>
            <w:vAlign w:val="center"/>
          </w:tcPr>
          <w:p w14:paraId="428747D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南盘江高原鳅</w:t>
            </w:r>
          </w:p>
        </w:tc>
        <w:tc>
          <w:tcPr>
            <w:tcW w:w="0" w:type="auto"/>
            <w:shd w:val="clear" w:color="auto" w:fill="auto"/>
            <w:noWrap w:val="0"/>
            <w:tcMar>
              <w:top w:w="-1" w:type="dxa"/>
              <w:left w:w="-1" w:type="dxa"/>
              <w:bottom w:w="-1" w:type="dxa"/>
              <w:right w:w="-1" w:type="dxa"/>
            </w:tcMar>
            <w:vAlign w:val="center"/>
          </w:tcPr>
          <w:p w14:paraId="21EC6E4F">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Triplophysa nanpanjiangensis</w:t>
            </w:r>
          </w:p>
        </w:tc>
        <w:tc>
          <w:tcPr>
            <w:tcW w:w="1923" w:type="dxa"/>
            <w:shd w:val="clear" w:color="auto" w:fill="auto"/>
            <w:noWrap w:val="0"/>
            <w:tcMar>
              <w:top w:w="-1" w:type="dxa"/>
              <w:left w:w="-1" w:type="dxa"/>
              <w:bottom w:w="-1" w:type="dxa"/>
              <w:right w:w="-1" w:type="dxa"/>
            </w:tcMar>
            <w:vAlign w:val="center"/>
          </w:tcPr>
          <w:p w14:paraId="76B7D84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388DE62A">
            <w:pPr>
              <w:pStyle w:val="30"/>
              <w:bidi w:val="0"/>
              <w:rPr>
                <w:rFonts w:hint="default" w:ascii="Times New Roman" w:hAnsi="Times New Roman" w:cs="Times New Roman"/>
                <w:color w:val="auto"/>
                <w:highlight w:val="none"/>
              </w:rPr>
            </w:pPr>
          </w:p>
        </w:tc>
      </w:tr>
      <w:tr w14:paraId="72EFF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6E40B3D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w:t>
            </w:r>
          </w:p>
        </w:tc>
        <w:tc>
          <w:tcPr>
            <w:tcW w:w="1536" w:type="dxa"/>
            <w:shd w:val="clear" w:color="auto" w:fill="auto"/>
            <w:noWrap w:val="0"/>
            <w:tcMar>
              <w:top w:w="-1" w:type="dxa"/>
              <w:left w:w="-1" w:type="dxa"/>
              <w:bottom w:w="-1" w:type="dxa"/>
              <w:right w:w="-1" w:type="dxa"/>
            </w:tcMar>
            <w:vAlign w:val="center"/>
          </w:tcPr>
          <w:p w14:paraId="4A05CDD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小高原鳅</w:t>
            </w:r>
          </w:p>
        </w:tc>
        <w:tc>
          <w:tcPr>
            <w:tcW w:w="0" w:type="auto"/>
            <w:shd w:val="clear" w:color="auto" w:fill="auto"/>
            <w:noWrap w:val="0"/>
            <w:tcMar>
              <w:top w:w="-1" w:type="dxa"/>
              <w:left w:w="-1" w:type="dxa"/>
              <w:bottom w:w="-1" w:type="dxa"/>
              <w:right w:w="-1" w:type="dxa"/>
            </w:tcMar>
            <w:vAlign w:val="center"/>
          </w:tcPr>
          <w:p w14:paraId="00CBA95E">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Triplophysa parvus</w:t>
            </w:r>
          </w:p>
        </w:tc>
        <w:tc>
          <w:tcPr>
            <w:tcW w:w="1923" w:type="dxa"/>
            <w:shd w:val="clear" w:color="auto" w:fill="auto"/>
            <w:noWrap w:val="0"/>
            <w:tcMar>
              <w:top w:w="-1" w:type="dxa"/>
              <w:left w:w="-1" w:type="dxa"/>
              <w:bottom w:w="-1" w:type="dxa"/>
              <w:right w:w="-1" w:type="dxa"/>
            </w:tcMar>
            <w:vAlign w:val="center"/>
          </w:tcPr>
          <w:p w14:paraId="37A8A42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EN</w:t>
            </w:r>
          </w:p>
        </w:tc>
        <w:tc>
          <w:tcPr>
            <w:tcW w:w="1502" w:type="dxa"/>
            <w:shd w:val="clear" w:color="auto" w:fill="auto"/>
            <w:noWrap w:val="0"/>
            <w:tcMar>
              <w:top w:w="-1" w:type="dxa"/>
              <w:left w:w="-1" w:type="dxa"/>
              <w:bottom w:w="-1" w:type="dxa"/>
              <w:right w:w="-1" w:type="dxa"/>
            </w:tcMar>
            <w:vAlign w:val="center"/>
          </w:tcPr>
          <w:p w14:paraId="5DC8BDD6">
            <w:pPr>
              <w:pStyle w:val="30"/>
              <w:bidi w:val="0"/>
              <w:rPr>
                <w:rFonts w:hint="default" w:ascii="Times New Roman" w:hAnsi="Times New Roman" w:cs="Times New Roman"/>
                <w:color w:val="auto"/>
                <w:highlight w:val="none"/>
              </w:rPr>
            </w:pPr>
          </w:p>
        </w:tc>
      </w:tr>
      <w:tr w14:paraId="375F4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6590A02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13</w:t>
            </w:r>
          </w:p>
        </w:tc>
        <w:tc>
          <w:tcPr>
            <w:tcW w:w="1536" w:type="dxa"/>
            <w:shd w:val="clear" w:color="auto" w:fill="auto"/>
            <w:noWrap w:val="0"/>
            <w:tcMar>
              <w:top w:w="-1" w:type="dxa"/>
              <w:left w:w="-1" w:type="dxa"/>
              <w:bottom w:w="-1" w:type="dxa"/>
              <w:right w:w="-1" w:type="dxa"/>
            </w:tcMar>
            <w:vAlign w:val="center"/>
          </w:tcPr>
          <w:p w14:paraId="5B13557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云南高原鳅</w:t>
            </w:r>
          </w:p>
        </w:tc>
        <w:tc>
          <w:tcPr>
            <w:tcW w:w="0" w:type="auto"/>
            <w:shd w:val="clear" w:color="auto" w:fill="auto"/>
            <w:noWrap w:val="0"/>
            <w:tcMar>
              <w:top w:w="-1" w:type="dxa"/>
              <w:left w:w="-1" w:type="dxa"/>
              <w:bottom w:w="-1" w:type="dxa"/>
              <w:right w:w="-1" w:type="dxa"/>
            </w:tcMar>
            <w:vAlign w:val="center"/>
          </w:tcPr>
          <w:p w14:paraId="4F5D27CA">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Triplophysa yunnanensis</w:t>
            </w:r>
          </w:p>
        </w:tc>
        <w:tc>
          <w:tcPr>
            <w:tcW w:w="1923" w:type="dxa"/>
            <w:shd w:val="clear" w:color="auto" w:fill="auto"/>
            <w:noWrap w:val="0"/>
            <w:tcMar>
              <w:top w:w="-1" w:type="dxa"/>
              <w:left w:w="-1" w:type="dxa"/>
              <w:bottom w:w="-1" w:type="dxa"/>
              <w:right w:w="-1" w:type="dxa"/>
            </w:tcMar>
            <w:vAlign w:val="center"/>
          </w:tcPr>
          <w:p w14:paraId="02DF505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0A134CED">
            <w:pPr>
              <w:pStyle w:val="30"/>
              <w:bidi w:val="0"/>
              <w:rPr>
                <w:rFonts w:hint="default" w:ascii="Times New Roman" w:hAnsi="Times New Roman" w:cs="Times New Roman"/>
                <w:color w:val="auto"/>
                <w:highlight w:val="none"/>
              </w:rPr>
            </w:pPr>
          </w:p>
        </w:tc>
      </w:tr>
      <w:tr w14:paraId="52F13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5BBE7DB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14</w:t>
            </w:r>
          </w:p>
        </w:tc>
        <w:tc>
          <w:tcPr>
            <w:tcW w:w="1536" w:type="dxa"/>
            <w:shd w:val="clear" w:color="auto" w:fill="auto"/>
            <w:noWrap w:val="0"/>
            <w:tcMar>
              <w:top w:w="-1" w:type="dxa"/>
              <w:left w:w="-1" w:type="dxa"/>
              <w:bottom w:w="-1" w:type="dxa"/>
              <w:right w:w="-1" w:type="dxa"/>
            </w:tcMar>
            <w:vAlign w:val="center"/>
          </w:tcPr>
          <w:p w14:paraId="6D46A11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多依河白鱼</w:t>
            </w:r>
          </w:p>
        </w:tc>
        <w:tc>
          <w:tcPr>
            <w:tcW w:w="0" w:type="auto"/>
            <w:shd w:val="clear" w:color="auto" w:fill="auto"/>
            <w:noWrap w:val="0"/>
            <w:tcMar>
              <w:top w:w="-1" w:type="dxa"/>
              <w:left w:w="-1" w:type="dxa"/>
              <w:bottom w:w="-1" w:type="dxa"/>
              <w:right w:w="-1" w:type="dxa"/>
            </w:tcMar>
            <w:vAlign w:val="center"/>
          </w:tcPr>
          <w:p w14:paraId="2A752E22">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Anabarilius duoyiheensis</w:t>
            </w:r>
          </w:p>
        </w:tc>
        <w:tc>
          <w:tcPr>
            <w:tcW w:w="1923" w:type="dxa"/>
            <w:shd w:val="clear" w:color="auto" w:fill="auto"/>
            <w:noWrap w:val="0"/>
            <w:tcMar>
              <w:top w:w="-1" w:type="dxa"/>
              <w:left w:w="-1" w:type="dxa"/>
              <w:bottom w:w="-1" w:type="dxa"/>
              <w:right w:w="-1" w:type="dxa"/>
            </w:tcMar>
            <w:vAlign w:val="center"/>
          </w:tcPr>
          <w:p w14:paraId="05DB2CBC">
            <w:pPr>
              <w:pStyle w:val="30"/>
              <w:bidi w:val="0"/>
              <w:rPr>
                <w:rFonts w:hint="default" w:ascii="Times New Roman" w:hAnsi="Times New Roman" w:cs="Times New Roman"/>
                <w:color w:val="auto"/>
                <w:highlight w:val="none"/>
              </w:rPr>
            </w:pPr>
          </w:p>
        </w:tc>
        <w:tc>
          <w:tcPr>
            <w:tcW w:w="1502" w:type="dxa"/>
            <w:shd w:val="clear" w:color="auto" w:fill="auto"/>
            <w:noWrap w:val="0"/>
            <w:tcMar>
              <w:top w:w="-1" w:type="dxa"/>
              <w:left w:w="-1" w:type="dxa"/>
              <w:bottom w:w="-1" w:type="dxa"/>
              <w:right w:w="-1" w:type="dxa"/>
            </w:tcMar>
            <w:vAlign w:val="center"/>
          </w:tcPr>
          <w:p w14:paraId="49E5022A">
            <w:pPr>
              <w:pStyle w:val="30"/>
              <w:bidi w:val="0"/>
              <w:rPr>
                <w:rFonts w:hint="default" w:ascii="Times New Roman" w:hAnsi="Times New Roman" w:cs="Times New Roman"/>
                <w:color w:val="auto"/>
                <w:highlight w:val="none"/>
              </w:rPr>
            </w:pPr>
          </w:p>
        </w:tc>
      </w:tr>
      <w:tr w14:paraId="304D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312D58D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15</w:t>
            </w:r>
          </w:p>
        </w:tc>
        <w:tc>
          <w:tcPr>
            <w:tcW w:w="1536" w:type="dxa"/>
            <w:shd w:val="clear" w:color="auto" w:fill="auto"/>
            <w:noWrap w:val="0"/>
            <w:tcMar>
              <w:top w:w="-1" w:type="dxa"/>
              <w:left w:w="-1" w:type="dxa"/>
              <w:bottom w:w="-1" w:type="dxa"/>
              <w:right w:w="-1" w:type="dxa"/>
            </w:tcMar>
            <w:vAlign w:val="center"/>
          </w:tcPr>
          <w:p w14:paraId="1E45BC5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长尾白鱼</w:t>
            </w:r>
          </w:p>
        </w:tc>
        <w:tc>
          <w:tcPr>
            <w:tcW w:w="0" w:type="auto"/>
            <w:shd w:val="clear" w:color="auto" w:fill="auto"/>
            <w:noWrap w:val="0"/>
            <w:tcMar>
              <w:top w:w="-1" w:type="dxa"/>
              <w:left w:w="-1" w:type="dxa"/>
              <w:bottom w:w="-1" w:type="dxa"/>
              <w:right w:w="-1" w:type="dxa"/>
            </w:tcMar>
            <w:vAlign w:val="center"/>
          </w:tcPr>
          <w:p w14:paraId="1BCEDE91">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Anabarilius longicaudatus</w:t>
            </w:r>
          </w:p>
        </w:tc>
        <w:tc>
          <w:tcPr>
            <w:tcW w:w="1923" w:type="dxa"/>
            <w:shd w:val="clear" w:color="auto" w:fill="auto"/>
            <w:noWrap w:val="0"/>
            <w:tcMar>
              <w:top w:w="-1" w:type="dxa"/>
              <w:left w:w="-1" w:type="dxa"/>
              <w:bottom w:w="-1" w:type="dxa"/>
              <w:right w:w="-1" w:type="dxa"/>
            </w:tcMar>
            <w:vAlign w:val="center"/>
          </w:tcPr>
          <w:p w14:paraId="5A911F4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EN</w:t>
            </w:r>
          </w:p>
        </w:tc>
        <w:tc>
          <w:tcPr>
            <w:tcW w:w="1502" w:type="dxa"/>
            <w:shd w:val="clear" w:color="auto" w:fill="auto"/>
            <w:noWrap w:val="0"/>
            <w:tcMar>
              <w:top w:w="-1" w:type="dxa"/>
              <w:left w:w="-1" w:type="dxa"/>
              <w:bottom w:w="-1" w:type="dxa"/>
              <w:right w:w="-1" w:type="dxa"/>
            </w:tcMar>
            <w:vAlign w:val="center"/>
          </w:tcPr>
          <w:p w14:paraId="79D06BC0">
            <w:pPr>
              <w:pStyle w:val="30"/>
              <w:bidi w:val="0"/>
              <w:rPr>
                <w:rFonts w:hint="default" w:ascii="Times New Roman" w:hAnsi="Times New Roman" w:cs="Times New Roman"/>
                <w:color w:val="auto"/>
                <w:highlight w:val="none"/>
              </w:rPr>
            </w:pPr>
          </w:p>
        </w:tc>
      </w:tr>
      <w:tr w14:paraId="4D4C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453C26D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16</w:t>
            </w:r>
          </w:p>
        </w:tc>
        <w:tc>
          <w:tcPr>
            <w:tcW w:w="1536" w:type="dxa"/>
            <w:shd w:val="clear" w:color="auto" w:fill="auto"/>
            <w:noWrap w:val="0"/>
            <w:tcMar>
              <w:top w:w="-1" w:type="dxa"/>
              <w:left w:w="-1" w:type="dxa"/>
              <w:bottom w:w="-1" w:type="dxa"/>
              <w:right w:w="-1" w:type="dxa"/>
            </w:tcMar>
            <w:vAlign w:val="center"/>
          </w:tcPr>
          <w:p w14:paraId="0794D37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大鳞白鱼</w:t>
            </w:r>
          </w:p>
        </w:tc>
        <w:tc>
          <w:tcPr>
            <w:tcW w:w="0" w:type="auto"/>
            <w:shd w:val="clear" w:color="auto" w:fill="auto"/>
            <w:noWrap w:val="0"/>
            <w:tcMar>
              <w:top w:w="-1" w:type="dxa"/>
              <w:left w:w="-1" w:type="dxa"/>
              <w:bottom w:w="-1" w:type="dxa"/>
              <w:right w:w="-1" w:type="dxa"/>
            </w:tcMar>
            <w:vAlign w:val="center"/>
          </w:tcPr>
          <w:p w14:paraId="5523D2E8">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Anabarilius macrolepis</w:t>
            </w:r>
          </w:p>
        </w:tc>
        <w:tc>
          <w:tcPr>
            <w:tcW w:w="1923" w:type="dxa"/>
            <w:shd w:val="clear" w:color="auto" w:fill="auto"/>
            <w:noWrap w:val="0"/>
            <w:tcMar>
              <w:top w:w="-1" w:type="dxa"/>
              <w:left w:w="-1" w:type="dxa"/>
              <w:bottom w:w="-1" w:type="dxa"/>
              <w:right w:w="-1" w:type="dxa"/>
            </w:tcMar>
            <w:vAlign w:val="center"/>
          </w:tcPr>
          <w:p w14:paraId="68414F09">
            <w:pPr>
              <w:pStyle w:val="30"/>
              <w:bidi w:val="0"/>
              <w:rPr>
                <w:rFonts w:hint="default" w:ascii="Times New Roman" w:hAnsi="Times New Roman" w:cs="Times New Roman"/>
                <w:color w:val="auto"/>
                <w:highlight w:val="none"/>
              </w:rPr>
            </w:pPr>
          </w:p>
        </w:tc>
        <w:tc>
          <w:tcPr>
            <w:tcW w:w="1502" w:type="dxa"/>
            <w:shd w:val="clear" w:color="auto" w:fill="auto"/>
            <w:noWrap w:val="0"/>
            <w:tcMar>
              <w:top w:w="-1" w:type="dxa"/>
              <w:left w:w="-1" w:type="dxa"/>
              <w:bottom w:w="-1" w:type="dxa"/>
              <w:right w:w="-1" w:type="dxa"/>
            </w:tcMar>
            <w:vAlign w:val="center"/>
          </w:tcPr>
          <w:p w14:paraId="3F599335">
            <w:pPr>
              <w:pStyle w:val="30"/>
              <w:bidi w:val="0"/>
              <w:rPr>
                <w:rFonts w:hint="default" w:ascii="Times New Roman" w:hAnsi="Times New Roman" w:cs="Times New Roman"/>
                <w:color w:val="auto"/>
                <w:highlight w:val="none"/>
              </w:rPr>
            </w:pPr>
          </w:p>
        </w:tc>
      </w:tr>
      <w:tr w14:paraId="0C39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6701F3E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17</w:t>
            </w:r>
          </w:p>
        </w:tc>
        <w:tc>
          <w:tcPr>
            <w:tcW w:w="1536" w:type="dxa"/>
            <w:shd w:val="clear" w:color="auto" w:fill="auto"/>
            <w:noWrap w:val="0"/>
            <w:tcMar>
              <w:top w:w="-1" w:type="dxa"/>
              <w:left w:w="-1" w:type="dxa"/>
              <w:bottom w:w="-1" w:type="dxa"/>
              <w:right w:w="-1" w:type="dxa"/>
            </w:tcMar>
            <w:vAlign w:val="center"/>
          </w:tcPr>
          <w:p w14:paraId="362A038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斑白鱼</w:t>
            </w:r>
          </w:p>
        </w:tc>
        <w:tc>
          <w:tcPr>
            <w:tcW w:w="0" w:type="auto"/>
            <w:shd w:val="clear" w:color="auto" w:fill="auto"/>
            <w:noWrap w:val="0"/>
            <w:tcMar>
              <w:top w:w="-1" w:type="dxa"/>
              <w:left w:w="-1" w:type="dxa"/>
              <w:bottom w:w="-1" w:type="dxa"/>
              <w:right w:w="-1" w:type="dxa"/>
            </w:tcMar>
            <w:vAlign w:val="center"/>
          </w:tcPr>
          <w:p w14:paraId="344B4215">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Anabarilius maculatus</w:t>
            </w:r>
          </w:p>
        </w:tc>
        <w:tc>
          <w:tcPr>
            <w:tcW w:w="1923" w:type="dxa"/>
            <w:shd w:val="clear" w:color="auto" w:fill="auto"/>
            <w:noWrap w:val="0"/>
            <w:tcMar>
              <w:top w:w="-1" w:type="dxa"/>
              <w:left w:w="-1" w:type="dxa"/>
              <w:bottom w:w="-1" w:type="dxa"/>
              <w:right w:w="-1" w:type="dxa"/>
            </w:tcMar>
            <w:vAlign w:val="center"/>
          </w:tcPr>
          <w:p w14:paraId="609289C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EN</w:t>
            </w:r>
          </w:p>
        </w:tc>
        <w:tc>
          <w:tcPr>
            <w:tcW w:w="1502" w:type="dxa"/>
            <w:shd w:val="clear" w:color="auto" w:fill="auto"/>
            <w:noWrap w:val="0"/>
            <w:tcMar>
              <w:top w:w="-1" w:type="dxa"/>
              <w:left w:w="-1" w:type="dxa"/>
              <w:bottom w:w="-1" w:type="dxa"/>
              <w:right w:w="-1" w:type="dxa"/>
            </w:tcMar>
            <w:vAlign w:val="center"/>
          </w:tcPr>
          <w:p w14:paraId="1F10D94F">
            <w:pPr>
              <w:pStyle w:val="30"/>
              <w:bidi w:val="0"/>
              <w:rPr>
                <w:rFonts w:hint="default" w:ascii="Times New Roman" w:hAnsi="Times New Roman" w:cs="Times New Roman"/>
                <w:color w:val="auto"/>
                <w:highlight w:val="none"/>
              </w:rPr>
            </w:pPr>
          </w:p>
        </w:tc>
      </w:tr>
      <w:tr w14:paraId="5A3C7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416EA29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18</w:t>
            </w:r>
          </w:p>
        </w:tc>
        <w:tc>
          <w:tcPr>
            <w:tcW w:w="1536" w:type="dxa"/>
            <w:shd w:val="clear" w:color="auto" w:fill="auto"/>
            <w:noWrap w:val="0"/>
            <w:tcMar>
              <w:top w:w="-1" w:type="dxa"/>
              <w:left w:w="-1" w:type="dxa"/>
              <w:bottom w:w="-1" w:type="dxa"/>
              <w:right w:w="-1" w:type="dxa"/>
            </w:tcMar>
            <w:vAlign w:val="center"/>
          </w:tcPr>
          <w:p w14:paraId="0DA816A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狭孔金线鲃</w:t>
            </w:r>
          </w:p>
        </w:tc>
        <w:tc>
          <w:tcPr>
            <w:tcW w:w="0" w:type="auto"/>
            <w:shd w:val="clear" w:color="auto" w:fill="auto"/>
            <w:noWrap w:val="0"/>
            <w:tcMar>
              <w:top w:w="-1" w:type="dxa"/>
              <w:left w:w="-1" w:type="dxa"/>
              <w:bottom w:w="-1" w:type="dxa"/>
              <w:right w:w="-1" w:type="dxa"/>
            </w:tcMar>
            <w:vAlign w:val="center"/>
          </w:tcPr>
          <w:p w14:paraId="09D28999">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Sinocyclocheilus angustiporus</w:t>
            </w:r>
          </w:p>
        </w:tc>
        <w:tc>
          <w:tcPr>
            <w:tcW w:w="1923" w:type="dxa"/>
            <w:shd w:val="clear" w:color="auto" w:fill="auto"/>
            <w:noWrap w:val="0"/>
            <w:tcMar>
              <w:top w:w="-1" w:type="dxa"/>
              <w:left w:w="-1" w:type="dxa"/>
              <w:bottom w:w="-1" w:type="dxa"/>
              <w:right w:w="-1" w:type="dxa"/>
            </w:tcMar>
            <w:vAlign w:val="center"/>
          </w:tcPr>
          <w:p w14:paraId="777FA07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NT</w:t>
            </w:r>
          </w:p>
        </w:tc>
        <w:tc>
          <w:tcPr>
            <w:tcW w:w="1502" w:type="dxa"/>
            <w:shd w:val="clear" w:color="auto" w:fill="auto"/>
            <w:noWrap w:val="0"/>
            <w:tcMar>
              <w:top w:w="-1" w:type="dxa"/>
              <w:left w:w="-1" w:type="dxa"/>
              <w:bottom w:w="-1" w:type="dxa"/>
              <w:right w:w="-1" w:type="dxa"/>
            </w:tcMar>
            <w:vAlign w:val="center"/>
          </w:tcPr>
          <w:p w14:paraId="3CDC8DE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400C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08DE0AE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19</w:t>
            </w:r>
          </w:p>
        </w:tc>
        <w:tc>
          <w:tcPr>
            <w:tcW w:w="1536" w:type="dxa"/>
            <w:shd w:val="clear" w:color="auto" w:fill="auto"/>
            <w:noWrap w:val="0"/>
            <w:tcMar>
              <w:top w:w="-1" w:type="dxa"/>
              <w:left w:w="-1" w:type="dxa"/>
              <w:bottom w:w="-1" w:type="dxa"/>
              <w:right w:w="-1" w:type="dxa"/>
            </w:tcMar>
            <w:vAlign w:val="center"/>
          </w:tcPr>
          <w:p w14:paraId="062DD7A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侧条金线鲃</w:t>
            </w:r>
          </w:p>
        </w:tc>
        <w:tc>
          <w:tcPr>
            <w:tcW w:w="0" w:type="auto"/>
            <w:shd w:val="clear" w:color="auto" w:fill="auto"/>
            <w:noWrap w:val="0"/>
            <w:tcMar>
              <w:top w:w="-1" w:type="dxa"/>
              <w:left w:w="-1" w:type="dxa"/>
              <w:bottom w:w="-1" w:type="dxa"/>
              <w:right w:w="-1" w:type="dxa"/>
            </w:tcMar>
            <w:vAlign w:val="center"/>
          </w:tcPr>
          <w:p w14:paraId="7CE70BA5">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Sinocyclocheilus lateristritus</w:t>
            </w:r>
          </w:p>
        </w:tc>
        <w:tc>
          <w:tcPr>
            <w:tcW w:w="1923" w:type="dxa"/>
            <w:shd w:val="clear" w:color="auto" w:fill="auto"/>
            <w:noWrap w:val="0"/>
            <w:tcMar>
              <w:top w:w="-1" w:type="dxa"/>
              <w:left w:w="-1" w:type="dxa"/>
              <w:bottom w:w="-1" w:type="dxa"/>
              <w:right w:w="-1" w:type="dxa"/>
            </w:tcMar>
            <w:vAlign w:val="center"/>
          </w:tcPr>
          <w:p w14:paraId="2966B1A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EN</w:t>
            </w:r>
          </w:p>
        </w:tc>
        <w:tc>
          <w:tcPr>
            <w:tcW w:w="1502" w:type="dxa"/>
            <w:shd w:val="clear" w:color="auto" w:fill="auto"/>
            <w:noWrap w:val="0"/>
            <w:tcMar>
              <w:top w:w="-1" w:type="dxa"/>
              <w:left w:w="-1" w:type="dxa"/>
              <w:bottom w:w="-1" w:type="dxa"/>
              <w:right w:w="-1" w:type="dxa"/>
            </w:tcMar>
            <w:vAlign w:val="center"/>
          </w:tcPr>
          <w:p w14:paraId="06E5794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77490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10C52698">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w:t>
            </w:r>
          </w:p>
        </w:tc>
        <w:tc>
          <w:tcPr>
            <w:tcW w:w="1536" w:type="dxa"/>
            <w:shd w:val="clear" w:color="auto" w:fill="auto"/>
            <w:noWrap w:val="0"/>
            <w:tcMar>
              <w:top w:w="-1" w:type="dxa"/>
              <w:left w:w="-1" w:type="dxa"/>
              <w:bottom w:w="-1" w:type="dxa"/>
              <w:right w:w="-1" w:type="dxa"/>
            </w:tcMar>
            <w:vAlign w:val="center"/>
          </w:tcPr>
          <w:p w14:paraId="314D711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罗平金线鲃</w:t>
            </w:r>
          </w:p>
        </w:tc>
        <w:tc>
          <w:tcPr>
            <w:tcW w:w="0" w:type="auto"/>
            <w:shd w:val="clear" w:color="auto" w:fill="auto"/>
            <w:noWrap w:val="0"/>
            <w:tcMar>
              <w:top w:w="-1" w:type="dxa"/>
              <w:left w:w="-1" w:type="dxa"/>
              <w:bottom w:w="-1" w:type="dxa"/>
              <w:right w:w="-1" w:type="dxa"/>
            </w:tcMar>
            <w:vAlign w:val="center"/>
          </w:tcPr>
          <w:p w14:paraId="018BB043">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Sinocyclocheilus luopingensis</w:t>
            </w:r>
          </w:p>
        </w:tc>
        <w:tc>
          <w:tcPr>
            <w:tcW w:w="1923" w:type="dxa"/>
            <w:shd w:val="clear" w:color="auto" w:fill="auto"/>
            <w:noWrap w:val="0"/>
            <w:tcMar>
              <w:top w:w="-1" w:type="dxa"/>
              <w:left w:w="-1" w:type="dxa"/>
              <w:bottom w:w="-1" w:type="dxa"/>
              <w:right w:w="-1" w:type="dxa"/>
            </w:tcMar>
            <w:vAlign w:val="center"/>
          </w:tcPr>
          <w:p w14:paraId="125719B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0A2BA00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0D21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22EB873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21</w:t>
            </w:r>
          </w:p>
        </w:tc>
        <w:tc>
          <w:tcPr>
            <w:tcW w:w="1536" w:type="dxa"/>
            <w:shd w:val="clear" w:color="auto" w:fill="auto"/>
            <w:noWrap w:val="0"/>
            <w:tcMar>
              <w:top w:w="-1" w:type="dxa"/>
              <w:left w:w="-1" w:type="dxa"/>
              <w:bottom w:w="-1" w:type="dxa"/>
              <w:right w:w="-1" w:type="dxa"/>
            </w:tcMar>
            <w:vAlign w:val="center"/>
          </w:tcPr>
          <w:p w14:paraId="3329EE2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大头金线鲃</w:t>
            </w:r>
          </w:p>
        </w:tc>
        <w:tc>
          <w:tcPr>
            <w:tcW w:w="0" w:type="auto"/>
            <w:shd w:val="clear" w:color="auto" w:fill="auto"/>
            <w:noWrap w:val="0"/>
            <w:tcMar>
              <w:top w:w="-1" w:type="dxa"/>
              <w:left w:w="-1" w:type="dxa"/>
              <w:bottom w:w="-1" w:type="dxa"/>
              <w:right w:w="-1" w:type="dxa"/>
            </w:tcMar>
            <w:vAlign w:val="center"/>
          </w:tcPr>
          <w:p w14:paraId="4227B044">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Sinocyclocheilus macrocephalus</w:t>
            </w:r>
          </w:p>
        </w:tc>
        <w:tc>
          <w:tcPr>
            <w:tcW w:w="1923" w:type="dxa"/>
            <w:shd w:val="clear" w:color="auto" w:fill="auto"/>
            <w:noWrap w:val="0"/>
            <w:tcMar>
              <w:top w:w="-1" w:type="dxa"/>
              <w:left w:w="-1" w:type="dxa"/>
              <w:bottom w:w="-1" w:type="dxa"/>
              <w:right w:w="-1" w:type="dxa"/>
            </w:tcMar>
            <w:vAlign w:val="center"/>
          </w:tcPr>
          <w:p w14:paraId="4AFB05DE">
            <w:pPr>
              <w:pStyle w:val="30"/>
              <w:bidi w:val="0"/>
              <w:rPr>
                <w:rFonts w:hint="default" w:ascii="Times New Roman" w:hAnsi="Times New Roman" w:cs="Times New Roman"/>
                <w:color w:val="auto"/>
                <w:highlight w:val="none"/>
              </w:rPr>
            </w:pPr>
          </w:p>
        </w:tc>
        <w:tc>
          <w:tcPr>
            <w:tcW w:w="1502" w:type="dxa"/>
            <w:shd w:val="clear" w:color="auto" w:fill="auto"/>
            <w:noWrap w:val="0"/>
            <w:tcMar>
              <w:top w:w="-1" w:type="dxa"/>
              <w:left w:w="-1" w:type="dxa"/>
              <w:bottom w:w="-1" w:type="dxa"/>
              <w:right w:w="-1" w:type="dxa"/>
            </w:tcMar>
            <w:vAlign w:val="center"/>
          </w:tcPr>
          <w:p w14:paraId="7265644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4CCF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47BE8AD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22</w:t>
            </w:r>
          </w:p>
        </w:tc>
        <w:tc>
          <w:tcPr>
            <w:tcW w:w="1536" w:type="dxa"/>
            <w:shd w:val="clear" w:color="auto" w:fill="auto"/>
            <w:noWrap w:val="0"/>
            <w:tcMar>
              <w:top w:w="-1" w:type="dxa"/>
              <w:left w:w="-1" w:type="dxa"/>
              <w:bottom w:w="-1" w:type="dxa"/>
              <w:right w:w="-1" w:type="dxa"/>
            </w:tcMar>
            <w:vAlign w:val="center"/>
          </w:tcPr>
          <w:p w14:paraId="08206EA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陆良金线鲃</w:t>
            </w:r>
          </w:p>
        </w:tc>
        <w:tc>
          <w:tcPr>
            <w:tcW w:w="0" w:type="auto"/>
            <w:shd w:val="clear" w:color="auto" w:fill="auto"/>
            <w:noWrap w:val="0"/>
            <w:tcMar>
              <w:top w:w="-1" w:type="dxa"/>
              <w:left w:w="-1" w:type="dxa"/>
              <w:bottom w:w="-1" w:type="dxa"/>
              <w:right w:w="-1" w:type="dxa"/>
            </w:tcMar>
            <w:vAlign w:val="center"/>
          </w:tcPr>
          <w:p w14:paraId="2D6D4919">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Sinocyclocheilus macroscalus</w:t>
            </w:r>
          </w:p>
        </w:tc>
        <w:tc>
          <w:tcPr>
            <w:tcW w:w="1923" w:type="dxa"/>
            <w:shd w:val="clear" w:color="auto" w:fill="auto"/>
            <w:noWrap w:val="0"/>
            <w:tcMar>
              <w:top w:w="-1" w:type="dxa"/>
              <w:left w:w="-1" w:type="dxa"/>
              <w:bottom w:w="-1" w:type="dxa"/>
              <w:right w:w="-1" w:type="dxa"/>
            </w:tcMar>
            <w:vAlign w:val="center"/>
          </w:tcPr>
          <w:p w14:paraId="3921B1B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6DFDD67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5B79D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50ADD53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23</w:t>
            </w:r>
          </w:p>
        </w:tc>
        <w:tc>
          <w:tcPr>
            <w:tcW w:w="1536" w:type="dxa"/>
            <w:shd w:val="clear" w:color="auto" w:fill="auto"/>
            <w:noWrap w:val="0"/>
            <w:tcMar>
              <w:top w:w="-1" w:type="dxa"/>
              <w:left w:w="-1" w:type="dxa"/>
              <w:bottom w:w="-1" w:type="dxa"/>
              <w:right w:w="-1" w:type="dxa"/>
            </w:tcMar>
            <w:vAlign w:val="center"/>
          </w:tcPr>
          <w:p w14:paraId="3D08DFD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软鳍金线鲃</w:t>
            </w:r>
          </w:p>
        </w:tc>
        <w:tc>
          <w:tcPr>
            <w:tcW w:w="0" w:type="auto"/>
            <w:shd w:val="clear" w:color="auto" w:fill="auto"/>
            <w:noWrap w:val="0"/>
            <w:tcMar>
              <w:top w:w="-1" w:type="dxa"/>
              <w:left w:w="-1" w:type="dxa"/>
              <w:bottom w:w="-1" w:type="dxa"/>
              <w:right w:w="-1" w:type="dxa"/>
            </w:tcMar>
            <w:vAlign w:val="center"/>
          </w:tcPr>
          <w:p w14:paraId="4BBA8E7D">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Sinocyclocheilus malacopterus</w:t>
            </w:r>
          </w:p>
        </w:tc>
        <w:tc>
          <w:tcPr>
            <w:tcW w:w="1923" w:type="dxa"/>
            <w:shd w:val="clear" w:color="auto" w:fill="auto"/>
            <w:noWrap w:val="0"/>
            <w:tcMar>
              <w:top w:w="-1" w:type="dxa"/>
              <w:left w:w="-1" w:type="dxa"/>
              <w:bottom w:w="-1" w:type="dxa"/>
              <w:right w:w="-1" w:type="dxa"/>
            </w:tcMar>
            <w:vAlign w:val="center"/>
          </w:tcPr>
          <w:p w14:paraId="455F353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3FBEB99D">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5E918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500DF5B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w:t>
            </w:r>
          </w:p>
        </w:tc>
        <w:tc>
          <w:tcPr>
            <w:tcW w:w="1536" w:type="dxa"/>
            <w:shd w:val="clear" w:color="auto" w:fill="auto"/>
            <w:noWrap w:val="0"/>
            <w:tcMar>
              <w:top w:w="-1" w:type="dxa"/>
              <w:left w:w="-1" w:type="dxa"/>
              <w:bottom w:w="-1" w:type="dxa"/>
              <w:right w:w="-1" w:type="dxa"/>
            </w:tcMar>
            <w:vAlign w:val="center"/>
          </w:tcPr>
          <w:p w14:paraId="207FBAEC">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曲靖金线鲃</w:t>
            </w:r>
          </w:p>
        </w:tc>
        <w:tc>
          <w:tcPr>
            <w:tcW w:w="0" w:type="auto"/>
            <w:shd w:val="clear" w:color="auto" w:fill="auto"/>
            <w:noWrap w:val="0"/>
            <w:tcMar>
              <w:top w:w="-1" w:type="dxa"/>
              <w:left w:w="-1" w:type="dxa"/>
              <w:bottom w:w="-1" w:type="dxa"/>
              <w:right w:w="-1" w:type="dxa"/>
            </w:tcMar>
            <w:vAlign w:val="center"/>
          </w:tcPr>
          <w:p w14:paraId="7B00A534">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Sinocyclocheilus qujingensis</w:t>
            </w:r>
          </w:p>
        </w:tc>
        <w:tc>
          <w:tcPr>
            <w:tcW w:w="1923" w:type="dxa"/>
            <w:shd w:val="clear" w:color="auto" w:fill="auto"/>
            <w:noWrap w:val="0"/>
            <w:tcMar>
              <w:top w:w="-1" w:type="dxa"/>
              <w:left w:w="-1" w:type="dxa"/>
              <w:bottom w:w="-1" w:type="dxa"/>
              <w:right w:w="-1" w:type="dxa"/>
            </w:tcMar>
            <w:vAlign w:val="center"/>
          </w:tcPr>
          <w:p w14:paraId="6C608DAA">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353BDA1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135E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1FD4BAE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w:t>
            </w:r>
          </w:p>
        </w:tc>
        <w:tc>
          <w:tcPr>
            <w:tcW w:w="1536" w:type="dxa"/>
            <w:shd w:val="clear" w:color="auto" w:fill="auto"/>
            <w:noWrap w:val="0"/>
            <w:tcMar>
              <w:top w:w="-1" w:type="dxa"/>
              <w:left w:w="-1" w:type="dxa"/>
              <w:bottom w:w="-1" w:type="dxa"/>
              <w:right w:w="-1" w:type="dxa"/>
            </w:tcMar>
            <w:vAlign w:val="center"/>
          </w:tcPr>
          <w:p w14:paraId="7A24D02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犀角金线鲃</w:t>
            </w:r>
          </w:p>
        </w:tc>
        <w:tc>
          <w:tcPr>
            <w:tcW w:w="0" w:type="auto"/>
            <w:shd w:val="clear" w:color="auto" w:fill="auto"/>
            <w:noWrap w:val="0"/>
            <w:tcMar>
              <w:top w:w="-1" w:type="dxa"/>
              <w:left w:w="-1" w:type="dxa"/>
              <w:bottom w:w="-1" w:type="dxa"/>
              <w:right w:w="-1" w:type="dxa"/>
            </w:tcMar>
            <w:vAlign w:val="center"/>
          </w:tcPr>
          <w:p w14:paraId="7C10262E">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Sinocyclocheilus rhinocerous</w:t>
            </w:r>
          </w:p>
        </w:tc>
        <w:tc>
          <w:tcPr>
            <w:tcW w:w="1923" w:type="dxa"/>
            <w:shd w:val="clear" w:color="auto" w:fill="auto"/>
            <w:noWrap w:val="0"/>
            <w:tcMar>
              <w:top w:w="-1" w:type="dxa"/>
              <w:left w:w="-1" w:type="dxa"/>
              <w:bottom w:w="-1" w:type="dxa"/>
              <w:right w:w="-1" w:type="dxa"/>
            </w:tcMar>
            <w:vAlign w:val="center"/>
          </w:tcPr>
          <w:p w14:paraId="2DE91E93">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1ECFA784">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451D7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1F22A022">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26</w:t>
            </w:r>
          </w:p>
        </w:tc>
        <w:tc>
          <w:tcPr>
            <w:tcW w:w="1536" w:type="dxa"/>
            <w:shd w:val="clear" w:color="auto" w:fill="auto"/>
            <w:noWrap w:val="0"/>
            <w:tcMar>
              <w:top w:w="-1" w:type="dxa"/>
              <w:left w:w="-1" w:type="dxa"/>
              <w:bottom w:w="-1" w:type="dxa"/>
              <w:right w:w="-1" w:type="dxa"/>
            </w:tcMar>
            <w:vAlign w:val="center"/>
          </w:tcPr>
          <w:p w14:paraId="069DFBAE">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瓦状角金线鲃</w:t>
            </w:r>
          </w:p>
        </w:tc>
        <w:tc>
          <w:tcPr>
            <w:tcW w:w="0" w:type="auto"/>
            <w:shd w:val="clear" w:color="auto" w:fill="auto"/>
            <w:noWrap w:val="0"/>
            <w:tcMar>
              <w:top w:w="-1" w:type="dxa"/>
              <w:left w:w="-1" w:type="dxa"/>
              <w:bottom w:w="-1" w:type="dxa"/>
              <w:right w:w="-1" w:type="dxa"/>
            </w:tcMar>
            <w:vAlign w:val="center"/>
          </w:tcPr>
          <w:p w14:paraId="042C5CC1">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Sinocyclocheilus tileihornes</w:t>
            </w:r>
          </w:p>
        </w:tc>
        <w:tc>
          <w:tcPr>
            <w:tcW w:w="1923" w:type="dxa"/>
            <w:shd w:val="clear" w:color="auto" w:fill="auto"/>
            <w:noWrap w:val="0"/>
            <w:tcMar>
              <w:top w:w="-1" w:type="dxa"/>
              <w:left w:w="-1" w:type="dxa"/>
              <w:bottom w:w="-1" w:type="dxa"/>
              <w:right w:w="-1" w:type="dxa"/>
            </w:tcMar>
            <w:vAlign w:val="center"/>
          </w:tcPr>
          <w:p w14:paraId="5F4D6A4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VU</w:t>
            </w:r>
          </w:p>
        </w:tc>
        <w:tc>
          <w:tcPr>
            <w:tcW w:w="1502" w:type="dxa"/>
            <w:shd w:val="clear" w:color="auto" w:fill="auto"/>
            <w:noWrap w:val="0"/>
            <w:tcMar>
              <w:top w:w="-1" w:type="dxa"/>
              <w:left w:w="-1" w:type="dxa"/>
              <w:bottom w:w="-1" w:type="dxa"/>
              <w:right w:w="-1" w:type="dxa"/>
            </w:tcMar>
            <w:vAlign w:val="center"/>
          </w:tcPr>
          <w:p w14:paraId="26EF44F6">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080B0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2954F799">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27</w:t>
            </w:r>
          </w:p>
        </w:tc>
        <w:tc>
          <w:tcPr>
            <w:tcW w:w="1536" w:type="dxa"/>
            <w:shd w:val="clear" w:color="auto" w:fill="auto"/>
            <w:noWrap w:val="0"/>
            <w:tcMar>
              <w:top w:w="-1" w:type="dxa"/>
              <w:left w:w="-1" w:type="dxa"/>
              <w:bottom w:w="-1" w:type="dxa"/>
              <w:right w:w="-1" w:type="dxa"/>
            </w:tcMar>
            <w:vAlign w:val="center"/>
          </w:tcPr>
          <w:p w14:paraId="1025D480">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花鲈鲤</w:t>
            </w:r>
          </w:p>
        </w:tc>
        <w:tc>
          <w:tcPr>
            <w:tcW w:w="0" w:type="auto"/>
            <w:shd w:val="clear" w:color="auto" w:fill="auto"/>
            <w:noWrap w:val="0"/>
            <w:tcMar>
              <w:top w:w="-1" w:type="dxa"/>
              <w:left w:w="-1" w:type="dxa"/>
              <w:bottom w:w="-1" w:type="dxa"/>
              <w:right w:w="-1" w:type="dxa"/>
            </w:tcMar>
            <w:vAlign w:val="center"/>
          </w:tcPr>
          <w:p w14:paraId="06FAB601">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Percocypris regani</w:t>
            </w:r>
          </w:p>
        </w:tc>
        <w:tc>
          <w:tcPr>
            <w:tcW w:w="1923" w:type="dxa"/>
            <w:shd w:val="clear" w:color="auto" w:fill="auto"/>
            <w:noWrap w:val="0"/>
            <w:tcMar>
              <w:top w:w="-1" w:type="dxa"/>
              <w:left w:w="-1" w:type="dxa"/>
              <w:bottom w:w="-1" w:type="dxa"/>
              <w:right w:w="-1" w:type="dxa"/>
            </w:tcMar>
            <w:vAlign w:val="center"/>
          </w:tcPr>
          <w:p w14:paraId="0B178EDC">
            <w:pPr>
              <w:pStyle w:val="30"/>
              <w:bidi w:val="0"/>
              <w:rPr>
                <w:rFonts w:hint="default" w:ascii="Times New Roman" w:hAnsi="Times New Roman" w:cs="Times New Roman"/>
                <w:color w:val="auto"/>
                <w:highlight w:val="none"/>
              </w:rPr>
            </w:pPr>
          </w:p>
        </w:tc>
        <w:tc>
          <w:tcPr>
            <w:tcW w:w="1502" w:type="dxa"/>
            <w:shd w:val="clear" w:color="auto" w:fill="auto"/>
            <w:noWrap w:val="0"/>
            <w:tcMar>
              <w:top w:w="-1" w:type="dxa"/>
              <w:left w:w="-1" w:type="dxa"/>
              <w:bottom w:w="-1" w:type="dxa"/>
              <w:right w:w="-1" w:type="dxa"/>
            </w:tcMar>
            <w:vAlign w:val="center"/>
          </w:tcPr>
          <w:p w14:paraId="2D65478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48587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noWrap w:val="0"/>
            <w:tcMar>
              <w:top w:w="-1" w:type="dxa"/>
              <w:left w:w="-1" w:type="dxa"/>
              <w:bottom w:w="-1" w:type="dxa"/>
              <w:right w:w="-1" w:type="dxa"/>
            </w:tcMar>
            <w:vAlign w:val="center"/>
          </w:tcPr>
          <w:p w14:paraId="55C7B35B">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28</w:t>
            </w:r>
          </w:p>
        </w:tc>
        <w:tc>
          <w:tcPr>
            <w:tcW w:w="1536" w:type="dxa"/>
            <w:shd w:val="clear" w:color="auto" w:fill="auto"/>
            <w:noWrap w:val="0"/>
            <w:tcMar>
              <w:top w:w="-1" w:type="dxa"/>
              <w:left w:w="-1" w:type="dxa"/>
              <w:bottom w:w="-1" w:type="dxa"/>
              <w:right w:w="-1" w:type="dxa"/>
            </w:tcMar>
            <w:vAlign w:val="center"/>
          </w:tcPr>
          <w:p w14:paraId="353C08A7">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五洛河盘鲮</w:t>
            </w:r>
          </w:p>
        </w:tc>
        <w:tc>
          <w:tcPr>
            <w:tcW w:w="0" w:type="auto"/>
            <w:shd w:val="clear" w:color="auto" w:fill="auto"/>
            <w:noWrap w:val="0"/>
            <w:tcMar>
              <w:top w:w="-1" w:type="dxa"/>
              <w:left w:w="-1" w:type="dxa"/>
              <w:bottom w:w="-1" w:type="dxa"/>
              <w:right w:w="-1" w:type="dxa"/>
            </w:tcMar>
            <w:vAlign w:val="center"/>
          </w:tcPr>
          <w:p w14:paraId="1F63F927">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Discolabeo wuluoheensis</w:t>
            </w:r>
          </w:p>
        </w:tc>
        <w:tc>
          <w:tcPr>
            <w:tcW w:w="1923" w:type="dxa"/>
            <w:shd w:val="clear" w:color="auto" w:fill="auto"/>
            <w:noWrap w:val="0"/>
            <w:tcMar>
              <w:top w:w="-1" w:type="dxa"/>
              <w:left w:w="-1" w:type="dxa"/>
              <w:bottom w:w="-1" w:type="dxa"/>
              <w:right w:w="-1" w:type="dxa"/>
            </w:tcMar>
            <w:vAlign w:val="center"/>
          </w:tcPr>
          <w:p w14:paraId="048DC600">
            <w:pPr>
              <w:pStyle w:val="30"/>
              <w:bidi w:val="0"/>
              <w:rPr>
                <w:rFonts w:hint="default" w:ascii="Times New Roman" w:hAnsi="Times New Roman" w:cs="Times New Roman"/>
                <w:color w:val="auto"/>
                <w:highlight w:val="none"/>
              </w:rPr>
            </w:pPr>
          </w:p>
        </w:tc>
        <w:tc>
          <w:tcPr>
            <w:tcW w:w="1502" w:type="dxa"/>
            <w:shd w:val="clear" w:color="auto" w:fill="auto"/>
            <w:noWrap w:val="0"/>
            <w:tcMar>
              <w:top w:w="-1" w:type="dxa"/>
              <w:left w:w="-1" w:type="dxa"/>
              <w:bottom w:w="-1" w:type="dxa"/>
              <w:right w:w="-1" w:type="dxa"/>
            </w:tcMar>
            <w:vAlign w:val="center"/>
          </w:tcPr>
          <w:p w14:paraId="027B2E78">
            <w:pPr>
              <w:pStyle w:val="30"/>
              <w:bidi w:val="0"/>
              <w:rPr>
                <w:rFonts w:hint="default" w:ascii="Times New Roman" w:hAnsi="Times New Roman" w:cs="Times New Roman"/>
                <w:color w:val="auto"/>
                <w:highlight w:val="none"/>
              </w:rPr>
            </w:pPr>
          </w:p>
        </w:tc>
      </w:tr>
      <w:tr w14:paraId="2072E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jc w:val="center"/>
        </w:trPr>
        <w:tc>
          <w:tcPr>
            <w:tcW w:w="0" w:type="auto"/>
            <w:shd w:val="clear" w:color="auto" w:fill="auto"/>
            <w:noWrap w:val="0"/>
            <w:tcMar>
              <w:top w:w="-1" w:type="dxa"/>
              <w:left w:w="-1" w:type="dxa"/>
              <w:bottom w:w="-1" w:type="dxa"/>
              <w:right w:w="-1" w:type="dxa"/>
            </w:tcMar>
            <w:vAlign w:val="center"/>
          </w:tcPr>
          <w:p w14:paraId="47542FE0">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29</w:t>
            </w:r>
          </w:p>
        </w:tc>
        <w:tc>
          <w:tcPr>
            <w:tcW w:w="1536" w:type="dxa"/>
            <w:shd w:val="clear" w:color="auto" w:fill="auto"/>
            <w:noWrap w:val="0"/>
            <w:tcMar>
              <w:top w:w="-1" w:type="dxa"/>
              <w:left w:w="-1" w:type="dxa"/>
              <w:bottom w:w="-1" w:type="dxa"/>
              <w:right w:w="-1" w:type="dxa"/>
            </w:tcMar>
            <w:vAlign w:val="center"/>
          </w:tcPr>
          <w:p w14:paraId="62F216C2">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暗色唇鱼</w:t>
            </w:r>
          </w:p>
        </w:tc>
        <w:tc>
          <w:tcPr>
            <w:tcW w:w="2864" w:type="dxa"/>
            <w:shd w:val="clear" w:color="auto" w:fill="auto"/>
            <w:noWrap w:val="0"/>
            <w:tcMar>
              <w:top w:w="-1" w:type="dxa"/>
              <w:left w:w="-1" w:type="dxa"/>
              <w:bottom w:w="-1" w:type="dxa"/>
              <w:right w:w="-1" w:type="dxa"/>
            </w:tcMar>
            <w:vAlign w:val="center"/>
          </w:tcPr>
          <w:p w14:paraId="04D0EDC4">
            <w:pPr>
              <w:pStyle w:val="30"/>
              <w:bidi w:val="0"/>
              <w:rPr>
                <w:rFonts w:hint="default" w:ascii="Times New Roman" w:hAnsi="Times New Roman" w:cs="Times New Roman"/>
                <w:i/>
                <w:iCs/>
                <w:color w:val="auto"/>
                <w:highlight w:val="none"/>
                <w:lang w:val="en-US" w:eastAsia="zh-CN"/>
              </w:rPr>
            </w:pPr>
            <w:r>
              <w:rPr>
                <w:rFonts w:hint="default" w:ascii="Times New Roman" w:hAnsi="Times New Roman" w:cs="Times New Roman"/>
                <w:i/>
                <w:iCs/>
                <w:color w:val="auto"/>
                <w:highlight w:val="none"/>
                <w:lang w:val="en-US" w:eastAsia="zh-CN"/>
              </w:rPr>
              <w:t>Semilabeo obscurus</w:t>
            </w:r>
          </w:p>
        </w:tc>
        <w:tc>
          <w:tcPr>
            <w:tcW w:w="1923" w:type="dxa"/>
            <w:shd w:val="clear" w:color="auto" w:fill="auto"/>
            <w:noWrap w:val="0"/>
            <w:tcMar>
              <w:top w:w="-1" w:type="dxa"/>
              <w:left w:w="-1" w:type="dxa"/>
              <w:bottom w:w="-1" w:type="dxa"/>
              <w:right w:w="-1" w:type="dxa"/>
            </w:tcMar>
            <w:vAlign w:val="center"/>
          </w:tcPr>
          <w:p w14:paraId="54752C61">
            <w:pPr>
              <w:pStyle w:val="30"/>
              <w:bidi w:val="0"/>
              <w:rPr>
                <w:rFonts w:hint="default" w:ascii="Times New Roman" w:hAnsi="Times New Roman" w:cs="Times New Roman"/>
                <w:color w:val="auto"/>
                <w:highlight w:val="none"/>
              </w:rPr>
            </w:pPr>
          </w:p>
        </w:tc>
        <w:tc>
          <w:tcPr>
            <w:tcW w:w="1502" w:type="dxa"/>
            <w:shd w:val="clear" w:color="auto" w:fill="auto"/>
            <w:noWrap w:val="0"/>
            <w:tcMar>
              <w:top w:w="-1" w:type="dxa"/>
              <w:left w:w="-1" w:type="dxa"/>
              <w:bottom w:w="-1" w:type="dxa"/>
              <w:right w:w="-1" w:type="dxa"/>
            </w:tcMar>
            <w:vAlign w:val="center"/>
          </w:tcPr>
          <w:p w14:paraId="1599CEE6">
            <w:pPr>
              <w:pStyle w:val="30"/>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云南省</w:t>
            </w:r>
            <w:r>
              <w:rPr>
                <w:rFonts w:hint="default" w:ascii="Times New Roman" w:hAnsi="Times New Roman" w:cs="Times New Roman"/>
                <w:color w:val="auto"/>
                <w:highlight w:val="none"/>
                <w:lang w:eastAsia="zh-CN"/>
              </w:rPr>
              <w:t>Ⅱ</w:t>
            </w:r>
            <w:r>
              <w:rPr>
                <w:rFonts w:hint="default" w:ascii="Times New Roman" w:hAnsi="Times New Roman" w:cs="Times New Roman"/>
                <w:color w:val="auto"/>
                <w:highlight w:val="none"/>
                <w:lang w:val="en-US" w:eastAsia="zh-CN"/>
              </w:rPr>
              <w:t>级</w:t>
            </w:r>
          </w:p>
        </w:tc>
      </w:tr>
      <w:tr w14:paraId="08ACA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63" w:type="dxa"/>
            <w:shd w:val="clear" w:color="auto" w:fill="auto"/>
            <w:noWrap w:val="0"/>
            <w:tcMar>
              <w:top w:w="-1" w:type="dxa"/>
              <w:left w:w="-1" w:type="dxa"/>
              <w:bottom w:w="-1" w:type="dxa"/>
              <w:right w:w="-1" w:type="dxa"/>
            </w:tcMar>
            <w:vAlign w:val="center"/>
          </w:tcPr>
          <w:p w14:paraId="545A0177">
            <w:pPr>
              <w:pStyle w:val="30"/>
              <w:bidi w:val="0"/>
              <w:rPr>
                <w:rFonts w:hint="default" w:ascii="Times New Roman" w:hAnsi="Times New Roman" w:cs="Times New Roman"/>
                <w:color w:val="auto"/>
                <w:highlight w:val="none"/>
                <w:lang w:val="en-US"/>
              </w:rPr>
            </w:pPr>
            <w:r>
              <w:rPr>
                <w:rFonts w:hint="default" w:ascii="Times New Roman" w:hAnsi="Times New Roman" w:cs="Times New Roman"/>
                <w:color w:val="auto"/>
                <w:highlight w:val="none"/>
                <w:lang w:val="en-US" w:eastAsia="zh-CN"/>
              </w:rPr>
              <w:t>30</w:t>
            </w:r>
          </w:p>
        </w:tc>
        <w:tc>
          <w:tcPr>
            <w:tcW w:w="1536" w:type="dxa"/>
            <w:shd w:val="clear" w:color="auto" w:fill="auto"/>
            <w:noWrap w:val="0"/>
            <w:tcMar>
              <w:top w:w="-1" w:type="dxa"/>
              <w:left w:w="-1" w:type="dxa"/>
              <w:bottom w:w="-1" w:type="dxa"/>
              <w:right w:w="-1" w:type="dxa"/>
            </w:tcMar>
            <w:vAlign w:val="center"/>
          </w:tcPr>
          <w:p w14:paraId="296EAADF">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长尾鮡</w:t>
            </w:r>
          </w:p>
        </w:tc>
        <w:tc>
          <w:tcPr>
            <w:tcW w:w="2864" w:type="dxa"/>
            <w:shd w:val="clear" w:color="auto" w:fill="auto"/>
            <w:noWrap w:val="0"/>
            <w:tcMar>
              <w:top w:w="-1" w:type="dxa"/>
              <w:left w:w="-1" w:type="dxa"/>
              <w:bottom w:w="-1" w:type="dxa"/>
              <w:right w:w="-1" w:type="dxa"/>
            </w:tcMar>
            <w:vAlign w:val="center"/>
          </w:tcPr>
          <w:p w14:paraId="1BCAB29F">
            <w:pPr>
              <w:pStyle w:val="30"/>
              <w:bidi w:val="0"/>
              <w:rPr>
                <w:rFonts w:hint="default" w:ascii="Times New Roman" w:hAnsi="Times New Roman" w:cs="Times New Roman"/>
                <w:i/>
                <w:iCs/>
                <w:color w:val="auto"/>
                <w:highlight w:val="none"/>
              </w:rPr>
            </w:pPr>
            <w:r>
              <w:rPr>
                <w:rFonts w:hint="default" w:ascii="Times New Roman" w:hAnsi="Times New Roman" w:cs="Times New Roman"/>
                <w:i/>
                <w:iCs/>
                <w:color w:val="auto"/>
                <w:highlight w:val="none"/>
                <w:lang w:val="en-US" w:eastAsia="zh-CN"/>
              </w:rPr>
              <w:t>Pareuchiloglanis longicauda</w:t>
            </w:r>
          </w:p>
        </w:tc>
        <w:tc>
          <w:tcPr>
            <w:tcW w:w="1923" w:type="dxa"/>
            <w:shd w:val="clear" w:color="auto" w:fill="auto"/>
            <w:noWrap w:val="0"/>
            <w:tcMar>
              <w:top w:w="-1" w:type="dxa"/>
              <w:left w:w="-1" w:type="dxa"/>
              <w:bottom w:w="-1" w:type="dxa"/>
              <w:right w:w="-1" w:type="dxa"/>
            </w:tcMar>
            <w:vAlign w:val="center"/>
          </w:tcPr>
          <w:p w14:paraId="03364B45">
            <w:pPr>
              <w:pStyle w:val="30"/>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EN</w:t>
            </w:r>
          </w:p>
        </w:tc>
        <w:tc>
          <w:tcPr>
            <w:tcW w:w="1502" w:type="dxa"/>
            <w:shd w:val="clear" w:color="auto" w:fill="auto"/>
            <w:noWrap w:val="0"/>
            <w:tcMar>
              <w:top w:w="-1" w:type="dxa"/>
              <w:left w:w="-1" w:type="dxa"/>
              <w:bottom w:w="-1" w:type="dxa"/>
              <w:right w:w="-1" w:type="dxa"/>
            </w:tcMar>
            <w:vAlign w:val="center"/>
          </w:tcPr>
          <w:p w14:paraId="21F6ACBA">
            <w:pPr>
              <w:pStyle w:val="30"/>
              <w:bidi w:val="0"/>
              <w:rPr>
                <w:rFonts w:hint="default" w:ascii="Times New Roman" w:hAnsi="Times New Roman" w:cs="Times New Roman"/>
                <w:color w:val="auto"/>
                <w:highlight w:val="none"/>
              </w:rPr>
            </w:pPr>
          </w:p>
        </w:tc>
      </w:tr>
    </w:tbl>
    <w:p w14:paraId="4A08AF70">
      <w:pPr>
        <w:pStyle w:val="37"/>
        <w:wordWrap w:val="0"/>
        <w:spacing w:line="360" w:lineRule="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注：EN表示濒危，VU表示易危。</w:t>
      </w:r>
    </w:p>
    <w:p w14:paraId="6F1E17BF">
      <w:pPr>
        <w:pStyle w:val="3"/>
        <w:numPr>
          <w:ilvl w:val="1"/>
          <w:numId w:val="4"/>
        </w:numPr>
        <w:spacing w:before="374" w:after="249"/>
        <w:rPr>
          <w:rFonts w:hint="default" w:ascii="Times New Roman" w:hAnsi="Times New Roman" w:eastAsia="宋体" w:cs="Times New Roman"/>
          <w:color w:val="auto"/>
          <w:highlight w:val="none"/>
        </w:rPr>
      </w:pPr>
      <w:bookmarkStart w:id="91" w:name="_Toc2169"/>
      <w:r>
        <w:rPr>
          <w:rFonts w:hint="default" w:ascii="Times New Roman" w:hAnsi="Times New Roman" w:eastAsia="宋体" w:cs="Times New Roman"/>
          <w:color w:val="auto"/>
          <w:highlight w:val="none"/>
        </w:rPr>
        <w:t>环境敏感区</w:t>
      </w:r>
      <w:bookmarkEnd w:id="91"/>
    </w:p>
    <w:p w14:paraId="519FF917">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自然保护地</w:t>
      </w:r>
    </w:p>
    <w:p w14:paraId="5F2191BC">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曲靖市共建立自然保护地38处，由于各级各类自然保护地设立的历史条件不等，自然保护地存在边界范围底数不清、区域交叉空间重叠等问题。在坚持科学评估、合理调整，统筹协调、充分衔接</w:t>
      </w:r>
      <w:r>
        <w:rPr>
          <w:rFonts w:hint="default" w:ascii="Times New Roman" w:hAnsi="Times New Roman" w:cs="Times New Roman"/>
          <w:color w:val="auto"/>
          <w:highlight w:val="none"/>
          <w:lang w:val="en-US" w:eastAsia="zh-CN"/>
        </w:rPr>
        <w:t>等</w:t>
      </w:r>
      <w:r>
        <w:rPr>
          <w:rFonts w:hint="default" w:ascii="Times New Roman" w:hAnsi="Times New Roman" w:cs="Times New Roman"/>
          <w:color w:val="auto"/>
          <w:highlight w:val="none"/>
        </w:rPr>
        <w:t>原则下，曲靖市林业和草原局对自然保护地范围和功能分区</w:t>
      </w:r>
      <w:r>
        <w:rPr>
          <w:rFonts w:hint="default" w:ascii="Times New Roman" w:hAnsi="Times New Roman" w:cs="Times New Roman"/>
          <w:color w:val="auto"/>
          <w:highlight w:val="none"/>
          <w:lang w:val="en-US" w:eastAsia="zh-CN"/>
        </w:rPr>
        <w:t>进行整合优化，整合优化后曲靖市自然保护地数量为24处（未批复）</w:t>
      </w:r>
      <w:r>
        <w:rPr>
          <w:rFonts w:hint="default" w:ascii="Times New Roman" w:hAnsi="Times New Roman" w:cs="Times New Roman"/>
          <w:color w:val="auto"/>
          <w:highlight w:val="none"/>
        </w:rPr>
        <w:t>。</w:t>
      </w:r>
    </w:p>
    <w:p w14:paraId="766822D9">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经识别，</w:t>
      </w:r>
      <w:r>
        <w:rPr>
          <w:rFonts w:hint="default" w:ascii="Times New Roman" w:hAnsi="Times New Roman" w:cs="Times New Roman"/>
          <w:color w:val="auto"/>
          <w:highlight w:val="none"/>
        </w:rPr>
        <w:t>规划范围分布有自然保护地（现状）27处，包括：富源十八连山省级自然保护区等15处自然保护区，珠江源省级风景名胜区等5处风景名胜区，云南鲁布革国家森林公园等4处森林公园，云南罗平生物群国家地质公园、云南沾益西河国家湿地公园、云南陆良彩色沙林国家沙漠公园。</w:t>
      </w:r>
    </w:p>
    <w:p w14:paraId="2181679F">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根据现阶段自然保护地整合优化成果，规划范围分布有自然保护地（整合优化）17处，包括：云南富源十八连山自然保护区等4处自然保护区、云南沾益珠江源风景名胜区等5处风景名胜区，云南万峰山国家级森林公园等5处森林公园，云南沾益西河国家级湿地公园等2处湿地公园，云南罗平生物群国家地质公园。</w:t>
      </w:r>
    </w:p>
    <w:p w14:paraId="7A06D1BC">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3.5</w:t>
      </w:r>
      <w:r>
        <w:rPr>
          <w:rFonts w:hint="default" w:ascii="Times New Roman" w:hAnsi="Times New Roman" w:cs="Times New Roman"/>
          <w:color w:val="auto"/>
          <w:highlight w:val="none"/>
        </w:rPr>
        <w:t>.1-1 规划范围现状自然保护地一览表</w:t>
      </w:r>
    </w:p>
    <w:tbl>
      <w:tblPr>
        <w:tblStyle w:val="2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6"/>
        <w:gridCol w:w="1340"/>
        <w:gridCol w:w="4102"/>
        <w:gridCol w:w="1053"/>
        <w:gridCol w:w="1388"/>
      </w:tblGrid>
      <w:tr w14:paraId="40991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F3DB1">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序号</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8231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类型</w:t>
            </w: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5E5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现状自然保护地</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D8B27">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级别</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02B87">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面积（hm²）</w:t>
            </w:r>
          </w:p>
        </w:tc>
      </w:tr>
      <w:tr w14:paraId="06E7A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94DE1">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w:t>
            </w: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5FA6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自然保护区</w:t>
            </w: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7FD1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富源十八连山省级自然保护区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1F812">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省级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E63F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1213</w:t>
            </w:r>
          </w:p>
        </w:tc>
      </w:tr>
      <w:tr w14:paraId="005B7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B3EF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F42F8">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77D70">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珠江源省级自然保护区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80BBD">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省级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C2CE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117937</w:t>
            </w:r>
          </w:p>
        </w:tc>
      </w:tr>
      <w:tr w14:paraId="29066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83DCC">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56536">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279F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沾益海峰省级自然保护区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1FF92">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省级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C12C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26610</w:t>
            </w:r>
          </w:p>
        </w:tc>
      </w:tr>
      <w:tr w14:paraId="18E40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636B0">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35F6C">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F8F49">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罗平万峰山市级自然保护区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80A37">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市级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564E">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58327</w:t>
            </w:r>
          </w:p>
        </w:tc>
      </w:tr>
      <w:tr w14:paraId="342D9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0A5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D08C3">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99EAC">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曲靖珠江水系水生动物市级自然保护区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4F01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市级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499F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2440.36</w:t>
            </w:r>
          </w:p>
        </w:tc>
      </w:tr>
      <w:tr w14:paraId="3F4C8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34A91">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0B01B">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BD549">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师宗菌子山市级自然保护区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FF877">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市级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59E89">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49517</w:t>
            </w:r>
          </w:p>
        </w:tc>
      </w:tr>
      <w:tr w14:paraId="456D1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29673">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7</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CACC7">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AB3DC">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马龙黄草坪水源县级自然保护区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059E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县级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A848D">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2950</w:t>
            </w:r>
          </w:p>
        </w:tc>
      </w:tr>
      <w:tr w14:paraId="4F383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813E4">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E5798">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5076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陆良彩色沙林县级自然保护区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E8600">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县级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779C2">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5280</w:t>
            </w:r>
          </w:p>
        </w:tc>
      </w:tr>
      <w:tr w14:paraId="28BFE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9DC69F">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315D4">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C17FE">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麒麟朗目山县级自然保护区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F31F">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县级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1105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900</w:t>
            </w:r>
          </w:p>
        </w:tc>
      </w:tr>
      <w:tr w14:paraId="0661D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D7782">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738CA">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5AF9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麒麟青峰山县级自然保护区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46FF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县级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25AEC">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1110</w:t>
            </w:r>
          </w:p>
        </w:tc>
      </w:tr>
      <w:tr w14:paraId="5E96C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C646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AA911">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3B31E">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麒麟五台山县级自然保护区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EC12C">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县级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02C68">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1350</w:t>
            </w:r>
          </w:p>
        </w:tc>
      </w:tr>
      <w:tr w14:paraId="341FD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28917">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2819B">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5E9E0">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曲靖潇湘谷原始森林生态县级自然保护区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1FA81">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县级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2324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2579</w:t>
            </w:r>
          </w:p>
        </w:tc>
      </w:tr>
      <w:tr w14:paraId="39654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0347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13</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61C14">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D2908">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师宗翠云山县级自然保护区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0C894">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县级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AFB8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10.6</w:t>
            </w:r>
          </w:p>
        </w:tc>
      </w:tr>
      <w:tr w14:paraId="4D484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C64D">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14</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B14CA">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E7277">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师宗大堵水库县级自然保护区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D207F">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县级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C0AD0">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160</w:t>
            </w:r>
          </w:p>
        </w:tc>
      </w:tr>
      <w:tr w14:paraId="4EE9F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D9B1D">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15</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7893F">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2EAA8">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师宗东风水库县级自然保护区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641E1">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县级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BBB21">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4960</w:t>
            </w:r>
          </w:p>
        </w:tc>
      </w:tr>
      <w:tr w14:paraId="29893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DE467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16</w:t>
            </w: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2F9212">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风景名胜区</w:t>
            </w: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0A2BF">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珠江源省级风景名胜区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7800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省级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E1997">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5000</w:t>
            </w:r>
          </w:p>
        </w:tc>
      </w:tr>
      <w:tr w14:paraId="44EB3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0960">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17</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3EDD0">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F917">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马龙马过河省级风景名胜区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029322">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省级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92DA1">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2800</w:t>
            </w:r>
          </w:p>
        </w:tc>
      </w:tr>
      <w:tr w14:paraId="607BA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9EA78">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18</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D1497">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B3450">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陆良彩色沙林省级风景名胜区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EBDD">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省级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423D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5020</w:t>
            </w:r>
          </w:p>
        </w:tc>
      </w:tr>
      <w:tr w14:paraId="7AA8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E5596">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19</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D5196">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445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罗平多依河—鲁布革省级风景名胜区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FFE24">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省级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D293E">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4290</w:t>
            </w:r>
          </w:p>
        </w:tc>
      </w:tr>
      <w:tr w14:paraId="5A853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678E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FA62F">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AE02E">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师宗南丹山省级风景名胜区</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C3818">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省级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C9C6">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6000</w:t>
            </w:r>
          </w:p>
        </w:tc>
      </w:tr>
      <w:tr w14:paraId="5313C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07EF7">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21</w:t>
            </w:r>
          </w:p>
        </w:tc>
        <w:tc>
          <w:tcPr>
            <w:tcW w:w="81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82CF18">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森林公园</w:t>
            </w: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B50A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云南鲁布革国家森林公园</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7D741">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AB73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4866.67</w:t>
            </w:r>
          </w:p>
        </w:tc>
      </w:tr>
      <w:tr w14:paraId="62A17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7B93D">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22</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3FFDC">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36ED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云南十八连山国家森林公园</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AE250">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E07E3">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2078</w:t>
            </w:r>
          </w:p>
        </w:tc>
      </w:tr>
      <w:tr w14:paraId="71BB7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5708">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23</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4A445">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CAED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云南五峰山国家森林公园</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79C9">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37B3F">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2492.13</w:t>
            </w:r>
          </w:p>
        </w:tc>
      </w:tr>
      <w:tr w14:paraId="7CE5B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0E32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24</w:t>
            </w:r>
          </w:p>
        </w:tc>
        <w:tc>
          <w:tcPr>
            <w:tcW w:w="81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70B1D">
            <w:pPr>
              <w:pStyle w:val="35"/>
              <w:bidi w:val="0"/>
              <w:rPr>
                <w:rFonts w:hint="default" w:ascii="Times New Roman" w:hAnsi="Times New Roman" w:cs="Times New Roman"/>
                <w:color w:val="auto"/>
                <w:highlight w:val="none"/>
              </w:rPr>
            </w:pP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7028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云南珠江源国家森林公园</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0856">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1BED5">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4376</w:t>
            </w:r>
          </w:p>
        </w:tc>
      </w:tr>
      <w:tr w14:paraId="608F4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78573">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3BACC">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地质公园</w:t>
            </w: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33AA">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云南罗平生物群国家地质公园</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23AD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BB26">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6956</w:t>
            </w:r>
          </w:p>
        </w:tc>
      </w:tr>
      <w:tr w14:paraId="740DC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60163">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26</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2A4F1">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湿地公园</w:t>
            </w: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20948">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云南沾益西河国家湿地公园</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5CD2">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20EE9">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1040.5</w:t>
            </w:r>
          </w:p>
        </w:tc>
      </w:tr>
      <w:tr w14:paraId="3D074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FF566">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27</w:t>
            </w:r>
          </w:p>
        </w:tc>
        <w:tc>
          <w:tcPr>
            <w:tcW w:w="8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633CB">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沙漠公园</w:t>
            </w:r>
          </w:p>
        </w:tc>
        <w:tc>
          <w:tcPr>
            <w:tcW w:w="2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7A5F4">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云南陆良彩色沙林国家沙漠公园</w:t>
            </w:r>
          </w:p>
        </w:tc>
        <w:tc>
          <w:tcPr>
            <w:tcW w:w="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EEB8F">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国家级</w:t>
            </w:r>
          </w:p>
        </w:tc>
        <w:tc>
          <w:tcPr>
            <w:tcW w:w="74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C3C1D">
            <w:pPr>
              <w:pStyle w:val="35"/>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389.7</w:t>
            </w:r>
          </w:p>
        </w:tc>
      </w:tr>
    </w:tbl>
    <w:p w14:paraId="323269E2">
      <w:pPr>
        <w:pStyle w:val="29"/>
        <w:bidi w:val="0"/>
        <w:rPr>
          <w:rFonts w:hint="default" w:ascii="Times New Roman" w:hAnsi="Times New Roman" w:cs="Times New Roman"/>
          <w:color w:val="auto"/>
          <w:highlight w:val="none"/>
        </w:rPr>
      </w:pPr>
    </w:p>
    <w:p w14:paraId="6F183F30">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表</w:t>
      </w:r>
      <w:r>
        <w:rPr>
          <w:rFonts w:hint="default" w:ascii="Times New Roman" w:hAnsi="Times New Roman" w:cs="Times New Roman"/>
          <w:color w:val="auto"/>
          <w:highlight w:val="none"/>
          <w:lang w:val="en-US" w:eastAsia="zh-CN"/>
        </w:rPr>
        <w:t>3.5</w:t>
      </w:r>
      <w:r>
        <w:rPr>
          <w:rFonts w:hint="default" w:ascii="Times New Roman" w:hAnsi="Times New Roman" w:cs="Times New Roman"/>
          <w:color w:val="auto"/>
          <w:highlight w:val="none"/>
        </w:rPr>
        <w:t>.1-2 规划范围整合优化后自然保护地一览表</w:t>
      </w:r>
    </w:p>
    <w:tbl>
      <w:tblPr>
        <w:tblStyle w:val="22"/>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5"/>
        <w:gridCol w:w="1209"/>
        <w:gridCol w:w="2957"/>
        <w:gridCol w:w="969"/>
        <w:gridCol w:w="1274"/>
        <w:gridCol w:w="1478"/>
      </w:tblGrid>
      <w:tr w14:paraId="736D4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9E35E">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序号</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0965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类型</w:t>
            </w: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40910">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优化后自然保护地</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DB1A6">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级别</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6A017">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管控分区</w:t>
            </w:r>
          </w:p>
        </w:tc>
        <w:tc>
          <w:tcPr>
            <w:tcW w:w="86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0D8E3">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面积（hm²）</w:t>
            </w:r>
          </w:p>
        </w:tc>
      </w:tr>
      <w:tr w14:paraId="3328D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FA60FB">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w:t>
            </w:r>
          </w:p>
        </w:tc>
        <w:tc>
          <w:tcPr>
            <w:tcW w:w="7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F913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自然保护区</w:t>
            </w:r>
          </w:p>
        </w:tc>
        <w:tc>
          <w:tcPr>
            <w:tcW w:w="17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3C611">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云南富源十八连山自然保护区</w:t>
            </w:r>
          </w:p>
        </w:tc>
        <w:tc>
          <w:tcPr>
            <w:tcW w:w="5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B2E866">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BD2F0">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核心保护区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6924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499.1549</w:t>
            </w:r>
          </w:p>
        </w:tc>
      </w:tr>
      <w:tr w14:paraId="36AB2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4A3CE">
            <w:pPr>
              <w:pStyle w:val="35"/>
              <w:bidi w:val="0"/>
              <w:rPr>
                <w:rFonts w:hint="default" w:ascii="Times New Roman" w:hAnsi="Times New Roman" w:cs="Times New Roman"/>
                <w:color w:val="auto"/>
                <w:highlight w:val="none"/>
                <w:lang w:val="en-US" w:eastAsia="zh-CN"/>
              </w:rPr>
            </w:pP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D29F0">
            <w:pPr>
              <w:pStyle w:val="35"/>
              <w:bidi w:val="0"/>
              <w:rPr>
                <w:rFonts w:hint="default" w:ascii="Times New Roman" w:hAnsi="Times New Roman" w:cs="Times New Roman"/>
                <w:color w:val="auto"/>
                <w:highlight w:val="none"/>
                <w:lang w:val="en-US" w:eastAsia="zh-CN"/>
              </w:rPr>
            </w:pPr>
          </w:p>
        </w:tc>
        <w:tc>
          <w:tcPr>
            <w:tcW w:w="17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6671E">
            <w:pPr>
              <w:pStyle w:val="35"/>
              <w:bidi w:val="0"/>
              <w:rPr>
                <w:rFonts w:hint="default" w:ascii="Times New Roman" w:hAnsi="Times New Roman" w:cs="Times New Roman"/>
                <w:color w:val="auto"/>
                <w:highlight w:val="none"/>
                <w:lang w:val="en-US" w:eastAsia="zh-CN"/>
              </w:rPr>
            </w:pPr>
          </w:p>
        </w:tc>
        <w:tc>
          <w:tcPr>
            <w:tcW w:w="5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52CC4">
            <w:pPr>
              <w:pStyle w:val="35"/>
              <w:bidi w:val="0"/>
              <w:rPr>
                <w:rFonts w:hint="default" w:ascii="Times New Roman" w:hAnsi="Times New Roman" w:cs="Times New Roman"/>
                <w:color w:val="auto"/>
                <w:highlight w:val="none"/>
                <w:lang w:val="en-US" w:eastAsia="zh-CN"/>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D6959">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FD45B">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663.331</w:t>
            </w:r>
          </w:p>
        </w:tc>
      </w:tr>
      <w:tr w14:paraId="4BE1D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B79B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F7EB6">
            <w:pPr>
              <w:pStyle w:val="35"/>
              <w:bidi w:val="0"/>
              <w:rPr>
                <w:rFonts w:hint="default" w:ascii="Times New Roman" w:hAnsi="Times New Roman" w:cs="Times New Roman"/>
                <w:color w:val="auto"/>
                <w:highlight w:val="none"/>
                <w:lang w:val="en-US" w:eastAsia="zh-CN"/>
              </w:rPr>
            </w:pPr>
          </w:p>
        </w:tc>
        <w:tc>
          <w:tcPr>
            <w:tcW w:w="17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32E728">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云南珠江源自然保护区</w:t>
            </w:r>
          </w:p>
        </w:tc>
        <w:tc>
          <w:tcPr>
            <w:tcW w:w="5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941E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78CDD">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核心保护区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FA37E">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16395.7624</w:t>
            </w:r>
          </w:p>
        </w:tc>
      </w:tr>
      <w:tr w14:paraId="5EED2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083FA">
            <w:pPr>
              <w:pStyle w:val="35"/>
              <w:bidi w:val="0"/>
              <w:rPr>
                <w:rFonts w:hint="default" w:ascii="Times New Roman" w:hAnsi="Times New Roman" w:cs="Times New Roman"/>
                <w:color w:val="auto"/>
                <w:highlight w:val="none"/>
                <w:lang w:val="en-US" w:eastAsia="zh-CN"/>
              </w:rPr>
            </w:pP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152EB">
            <w:pPr>
              <w:pStyle w:val="35"/>
              <w:bidi w:val="0"/>
              <w:rPr>
                <w:rFonts w:hint="default" w:ascii="Times New Roman" w:hAnsi="Times New Roman" w:cs="Times New Roman"/>
                <w:color w:val="auto"/>
                <w:highlight w:val="none"/>
                <w:lang w:val="en-US" w:eastAsia="zh-CN"/>
              </w:rPr>
            </w:pPr>
          </w:p>
        </w:tc>
        <w:tc>
          <w:tcPr>
            <w:tcW w:w="17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9BA39">
            <w:pPr>
              <w:pStyle w:val="35"/>
              <w:bidi w:val="0"/>
              <w:rPr>
                <w:rFonts w:hint="default" w:ascii="Times New Roman" w:hAnsi="Times New Roman" w:cs="Times New Roman"/>
                <w:color w:val="auto"/>
                <w:highlight w:val="none"/>
                <w:lang w:val="en-US" w:eastAsia="zh-CN"/>
              </w:rPr>
            </w:pPr>
          </w:p>
        </w:tc>
        <w:tc>
          <w:tcPr>
            <w:tcW w:w="5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EEA84">
            <w:pPr>
              <w:pStyle w:val="35"/>
              <w:bidi w:val="0"/>
              <w:rPr>
                <w:rFonts w:hint="default" w:ascii="Times New Roman" w:hAnsi="Times New Roman" w:cs="Times New Roman"/>
                <w:color w:val="auto"/>
                <w:highlight w:val="none"/>
                <w:lang w:val="en-US" w:eastAsia="zh-CN"/>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D5C92">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1308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79895.0569</w:t>
            </w:r>
          </w:p>
        </w:tc>
      </w:tr>
      <w:tr w14:paraId="1BACD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A7203">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B1C5E">
            <w:pPr>
              <w:pStyle w:val="35"/>
              <w:bidi w:val="0"/>
              <w:rPr>
                <w:rFonts w:hint="default" w:ascii="Times New Roman" w:hAnsi="Times New Roman" w:cs="Times New Roman"/>
                <w:color w:val="auto"/>
                <w:highlight w:val="none"/>
                <w:lang w:val="en-US" w:eastAsia="zh-CN"/>
              </w:rPr>
            </w:pPr>
          </w:p>
        </w:tc>
        <w:tc>
          <w:tcPr>
            <w:tcW w:w="17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554EDC">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云南沾益海峰自然保护区</w:t>
            </w:r>
          </w:p>
        </w:tc>
        <w:tc>
          <w:tcPr>
            <w:tcW w:w="5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DB7B89">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2B08E">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核心保护区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F294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4056.0836</w:t>
            </w:r>
          </w:p>
        </w:tc>
      </w:tr>
      <w:tr w14:paraId="2481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E3CB">
            <w:pPr>
              <w:pStyle w:val="35"/>
              <w:bidi w:val="0"/>
              <w:rPr>
                <w:rFonts w:hint="default" w:ascii="Times New Roman" w:hAnsi="Times New Roman" w:cs="Times New Roman"/>
                <w:color w:val="auto"/>
                <w:highlight w:val="none"/>
                <w:lang w:val="en-US" w:eastAsia="zh-CN"/>
              </w:rPr>
            </w:pP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57979">
            <w:pPr>
              <w:pStyle w:val="35"/>
              <w:bidi w:val="0"/>
              <w:rPr>
                <w:rFonts w:hint="default" w:ascii="Times New Roman" w:hAnsi="Times New Roman" w:cs="Times New Roman"/>
                <w:color w:val="auto"/>
                <w:highlight w:val="none"/>
                <w:lang w:val="en-US" w:eastAsia="zh-CN"/>
              </w:rPr>
            </w:pPr>
          </w:p>
        </w:tc>
        <w:tc>
          <w:tcPr>
            <w:tcW w:w="17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11D48">
            <w:pPr>
              <w:pStyle w:val="35"/>
              <w:bidi w:val="0"/>
              <w:rPr>
                <w:rFonts w:hint="default" w:ascii="Times New Roman" w:hAnsi="Times New Roman" w:cs="Times New Roman"/>
                <w:color w:val="auto"/>
                <w:highlight w:val="none"/>
                <w:lang w:val="en-US" w:eastAsia="zh-CN"/>
              </w:rPr>
            </w:pPr>
          </w:p>
        </w:tc>
        <w:tc>
          <w:tcPr>
            <w:tcW w:w="5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0CA48">
            <w:pPr>
              <w:pStyle w:val="35"/>
              <w:bidi w:val="0"/>
              <w:rPr>
                <w:rFonts w:hint="default" w:ascii="Times New Roman" w:hAnsi="Times New Roman" w:cs="Times New Roman"/>
                <w:color w:val="auto"/>
                <w:highlight w:val="none"/>
                <w:lang w:val="en-US" w:eastAsia="zh-CN"/>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BF4E8">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DC6FC">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26494.0946</w:t>
            </w:r>
          </w:p>
        </w:tc>
      </w:tr>
      <w:tr w14:paraId="649E3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1D341">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F8B89">
            <w:pPr>
              <w:pStyle w:val="35"/>
              <w:bidi w:val="0"/>
              <w:rPr>
                <w:rFonts w:hint="default" w:ascii="Times New Roman" w:hAnsi="Times New Roman" w:cs="Times New Roman"/>
                <w:color w:val="auto"/>
                <w:highlight w:val="none"/>
                <w:lang w:val="en-US" w:eastAsia="zh-CN"/>
              </w:rPr>
            </w:pPr>
          </w:p>
        </w:tc>
        <w:tc>
          <w:tcPr>
            <w:tcW w:w="17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D5AAC">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云南师宗丁累大箐自然保护区</w:t>
            </w:r>
          </w:p>
        </w:tc>
        <w:tc>
          <w:tcPr>
            <w:tcW w:w="56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DBE46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7899E">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核心保护区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B60A2">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453.8033</w:t>
            </w:r>
          </w:p>
        </w:tc>
      </w:tr>
      <w:tr w14:paraId="11CFE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D7B1D">
            <w:pPr>
              <w:pStyle w:val="35"/>
              <w:bidi w:val="0"/>
              <w:rPr>
                <w:rFonts w:hint="default" w:ascii="Times New Roman" w:hAnsi="Times New Roman" w:cs="Times New Roman"/>
                <w:color w:val="auto"/>
                <w:highlight w:val="none"/>
                <w:lang w:val="en-US" w:eastAsia="zh-CN"/>
              </w:rPr>
            </w:pP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41E3A">
            <w:pPr>
              <w:pStyle w:val="35"/>
              <w:bidi w:val="0"/>
              <w:rPr>
                <w:rFonts w:hint="default" w:ascii="Times New Roman" w:hAnsi="Times New Roman" w:cs="Times New Roman"/>
                <w:color w:val="auto"/>
                <w:highlight w:val="none"/>
                <w:lang w:val="en-US" w:eastAsia="zh-CN"/>
              </w:rPr>
            </w:pPr>
          </w:p>
        </w:tc>
        <w:tc>
          <w:tcPr>
            <w:tcW w:w="17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E471B">
            <w:pPr>
              <w:pStyle w:val="35"/>
              <w:bidi w:val="0"/>
              <w:rPr>
                <w:rFonts w:hint="default" w:ascii="Times New Roman" w:hAnsi="Times New Roman" w:cs="Times New Roman"/>
                <w:color w:val="auto"/>
                <w:highlight w:val="none"/>
                <w:lang w:val="en-US" w:eastAsia="zh-CN"/>
              </w:rPr>
            </w:pPr>
          </w:p>
        </w:tc>
        <w:tc>
          <w:tcPr>
            <w:tcW w:w="56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6EB5E">
            <w:pPr>
              <w:pStyle w:val="35"/>
              <w:bidi w:val="0"/>
              <w:rPr>
                <w:rFonts w:hint="default" w:ascii="Times New Roman" w:hAnsi="Times New Roman" w:cs="Times New Roman"/>
                <w:color w:val="auto"/>
                <w:highlight w:val="none"/>
                <w:lang w:val="en-US" w:eastAsia="zh-CN"/>
              </w:rPr>
            </w:pP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36BEB">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7379C">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3569.5997</w:t>
            </w:r>
          </w:p>
        </w:tc>
      </w:tr>
      <w:tr w14:paraId="0A6E6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48901">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w:t>
            </w:r>
          </w:p>
        </w:tc>
        <w:tc>
          <w:tcPr>
            <w:tcW w:w="7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4CF22">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风景名胜区</w:t>
            </w: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F521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云南陆良彩色沙林风景名胜区</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C5A17">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594B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E2C78">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5581.7834</w:t>
            </w:r>
          </w:p>
        </w:tc>
      </w:tr>
      <w:tr w14:paraId="3524A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760A1">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FED53">
            <w:pPr>
              <w:pStyle w:val="35"/>
              <w:bidi w:val="0"/>
              <w:rPr>
                <w:rFonts w:hint="default" w:ascii="Times New Roman" w:hAnsi="Times New Roman" w:cs="Times New Roman"/>
                <w:color w:val="auto"/>
                <w:highlight w:val="none"/>
                <w:lang w:val="en-US" w:eastAsia="zh-CN"/>
              </w:rPr>
            </w:pP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2B160">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云南罗平多依河－鲁布革风景名胜区</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9BA8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1AC24">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8286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22404.2703</w:t>
            </w:r>
          </w:p>
        </w:tc>
      </w:tr>
      <w:tr w14:paraId="28A0EB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C38D8">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12ECD">
            <w:pPr>
              <w:pStyle w:val="35"/>
              <w:bidi w:val="0"/>
              <w:rPr>
                <w:rFonts w:hint="default" w:ascii="Times New Roman" w:hAnsi="Times New Roman" w:cs="Times New Roman"/>
                <w:color w:val="auto"/>
                <w:highlight w:val="none"/>
                <w:lang w:val="en-US" w:eastAsia="zh-CN"/>
              </w:rPr>
            </w:pP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AA075">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云南马龙马过河风景名胜区</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5475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CCFF5">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194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2863.9291</w:t>
            </w:r>
          </w:p>
        </w:tc>
      </w:tr>
      <w:tr w14:paraId="024ED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ECB5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6D324">
            <w:pPr>
              <w:pStyle w:val="35"/>
              <w:bidi w:val="0"/>
              <w:rPr>
                <w:rFonts w:hint="default" w:ascii="Times New Roman" w:hAnsi="Times New Roman" w:cs="Times New Roman"/>
                <w:color w:val="auto"/>
                <w:highlight w:val="none"/>
                <w:lang w:val="en-US" w:eastAsia="zh-CN"/>
              </w:rPr>
            </w:pP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7DA74">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云南师宗南丹山风景名胜区</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5159D">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491C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94498">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35760.5067</w:t>
            </w:r>
          </w:p>
        </w:tc>
      </w:tr>
      <w:tr w14:paraId="64479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146D">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74B1C">
            <w:pPr>
              <w:pStyle w:val="35"/>
              <w:bidi w:val="0"/>
              <w:rPr>
                <w:rFonts w:hint="default" w:ascii="Times New Roman" w:hAnsi="Times New Roman" w:cs="Times New Roman"/>
                <w:color w:val="auto"/>
                <w:highlight w:val="none"/>
                <w:lang w:val="en-US" w:eastAsia="zh-CN"/>
              </w:rPr>
            </w:pP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62437">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云南沾益珠江源风景名胜区</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75465">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895E8">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0A30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4440.3535</w:t>
            </w:r>
          </w:p>
        </w:tc>
      </w:tr>
      <w:tr w14:paraId="14BE8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069B1">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10</w:t>
            </w:r>
          </w:p>
        </w:tc>
        <w:tc>
          <w:tcPr>
            <w:tcW w:w="7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76B73">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森林公园</w:t>
            </w: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3312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云南万峰山国家级森林公园</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7D1196">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国家级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5AC55">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F808E">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25801.9161</w:t>
            </w:r>
          </w:p>
        </w:tc>
      </w:tr>
      <w:tr w14:paraId="17F82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F26E3">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00E5C">
            <w:pPr>
              <w:pStyle w:val="35"/>
              <w:bidi w:val="0"/>
              <w:rPr>
                <w:rFonts w:hint="default" w:ascii="Times New Roman" w:hAnsi="Times New Roman" w:cs="Times New Roman"/>
                <w:color w:val="auto"/>
                <w:highlight w:val="none"/>
                <w:lang w:val="en-US" w:eastAsia="zh-CN"/>
              </w:rPr>
            </w:pP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FBBE3">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云南麒麟朗目山森林公园</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AD42">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9446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E107C">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716.4626</w:t>
            </w:r>
          </w:p>
        </w:tc>
      </w:tr>
      <w:tr w14:paraId="21C8C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1A34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12</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F3CB9">
            <w:pPr>
              <w:pStyle w:val="35"/>
              <w:bidi w:val="0"/>
              <w:rPr>
                <w:rFonts w:hint="default" w:ascii="Times New Roman" w:hAnsi="Times New Roman" w:cs="Times New Roman"/>
                <w:color w:val="auto"/>
                <w:highlight w:val="none"/>
                <w:lang w:val="en-US" w:eastAsia="zh-CN"/>
              </w:rPr>
            </w:pP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75473">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云南曲靖海寨森林公园</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BAF64">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06922">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1E8C">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11109.9486</w:t>
            </w:r>
          </w:p>
        </w:tc>
      </w:tr>
      <w:tr w14:paraId="7CAF9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54CE4">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13</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E4A90">
            <w:pPr>
              <w:pStyle w:val="35"/>
              <w:bidi w:val="0"/>
              <w:rPr>
                <w:rFonts w:hint="default" w:ascii="Times New Roman" w:hAnsi="Times New Roman" w:cs="Times New Roman"/>
                <w:color w:val="auto"/>
                <w:highlight w:val="none"/>
                <w:lang w:val="en-US" w:eastAsia="zh-CN"/>
              </w:rPr>
            </w:pP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2A936">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云南麒麟潇湘谷森林公园</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6608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BA5E6">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7227">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2175.3562</w:t>
            </w:r>
          </w:p>
        </w:tc>
      </w:tr>
      <w:tr w14:paraId="48708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C9E6D">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14</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49753">
            <w:pPr>
              <w:pStyle w:val="35"/>
              <w:bidi w:val="0"/>
              <w:rPr>
                <w:rFonts w:hint="default" w:ascii="Times New Roman" w:hAnsi="Times New Roman" w:cs="Times New Roman"/>
                <w:color w:val="auto"/>
                <w:highlight w:val="none"/>
                <w:lang w:val="en-US" w:eastAsia="zh-CN"/>
              </w:rPr>
            </w:pP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4ADA0">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云南马龙黄草坪森林公园</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CAD8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40B14">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7A425">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4076.1767</w:t>
            </w:r>
          </w:p>
        </w:tc>
      </w:tr>
      <w:tr w14:paraId="48BE5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B14E1">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15</w:t>
            </w:r>
          </w:p>
        </w:tc>
        <w:tc>
          <w:tcPr>
            <w:tcW w:w="7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4B44C">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地质公园</w:t>
            </w: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EE52E">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云南罗平生物群国家地质公园</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60958">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国家级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8C7F7">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159F3">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6301.984</w:t>
            </w:r>
          </w:p>
        </w:tc>
      </w:tr>
      <w:tr w14:paraId="146CE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12CD0">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16</w:t>
            </w:r>
          </w:p>
        </w:tc>
        <w:tc>
          <w:tcPr>
            <w:tcW w:w="71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0814F">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湿地公园</w:t>
            </w: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42908">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云南沾益西河国家级湿地公园</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508C">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国家级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E5DC8">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DD8D">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975.3792</w:t>
            </w:r>
          </w:p>
        </w:tc>
      </w:tr>
      <w:tr w14:paraId="4A33A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642D6">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17</w:t>
            </w:r>
          </w:p>
        </w:tc>
        <w:tc>
          <w:tcPr>
            <w:tcW w:w="71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0AE51">
            <w:pPr>
              <w:pStyle w:val="35"/>
              <w:bidi w:val="0"/>
              <w:rPr>
                <w:rFonts w:hint="default" w:ascii="Times New Roman" w:hAnsi="Times New Roman" w:cs="Times New Roman"/>
                <w:color w:val="auto"/>
                <w:highlight w:val="none"/>
                <w:lang w:val="en-US" w:eastAsia="zh-CN"/>
              </w:rPr>
            </w:pPr>
          </w:p>
        </w:tc>
        <w:tc>
          <w:tcPr>
            <w:tcW w:w="17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6D284">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云南师宗丹凤湿地公园</w:t>
            </w:r>
          </w:p>
        </w:tc>
        <w:tc>
          <w:tcPr>
            <w:tcW w:w="5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FD780">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地方级</w:t>
            </w:r>
          </w:p>
        </w:tc>
        <w:tc>
          <w:tcPr>
            <w:tcW w:w="7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B4EB6">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一般控制区</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2F63A">
            <w:pPr>
              <w:pStyle w:val="35"/>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6757.7529</w:t>
            </w:r>
          </w:p>
        </w:tc>
      </w:tr>
    </w:tbl>
    <w:p w14:paraId="483F0563">
      <w:pPr>
        <w:pStyle w:val="14"/>
        <w:bidi w:val="0"/>
        <w:ind w:left="0" w:leftChars="0" w:firstLine="0" w:firstLineChars="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lang w:val="en-US" w:eastAsia="zh-CN"/>
        </w:rPr>
        <w:t>注：</w:t>
      </w:r>
      <w:r>
        <w:rPr>
          <w:rFonts w:hint="default" w:ascii="Times New Roman" w:hAnsi="Times New Roman" w:cs="Times New Roman"/>
          <w:color w:val="auto"/>
          <w:sz w:val="21"/>
          <w:szCs w:val="21"/>
          <w:highlight w:val="none"/>
        </w:rPr>
        <w:t>最终名称及面积待《云南省自然保护地整合优化方案》批复后规划成果做相应更新。</w:t>
      </w:r>
    </w:p>
    <w:p w14:paraId="6A24F6DC">
      <w:pPr>
        <w:pStyle w:val="14"/>
        <w:bidi w:val="0"/>
        <w:ind w:left="0" w:leftChars="0" w:firstLine="0" w:firstLineChars="0"/>
        <w:jc w:val="center"/>
        <w:rPr>
          <w:rFonts w:hint="default" w:ascii="Times New Roman" w:hAnsi="Times New Roman" w:cs="Times New Roman"/>
          <w:color w:val="auto"/>
          <w:highlight w:val="none"/>
        </w:rPr>
      </w:pPr>
    </w:p>
    <w:p w14:paraId="5F097C2D">
      <w:pPr>
        <w:pStyle w:val="14"/>
        <w:bidi w:val="0"/>
        <w:ind w:left="0" w:leftChars="0" w:firstLine="0" w:firstLineChars="0"/>
        <w:jc w:val="center"/>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drawing>
          <wp:inline distT="0" distB="0" distL="114300" distR="114300">
            <wp:extent cx="4826000" cy="2743200"/>
            <wp:effectExtent l="4445" t="4445" r="8255" b="14605"/>
            <wp:docPr id="5"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B3A7AB6">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图3.5.1-1  自然保护地整合优化前后各类型数量对比图</w:t>
      </w:r>
    </w:p>
    <w:p w14:paraId="5DCDF697">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自然保护区</w:t>
      </w:r>
    </w:p>
    <w:p w14:paraId="05158C4E">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规划范围自然保护区概况</w:t>
      </w:r>
    </w:p>
    <w:p w14:paraId="52DAA4E9">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w:t>
      </w:r>
      <w:r>
        <w:rPr>
          <w:rFonts w:hint="default" w:ascii="Times New Roman" w:hAnsi="Times New Roman" w:cs="Times New Roman"/>
          <w:color w:val="auto"/>
          <w:highlight w:val="none"/>
          <w:lang w:val="en-US" w:eastAsia="zh-CN"/>
        </w:rPr>
        <w:t>现状分布有15处自然保护区，其中：</w:t>
      </w:r>
      <w:r>
        <w:rPr>
          <w:rFonts w:hint="default" w:ascii="Times New Roman" w:hAnsi="Times New Roman" w:cs="Times New Roman"/>
          <w:color w:val="auto"/>
          <w:highlight w:val="none"/>
        </w:rPr>
        <w:t>省级自然保护区3个，市级自然保护区3个，县级自然保护区9个。</w:t>
      </w:r>
    </w:p>
    <w:p w14:paraId="245D3091">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富源十八连山省级自然保护区属自然生态系统类别，是森林生态系统类型的小型保护区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行政区涉及富源县</w:t>
      </w:r>
      <w:r>
        <w:rPr>
          <w:rFonts w:hint="default" w:ascii="Times New Roman" w:hAnsi="Times New Roman" w:cs="Times New Roman"/>
          <w:color w:val="auto"/>
          <w:highlight w:val="none"/>
        </w:rPr>
        <w:t>。保护区主要保护对象为：半湿性常绿阔叶林生态系统和短尾猴、猕猴、斑羚、白腹锦鸡、榉树等国家重点保护野生动植物及野生山茶、猕猴桃、红花木莲、三尖杉等野生植物种质资源。</w:t>
      </w:r>
    </w:p>
    <w:p w14:paraId="5943F1A8">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珠江源省级自然保护区属自然生态系统类别，是森林生态系统类型的大型自然保护区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主要保护对象为：珠江源区水源涵养林及其生态系统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发育于喀斯特地貌的湿地生态系统。</w:t>
      </w:r>
    </w:p>
    <w:p w14:paraId="1AE7F51F">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沾益海峰省级自然保护区属自然生态系统类别，</w:t>
      </w:r>
      <w:r>
        <w:rPr>
          <w:rFonts w:hint="default" w:ascii="Times New Roman" w:hAnsi="Times New Roman" w:cs="Times New Roman"/>
          <w:color w:val="auto"/>
          <w:highlight w:val="none"/>
          <w:lang w:val="en-US" w:eastAsia="zh-CN"/>
        </w:rPr>
        <w:t>是湿地生态系统类型的中型自然保护区，行政区涉及沾益区</w:t>
      </w:r>
      <w:r>
        <w:rPr>
          <w:rFonts w:hint="default" w:ascii="Times New Roman" w:hAnsi="Times New Roman" w:cs="Times New Roman"/>
          <w:color w:val="auto"/>
          <w:highlight w:val="none"/>
        </w:rPr>
        <w:t>，主要保护对象为岩溶湿地生态系统、特殊的岩溶天坑森林。</w:t>
      </w:r>
    </w:p>
    <w:p w14:paraId="79855F06">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规划范围内自然保护区</w:t>
      </w:r>
      <w:r>
        <w:rPr>
          <w:rFonts w:hint="default" w:ascii="Times New Roman" w:hAnsi="Times New Roman" w:cs="Times New Roman"/>
          <w:color w:val="auto"/>
          <w:highlight w:val="none"/>
        </w:rPr>
        <w:t>涵盖森林生态系统、湿地生态系统、水生生物、水源地等多种保护对象，是流域生态安全的核心屏障。</w:t>
      </w:r>
    </w:p>
    <w:p w14:paraId="7BAD1F23">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规划重点拟建工程</w:t>
      </w:r>
      <w:r>
        <w:rPr>
          <w:rFonts w:hint="default" w:ascii="Times New Roman" w:hAnsi="Times New Roman" w:cs="Times New Roman"/>
          <w:color w:val="auto"/>
          <w:highlight w:val="none"/>
        </w:rPr>
        <w:t>与自然保护区位置关系</w:t>
      </w:r>
    </w:p>
    <w:p w14:paraId="76E13B2F">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根据综合规划中的重点水利工程规划，重点水利工程包括响水坝水库扩建工程、罗师灌区工程、富源灌区工程、沾马灌区工程、曲靖市牛栏江德泽水库引水济曲工程、云南省南盘江（珠江源头）生态保护修复工程、陆良县引水入陆工程，经规划重点拟建工程与自然保护区范围叠图分析，云南省南盘江（珠江源头）生态保护修复工程约36.63公顷涉及珠江源省级自然保护区实验区。</w:t>
      </w:r>
    </w:p>
    <w:p w14:paraId="58983EBF">
      <w:pPr>
        <w:pStyle w:val="14"/>
        <w:bidi w:val="0"/>
        <w:ind w:left="0" w:leftChars="0"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274945" cy="3705860"/>
            <wp:effectExtent l="0" t="0" r="190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41"/>
                    <a:stretch>
                      <a:fillRect/>
                    </a:stretch>
                  </pic:blipFill>
                  <pic:spPr>
                    <a:xfrm>
                      <a:off x="0" y="0"/>
                      <a:ext cx="5274945" cy="3705860"/>
                    </a:xfrm>
                    <a:prstGeom prst="rect">
                      <a:avLst/>
                    </a:prstGeom>
                    <a:noFill/>
                    <a:ln>
                      <a:noFill/>
                    </a:ln>
                  </pic:spPr>
                </pic:pic>
              </a:graphicData>
            </a:graphic>
          </wp:inline>
        </w:drawing>
      </w:r>
    </w:p>
    <w:p w14:paraId="4AE3CD8F">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图</w:t>
      </w:r>
      <w:r>
        <w:rPr>
          <w:rFonts w:hint="default" w:ascii="Times New Roman" w:hAnsi="Times New Roman" w:cs="Times New Roman"/>
          <w:color w:val="auto"/>
          <w:highlight w:val="none"/>
          <w:lang w:val="en-US" w:eastAsia="zh-CN"/>
        </w:rPr>
        <w:t>3.5.1</w:t>
      </w:r>
      <w:r>
        <w:rPr>
          <w:rFonts w:hint="default" w:ascii="Times New Roman" w:hAnsi="Times New Roman" w:cs="Times New Roman"/>
          <w:color w:val="auto"/>
          <w:highlight w:val="none"/>
        </w:rPr>
        <w:t xml:space="preserve">-1  </w:t>
      </w:r>
      <w:r>
        <w:rPr>
          <w:rFonts w:hint="default" w:ascii="Times New Roman" w:hAnsi="Times New Roman" w:cs="Times New Roman"/>
          <w:color w:val="auto"/>
          <w:highlight w:val="none"/>
          <w:lang w:val="en-US" w:eastAsia="zh-CN"/>
        </w:rPr>
        <w:t>规划云南省南盘江（珠江源头）生态保护修复工程</w:t>
      </w:r>
      <w:r>
        <w:rPr>
          <w:rFonts w:hint="default" w:ascii="Times New Roman" w:hAnsi="Times New Roman" w:cs="Times New Roman"/>
          <w:color w:val="auto"/>
          <w:highlight w:val="none"/>
        </w:rPr>
        <w:t>与</w:t>
      </w:r>
      <w:r>
        <w:rPr>
          <w:rFonts w:hint="default" w:ascii="Times New Roman" w:hAnsi="Times New Roman" w:cs="Times New Roman"/>
          <w:color w:val="auto"/>
          <w:highlight w:val="none"/>
          <w:lang w:val="en-US" w:eastAsia="zh-CN"/>
        </w:rPr>
        <w:t>珠江源省级自然保护区</w:t>
      </w:r>
      <w:r>
        <w:rPr>
          <w:rFonts w:hint="default" w:ascii="Times New Roman" w:hAnsi="Times New Roman" w:cs="Times New Roman"/>
          <w:color w:val="auto"/>
          <w:highlight w:val="none"/>
        </w:rPr>
        <w:t>位置关系示意图</w:t>
      </w:r>
    </w:p>
    <w:p w14:paraId="044D9367">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风景名胜区</w:t>
      </w:r>
    </w:p>
    <w:p w14:paraId="181BDC78">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规划范围风景名胜区概况</w:t>
      </w:r>
    </w:p>
    <w:p w14:paraId="0092049F">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w:t>
      </w:r>
      <w:r>
        <w:rPr>
          <w:rFonts w:hint="default" w:ascii="Times New Roman" w:hAnsi="Times New Roman" w:cs="Times New Roman"/>
          <w:color w:val="auto"/>
          <w:highlight w:val="none"/>
          <w:lang w:val="en-US" w:eastAsia="zh-CN"/>
        </w:rPr>
        <w:t>现状分布有5处风景名胜区，均为省级风景名胜区</w:t>
      </w:r>
      <w:r>
        <w:rPr>
          <w:rFonts w:hint="default" w:ascii="Times New Roman" w:hAnsi="Times New Roman" w:cs="Times New Roman"/>
          <w:color w:val="auto"/>
          <w:highlight w:val="none"/>
        </w:rPr>
        <w:t>。</w:t>
      </w:r>
    </w:p>
    <w:p w14:paraId="3C823422">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珠江源风景名胜区于1988年批准</w:t>
      </w:r>
      <w:r>
        <w:rPr>
          <w:rFonts w:hint="default" w:ascii="Times New Roman" w:hAnsi="Times New Roman" w:cs="Times New Roman"/>
          <w:color w:val="auto"/>
          <w:highlight w:val="none"/>
          <w:lang w:val="en-US" w:eastAsia="zh-CN"/>
        </w:rPr>
        <w:t>设立</w:t>
      </w:r>
      <w:r>
        <w:rPr>
          <w:rFonts w:hint="default" w:ascii="Times New Roman" w:hAnsi="Times New Roman" w:cs="Times New Roman"/>
          <w:color w:val="auto"/>
          <w:highlight w:val="none"/>
        </w:rPr>
        <w:t>（云政发〔1988〕68号），面积约5000公顷，分为花山湖片区和马雄山片区共两个片区。</w:t>
      </w:r>
    </w:p>
    <w:p w14:paraId="54E63C81">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马龙马过河风景名胜区于</w:t>
      </w:r>
      <w:r>
        <w:rPr>
          <w:rFonts w:hint="default" w:ascii="Times New Roman" w:hAnsi="Times New Roman" w:cs="Times New Roman"/>
          <w:color w:val="auto"/>
          <w:highlight w:val="none"/>
          <w:lang w:val="en-US" w:eastAsia="zh-CN"/>
        </w:rPr>
        <w:t>2002</w:t>
      </w:r>
      <w:r>
        <w:rPr>
          <w:rFonts w:hint="default" w:ascii="Times New Roman" w:hAnsi="Times New Roman" w:cs="Times New Roman"/>
          <w:color w:val="auto"/>
          <w:highlight w:val="none"/>
        </w:rPr>
        <w:t>年批准</w:t>
      </w:r>
      <w:r>
        <w:rPr>
          <w:rFonts w:hint="default" w:ascii="Times New Roman" w:hAnsi="Times New Roman" w:cs="Times New Roman"/>
          <w:color w:val="auto"/>
          <w:highlight w:val="none"/>
          <w:lang w:val="en-US" w:eastAsia="zh-CN"/>
        </w:rPr>
        <w:t>设立</w:t>
      </w:r>
      <w:r>
        <w:rPr>
          <w:rFonts w:hint="default" w:ascii="Times New Roman" w:hAnsi="Times New Roman" w:cs="Times New Roman"/>
          <w:color w:val="auto"/>
          <w:highlight w:val="none"/>
        </w:rPr>
        <w:t>（云政发〔</w:t>
      </w:r>
      <w:r>
        <w:rPr>
          <w:rFonts w:hint="default" w:ascii="Times New Roman" w:hAnsi="Times New Roman" w:cs="Times New Roman"/>
          <w:color w:val="auto"/>
          <w:highlight w:val="none"/>
          <w:lang w:val="en-US" w:eastAsia="zh-CN"/>
        </w:rPr>
        <w:t>2002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44</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28</w:t>
      </w:r>
      <w:r>
        <w:rPr>
          <w:rFonts w:hint="default" w:ascii="Times New Roman" w:hAnsi="Times New Roman" w:cs="Times New Roman"/>
          <w:color w:val="auto"/>
          <w:highlight w:val="none"/>
        </w:rPr>
        <w:t>00公顷，分为马过河</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天生桥、土官寨、香炉山4个景区。</w:t>
      </w:r>
    </w:p>
    <w:p w14:paraId="0E4EE355">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陆良彩色沙林风景名胜区于</w:t>
      </w:r>
      <w:r>
        <w:rPr>
          <w:rFonts w:hint="default" w:ascii="Times New Roman" w:hAnsi="Times New Roman" w:cs="Times New Roman"/>
          <w:color w:val="auto"/>
          <w:highlight w:val="none"/>
          <w:lang w:val="en-US" w:eastAsia="zh-CN"/>
        </w:rPr>
        <w:t>1997</w:t>
      </w:r>
      <w:r>
        <w:rPr>
          <w:rFonts w:hint="default" w:ascii="Times New Roman" w:hAnsi="Times New Roman" w:cs="Times New Roman"/>
          <w:color w:val="auto"/>
          <w:highlight w:val="none"/>
        </w:rPr>
        <w:t>年批准</w:t>
      </w:r>
      <w:r>
        <w:rPr>
          <w:rFonts w:hint="default" w:ascii="Times New Roman" w:hAnsi="Times New Roman" w:cs="Times New Roman"/>
          <w:color w:val="auto"/>
          <w:highlight w:val="none"/>
          <w:lang w:val="en-US" w:eastAsia="zh-CN"/>
        </w:rPr>
        <w:t>设立</w:t>
      </w:r>
      <w:r>
        <w:rPr>
          <w:rFonts w:hint="default" w:ascii="Times New Roman" w:hAnsi="Times New Roman" w:cs="Times New Roman"/>
          <w:color w:val="auto"/>
          <w:highlight w:val="none"/>
        </w:rPr>
        <w:t>（云政</w:t>
      </w:r>
      <w:r>
        <w:rPr>
          <w:rFonts w:hint="default" w:ascii="Times New Roman" w:hAnsi="Times New Roman" w:cs="Times New Roman"/>
          <w:color w:val="auto"/>
          <w:highlight w:val="none"/>
          <w:lang w:val="en-US" w:eastAsia="zh-CN"/>
        </w:rPr>
        <w:t>复</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1997</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110</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502</w:t>
      </w:r>
      <w:r>
        <w:rPr>
          <w:rFonts w:hint="default" w:ascii="Times New Roman" w:hAnsi="Times New Roman" w:cs="Times New Roman"/>
          <w:color w:val="auto"/>
          <w:highlight w:val="none"/>
        </w:rPr>
        <w:t>0公顷</w:t>
      </w:r>
      <w:r>
        <w:rPr>
          <w:rFonts w:hint="default" w:ascii="Times New Roman" w:hAnsi="Times New Roman" w:cs="Times New Roman"/>
          <w:color w:val="auto"/>
          <w:highlight w:val="none"/>
          <w:lang w:val="en-US" w:eastAsia="zh-CN"/>
        </w:rPr>
        <w:t>。</w:t>
      </w:r>
    </w:p>
    <w:p w14:paraId="2902F5CD">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罗平多依河—鲁布革风景名胜区于</w:t>
      </w:r>
      <w:r>
        <w:rPr>
          <w:rFonts w:hint="default" w:ascii="Times New Roman" w:hAnsi="Times New Roman" w:cs="Times New Roman"/>
          <w:color w:val="auto"/>
          <w:highlight w:val="none"/>
          <w:lang w:val="en-US" w:eastAsia="zh-CN"/>
        </w:rPr>
        <w:t>1993</w:t>
      </w:r>
      <w:r>
        <w:rPr>
          <w:rFonts w:hint="default" w:ascii="Times New Roman" w:hAnsi="Times New Roman" w:cs="Times New Roman"/>
          <w:color w:val="auto"/>
          <w:highlight w:val="none"/>
        </w:rPr>
        <w:t>年批准</w:t>
      </w:r>
      <w:r>
        <w:rPr>
          <w:rFonts w:hint="default" w:ascii="Times New Roman" w:hAnsi="Times New Roman" w:cs="Times New Roman"/>
          <w:color w:val="auto"/>
          <w:highlight w:val="none"/>
          <w:lang w:val="en-US" w:eastAsia="zh-CN"/>
        </w:rPr>
        <w:t>设立</w:t>
      </w:r>
      <w:r>
        <w:rPr>
          <w:rFonts w:hint="default" w:ascii="Times New Roman" w:hAnsi="Times New Roman" w:cs="Times New Roman"/>
          <w:color w:val="auto"/>
          <w:highlight w:val="none"/>
        </w:rPr>
        <w:t>（云政</w:t>
      </w:r>
      <w:r>
        <w:rPr>
          <w:rFonts w:hint="default" w:ascii="Times New Roman" w:hAnsi="Times New Roman" w:cs="Times New Roman"/>
          <w:color w:val="auto"/>
          <w:highlight w:val="none"/>
          <w:lang w:val="en-US" w:eastAsia="zh-CN"/>
        </w:rPr>
        <w:t>发</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1993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199</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374</w:t>
      </w:r>
      <w:r>
        <w:rPr>
          <w:rFonts w:hint="default" w:ascii="Times New Roman" w:hAnsi="Times New Roman" w:cs="Times New Roman"/>
          <w:color w:val="auto"/>
          <w:highlight w:val="none"/>
        </w:rPr>
        <w:t>0公顷</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分为多依河、九龙河、龙王庙－玉带湖、鲁布革4个景区。</w:t>
      </w:r>
    </w:p>
    <w:p w14:paraId="106B2FB5">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师宗南丹山风景名胜区于</w:t>
      </w:r>
      <w:r>
        <w:rPr>
          <w:rFonts w:hint="default" w:ascii="Times New Roman" w:hAnsi="Times New Roman" w:cs="Times New Roman"/>
          <w:color w:val="auto"/>
          <w:highlight w:val="none"/>
          <w:lang w:val="en-US" w:eastAsia="zh-CN"/>
        </w:rPr>
        <w:t>2002</w:t>
      </w:r>
      <w:r>
        <w:rPr>
          <w:rFonts w:hint="default" w:ascii="Times New Roman" w:hAnsi="Times New Roman" w:cs="Times New Roman"/>
          <w:color w:val="auto"/>
          <w:highlight w:val="none"/>
        </w:rPr>
        <w:t>年批准</w:t>
      </w:r>
      <w:r>
        <w:rPr>
          <w:rFonts w:hint="default" w:ascii="Times New Roman" w:hAnsi="Times New Roman" w:cs="Times New Roman"/>
          <w:color w:val="auto"/>
          <w:highlight w:val="none"/>
          <w:lang w:val="en-US" w:eastAsia="zh-CN"/>
        </w:rPr>
        <w:t>设立</w:t>
      </w:r>
      <w:r>
        <w:rPr>
          <w:rFonts w:hint="default" w:ascii="Times New Roman" w:hAnsi="Times New Roman" w:cs="Times New Roman"/>
          <w:color w:val="auto"/>
          <w:highlight w:val="none"/>
        </w:rPr>
        <w:t>（云政</w:t>
      </w:r>
      <w:r>
        <w:rPr>
          <w:rFonts w:hint="default" w:ascii="Times New Roman" w:hAnsi="Times New Roman" w:cs="Times New Roman"/>
          <w:color w:val="auto"/>
          <w:highlight w:val="none"/>
          <w:lang w:val="en-US" w:eastAsia="zh-CN"/>
        </w:rPr>
        <w:t>发</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2002</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44</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6000.29</w:t>
      </w:r>
      <w:r>
        <w:rPr>
          <w:rFonts w:hint="default" w:ascii="Times New Roman" w:hAnsi="Times New Roman" w:cs="Times New Roman"/>
          <w:color w:val="auto"/>
          <w:highlight w:val="none"/>
        </w:rPr>
        <w:t>公顷</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分为丁累大箐、凤凰谷、菌子山、南丹山、南盘江5个景区。</w:t>
      </w:r>
    </w:p>
    <w:p w14:paraId="6130EA95">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规划重点拟建工程</w:t>
      </w:r>
      <w:r>
        <w:rPr>
          <w:rFonts w:hint="default" w:ascii="Times New Roman" w:hAnsi="Times New Roman" w:cs="Times New Roman"/>
          <w:color w:val="auto"/>
          <w:highlight w:val="none"/>
        </w:rPr>
        <w:t>与</w:t>
      </w:r>
      <w:r>
        <w:rPr>
          <w:rFonts w:hint="default" w:ascii="Times New Roman" w:hAnsi="Times New Roman" w:cs="Times New Roman"/>
          <w:color w:val="auto"/>
          <w:highlight w:val="none"/>
          <w:lang w:val="en-US" w:eastAsia="zh-CN"/>
        </w:rPr>
        <w:t>风景名胜区</w:t>
      </w:r>
      <w:r>
        <w:rPr>
          <w:rFonts w:hint="default" w:ascii="Times New Roman" w:hAnsi="Times New Roman" w:cs="Times New Roman"/>
          <w:color w:val="auto"/>
          <w:highlight w:val="none"/>
        </w:rPr>
        <w:t>位置关系</w:t>
      </w:r>
    </w:p>
    <w:p w14:paraId="07E2E338">
      <w:pPr>
        <w:pStyle w:val="14"/>
        <w:bidi w:val="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经规划重点拟建工程与风景名胜区范围叠图分析，规划云南省南盘江（珠江源头）生态保护修复工程约36.13公顷涉及珠江源省级风景名胜区一般控制区，沾马灌区工程约5.4千米涉及马龙马过河风景名胜区一般控制区。</w:t>
      </w:r>
    </w:p>
    <w:p w14:paraId="7D3B7964">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森林公园</w:t>
      </w:r>
    </w:p>
    <w:p w14:paraId="455597FA">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规划范围森林公园概况</w:t>
      </w:r>
    </w:p>
    <w:p w14:paraId="77A2FF43">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w:t>
      </w:r>
      <w:r>
        <w:rPr>
          <w:rFonts w:hint="default" w:ascii="Times New Roman" w:hAnsi="Times New Roman" w:cs="Times New Roman"/>
          <w:color w:val="auto"/>
          <w:highlight w:val="none"/>
          <w:lang w:val="en-US" w:eastAsia="zh-CN"/>
        </w:rPr>
        <w:t>现状分布有4处国家森林公园</w:t>
      </w:r>
      <w:r>
        <w:rPr>
          <w:rFonts w:hint="default" w:ascii="Times New Roman" w:hAnsi="Times New Roman" w:cs="Times New Roman"/>
          <w:color w:val="auto"/>
          <w:highlight w:val="none"/>
        </w:rPr>
        <w:t>。</w:t>
      </w:r>
    </w:p>
    <w:p w14:paraId="6131635E">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云南鲁布革国家森林公园于19</w:t>
      </w:r>
      <w:r>
        <w:rPr>
          <w:rFonts w:hint="default" w:ascii="Times New Roman" w:hAnsi="Times New Roman" w:cs="Times New Roman"/>
          <w:color w:val="auto"/>
          <w:highlight w:val="none"/>
          <w:lang w:val="en-US" w:eastAsia="zh-CN"/>
        </w:rPr>
        <w:t>93</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建园</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林造批字</w:t>
      </w:r>
      <w:r>
        <w:rPr>
          <w:rFonts w:hint="default" w:ascii="Times New Roman" w:hAnsi="Times New Roman" w:cs="Times New Roman"/>
          <w:color w:val="auto"/>
          <w:highlight w:val="none"/>
        </w:rPr>
        <w:t>〔19</w:t>
      </w:r>
      <w:r>
        <w:rPr>
          <w:rFonts w:hint="default" w:ascii="Times New Roman" w:hAnsi="Times New Roman" w:cs="Times New Roman"/>
          <w:color w:val="auto"/>
          <w:highlight w:val="none"/>
          <w:lang w:val="en-US" w:eastAsia="zh-CN"/>
        </w:rPr>
        <w:t>93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89</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4866.67</w:t>
      </w:r>
      <w:r>
        <w:rPr>
          <w:rFonts w:hint="default" w:ascii="Times New Roman" w:hAnsi="Times New Roman" w:cs="Times New Roman"/>
          <w:color w:val="auto"/>
          <w:highlight w:val="none"/>
        </w:rPr>
        <w:t>公顷，</w:t>
      </w:r>
      <w:r>
        <w:rPr>
          <w:rFonts w:hint="default" w:ascii="Times New Roman" w:hAnsi="Times New Roman" w:cs="Times New Roman"/>
          <w:color w:val="auto"/>
          <w:highlight w:val="none"/>
          <w:lang w:val="en-US" w:eastAsia="zh-CN"/>
        </w:rPr>
        <w:t>分为多依河、九龙、腊山玉带湖、鲁布革三峡、水沟林场5个片区。</w:t>
      </w:r>
    </w:p>
    <w:p w14:paraId="65D6AFCE">
      <w:pPr>
        <w:pStyle w:val="14"/>
        <w:bidi w:val="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云南十八连山国家森林公园</w:t>
      </w:r>
      <w:r>
        <w:rPr>
          <w:rFonts w:hint="default" w:ascii="Times New Roman" w:hAnsi="Times New Roman" w:cs="Times New Roman"/>
          <w:color w:val="auto"/>
          <w:highlight w:val="none"/>
        </w:rPr>
        <w:t>于19</w:t>
      </w:r>
      <w:r>
        <w:rPr>
          <w:rFonts w:hint="default" w:ascii="Times New Roman" w:hAnsi="Times New Roman" w:cs="Times New Roman"/>
          <w:color w:val="auto"/>
          <w:highlight w:val="none"/>
          <w:lang w:val="en-US" w:eastAsia="zh-CN"/>
        </w:rPr>
        <w:t>93</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建园</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林造批字</w:t>
      </w:r>
      <w:r>
        <w:rPr>
          <w:rFonts w:hint="default" w:ascii="Times New Roman" w:hAnsi="Times New Roman" w:cs="Times New Roman"/>
          <w:color w:val="auto"/>
          <w:highlight w:val="none"/>
        </w:rPr>
        <w:t>〔19</w:t>
      </w:r>
      <w:r>
        <w:rPr>
          <w:rFonts w:hint="default" w:ascii="Times New Roman" w:hAnsi="Times New Roman" w:cs="Times New Roman"/>
          <w:color w:val="auto"/>
          <w:highlight w:val="none"/>
          <w:lang w:val="en-US" w:eastAsia="zh-CN"/>
        </w:rPr>
        <w:t>93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89</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2078</w:t>
      </w:r>
      <w:r>
        <w:rPr>
          <w:rFonts w:hint="default" w:ascii="Times New Roman" w:hAnsi="Times New Roman" w:cs="Times New Roman"/>
          <w:color w:val="auto"/>
          <w:highlight w:val="none"/>
        </w:rPr>
        <w:t>公顷</w:t>
      </w:r>
      <w:r>
        <w:rPr>
          <w:rFonts w:hint="default" w:ascii="Times New Roman" w:hAnsi="Times New Roman" w:cs="Times New Roman"/>
          <w:color w:val="auto"/>
          <w:highlight w:val="none"/>
          <w:lang w:val="en-US" w:eastAsia="zh-CN"/>
        </w:rPr>
        <w:t>。</w:t>
      </w:r>
    </w:p>
    <w:p w14:paraId="6033CE4F">
      <w:pPr>
        <w:pStyle w:val="14"/>
        <w:bidi w:val="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云南五峰山国家森林公园</w:t>
      </w:r>
      <w:r>
        <w:rPr>
          <w:rFonts w:hint="default" w:ascii="Times New Roman" w:hAnsi="Times New Roman" w:cs="Times New Roman"/>
          <w:color w:val="auto"/>
          <w:highlight w:val="none"/>
        </w:rPr>
        <w:t>于19</w:t>
      </w:r>
      <w:r>
        <w:rPr>
          <w:rFonts w:hint="default" w:ascii="Times New Roman" w:hAnsi="Times New Roman" w:cs="Times New Roman"/>
          <w:color w:val="auto"/>
          <w:highlight w:val="none"/>
          <w:lang w:val="en-US" w:eastAsia="zh-CN"/>
        </w:rPr>
        <w:t>93</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建园</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林造批字</w:t>
      </w:r>
      <w:r>
        <w:rPr>
          <w:rFonts w:hint="default" w:ascii="Times New Roman" w:hAnsi="Times New Roman" w:cs="Times New Roman"/>
          <w:color w:val="auto"/>
          <w:highlight w:val="none"/>
        </w:rPr>
        <w:t>〔19</w:t>
      </w:r>
      <w:r>
        <w:rPr>
          <w:rFonts w:hint="default" w:ascii="Times New Roman" w:hAnsi="Times New Roman" w:cs="Times New Roman"/>
          <w:color w:val="auto"/>
          <w:highlight w:val="none"/>
          <w:lang w:val="en-US" w:eastAsia="zh-CN"/>
        </w:rPr>
        <w:t>93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89</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2492.13</w:t>
      </w:r>
      <w:r>
        <w:rPr>
          <w:rFonts w:hint="default" w:ascii="Times New Roman" w:hAnsi="Times New Roman" w:cs="Times New Roman"/>
          <w:color w:val="auto"/>
          <w:highlight w:val="none"/>
        </w:rPr>
        <w:t>公顷</w:t>
      </w:r>
      <w:r>
        <w:rPr>
          <w:rFonts w:hint="default" w:ascii="Times New Roman" w:hAnsi="Times New Roman" w:cs="Times New Roman"/>
          <w:color w:val="auto"/>
          <w:highlight w:val="none"/>
          <w:lang w:val="en-US" w:eastAsia="zh-CN"/>
        </w:rPr>
        <w:t>。</w:t>
      </w:r>
    </w:p>
    <w:p w14:paraId="035BC6AC">
      <w:pPr>
        <w:pStyle w:val="14"/>
        <w:bidi w:val="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云南珠江源国家森林公园</w:t>
      </w:r>
      <w:r>
        <w:rPr>
          <w:rFonts w:hint="default" w:ascii="Times New Roman" w:hAnsi="Times New Roman" w:cs="Times New Roman"/>
          <w:color w:val="auto"/>
          <w:highlight w:val="none"/>
        </w:rPr>
        <w:t>于19</w:t>
      </w:r>
      <w:r>
        <w:rPr>
          <w:rFonts w:hint="default" w:ascii="Times New Roman" w:hAnsi="Times New Roman" w:cs="Times New Roman"/>
          <w:color w:val="auto"/>
          <w:highlight w:val="none"/>
          <w:lang w:val="en-US" w:eastAsia="zh-CN"/>
        </w:rPr>
        <w:t>93</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建园</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林造批字</w:t>
      </w:r>
      <w:r>
        <w:rPr>
          <w:rFonts w:hint="default" w:ascii="Times New Roman" w:hAnsi="Times New Roman" w:cs="Times New Roman"/>
          <w:color w:val="auto"/>
          <w:highlight w:val="none"/>
        </w:rPr>
        <w:t>〔19</w:t>
      </w:r>
      <w:r>
        <w:rPr>
          <w:rFonts w:hint="default" w:ascii="Times New Roman" w:hAnsi="Times New Roman" w:cs="Times New Roman"/>
          <w:color w:val="auto"/>
          <w:highlight w:val="none"/>
          <w:lang w:val="en-US" w:eastAsia="zh-CN"/>
        </w:rPr>
        <w:t>93</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89</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4376</w:t>
      </w:r>
      <w:r>
        <w:rPr>
          <w:rFonts w:hint="default" w:ascii="Times New Roman" w:hAnsi="Times New Roman" w:cs="Times New Roman"/>
          <w:color w:val="auto"/>
          <w:highlight w:val="none"/>
        </w:rPr>
        <w:t>公顷，</w:t>
      </w:r>
      <w:r>
        <w:rPr>
          <w:rFonts w:hint="default" w:ascii="Times New Roman" w:hAnsi="Times New Roman" w:cs="Times New Roman"/>
          <w:color w:val="auto"/>
          <w:highlight w:val="none"/>
          <w:lang w:val="en-US" w:eastAsia="zh-CN"/>
        </w:rPr>
        <w:t>分为彩云洞、躲兵洞、花山湖、马雄山4个片区。</w:t>
      </w:r>
    </w:p>
    <w:p w14:paraId="77F767AD">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（2）</w:t>
      </w:r>
      <w:r>
        <w:rPr>
          <w:rFonts w:hint="default" w:ascii="Times New Roman" w:hAnsi="Times New Roman" w:cs="Times New Roman"/>
          <w:color w:val="auto"/>
          <w:highlight w:val="none"/>
          <w:lang w:val="en-US" w:eastAsia="zh-CN"/>
        </w:rPr>
        <w:t>规划重点拟建工程</w:t>
      </w:r>
      <w:r>
        <w:rPr>
          <w:rFonts w:hint="default" w:ascii="Times New Roman" w:hAnsi="Times New Roman" w:cs="Times New Roman"/>
          <w:color w:val="auto"/>
          <w:highlight w:val="none"/>
        </w:rPr>
        <w:t>与</w:t>
      </w:r>
      <w:r>
        <w:rPr>
          <w:rFonts w:hint="default" w:ascii="Times New Roman" w:hAnsi="Times New Roman" w:cs="Times New Roman"/>
          <w:color w:val="auto"/>
          <w:highlight w:val="none"/>
          <w:lang w:val="en-US" w:eastAsia="zh-CN"/>
        </w:rPr>
        <w:t>森林公园</w:t>
      </w:r>
      <w:r>
        <w:rPr>
          <w:rFonts w:hint="default" w:ascii="Times New Roman" w:hAnsi="Times New Roman" w:cs="Times New Roman"/>
          <w:color w:val="auto"/>
          <w:highlight w:val="none"/>
        </w:rPr>
        <w:t>位置关系</w:t>
      </w:r>
    </w:p>
    <w:p w14:paraId="66DCCA88">
      <w:pPr>
        <w:pStyle w:val="14"/>
        <w:bidi w:val="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经规划重点拟建工程与森林公园范围叠图分析，规划云南省南盘江（珠江源头）生态保护修复工程约38.08公顷涉及云南珠江源国家森林公园。</w:t>
      </w:r>
    </w:p>
    <w:p w14:paraId="73B7B5AD">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地质公园</w:t>
      </w:r>
    </w:p>
    <w:p w14:paraId="58DF149F">
      <w:pPr>
        <w:pStyle w:val="1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规划范围</w:t>
      </w:r>
      <w:r>
        <w:rPr>
          <w:rFonts w:hint="default" w:ascii="Times New Roman" w:hAnsi="Times New Roman" w:cs="Times New Roman"/>
          <w:color w:val="auto"/>
          <w:highlight w:val="none"/>
          <w:lang w:val="en-US" w:eastAsia="zh-CN"/>
        </w:rPr>
        <w:t>现状分布有1处地质公园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即</w:t>
      </w:r>
      <w:r>
        <w:rPr>
          <w:rFonts w:hint="default" w:ascii="Times New Roman" w:hAnsi="Times New Roman" w:cs="Times New Roman"/>
          <w:color w:val="auto"/>
          <w:highlight w:val="none"/>
          <w:lang w:eastAsia="zh-CN"/>
        </w:rPr>
        <w:t>云南罗平生物群国家地质公园。</w:t>
      </w:r>
    </w:p>
    <w:p w14:paraId="53F9D16B">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云南罗平生物群国家地质公园</w:t>
      </w:r>
      <w:r>
        <w:rPr>
          <w:rFonts w:hint="default" w:ascii="Times New Roman" w:hAnsi="Times New Roman" w:cs="Times New Roman"/>
          <w:color w:val="auto"/>
          <w:highlight w:val="none"/>
        </w:rPr>
        <w:t>于</w:t>
      </w:r>
      <w:r>
        <w:rPr>
          <w:rFonts w:hint="default" w:ascii="Times New Roman" w:hAnsi="Times New Roman" w:cs="Times New Roman"/>
          <w:color w:val="auto"/>
          <w:highlight w:val="none"/>
          <w:lang w:val="en-US" w:eastAsia="zh-CN"/>
        </w:rPr>
        <w:t>2011</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设立</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国土资厅函</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2011</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1202</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6956</w:t>
      </w:r>
      <w:r>
        <w:rPr>
          <w:rFonts w:hint="default" w:ascii="Times New Roman" w:hAnsi="Times New Roman" w:cs="Times New Roman"/>
          <w:color w:val="auto"/>
          <w:highlight w:val="none"/>
        </w:rPr>
        <w:t>公顷，</w:t>
      </w:r>
      <w:r>
        <w:rPr>
          <w:rFonts w:hint="default" w:ascii="Times New Roman" w:hAnsi="Times New Roman" w:cs="Times New Roman"/>
          <w:color w:val="auto"/>
          <w:highlight w:val="none"/>
          <w:lang w:val="en-US" w:eastAsia="zh-CN"/>
        </w:rPr>
        <w:t>分为大洼子、金鸡2个片区。</w:t>
      </w:r>
    </w:p>
    <w:p w14:paraId="716DA5EF">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经规划重点拟建工程与</w:t>
      </w:r>
      <w:r>
        <w:rPr>
          <w:rFonts w:hint="default" w:ascii="Times New Roman" w:hAnsi="Times New Roman" w:cs="Times New Roman"/>
          <w:color w:val="auto"/>
          <w:highlight w:val="none"/>
          <w:lang w:eastAsia="zh-CN"/>
        </w:rPr>
        <w:t>地质公园</w:t>
      </w:r>
      <w:r>
        <w:rPr>
          <w:rFonts w:hint="default" w:ascii="Times New Roman" w:hAnsi="Times New Roman" w:cs="Times New Roman"/>
          <w:color w:val="auto"/>
          <w:highlight w:val="none"/>
          <w:lang w:val="en-US" w:eastAsia="zh-CN"/>
        </w:rPr>
        <w:t>范围叠图分析，不涉及</w:t>
      </w:r>
      <w:r>
        <w:rPr>
          <w:rFonts w:hint="default" w:ascii="Times New Roman" w:hAnsi="Times New Roman" w:cs="Times New Roman"/>
          <w:color w:val="auto"/>
          <w:highlight w:val="none"/>
          <w:lang w:eastAsia="zh-CN"/>
        </w:rPr>
        <w:t>云南罗平生物群国家地质公园。</w:t>
      </w:r>
    </w:p>
    <w:p w14:paraId="0A5AF7E9">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湿地公园</w:t>
      </w:r>
    </w:p>
    <w:p w14:paraId="452275CB">
      <w:pPr>
        <w:pStyle w:val="1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规划范围</w:t>
      </w:r>
      <w:r>
        <w:rPr>
          <w:rFonts w:hint="default" w:ascii="Times New Roman" w:hAnsi="Times New Roman" w:cs="Times New Roman"/>
          <w:color w:val="auto"/>
          <w:highlight w:val="none"/>
          <w:lang w:val="en-US" w:eastAsia="zh-CN"/>
        </w:rPr>
        <w:t>现状分布有1处湿地公园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即</w:t>
      </w:r>
      <w:r>
        <w:rPr>
          <w:rFonts w:hint="default" w:ascii="Times New Roman" w:hAnsi="Times New Roman" w:eastAsia="宋体" w:cs="Times New Roman"/>
          <w:color w:val="auto"/>
          <w:highlight w:val="none"/>
        </w:rPr>
        <w:t>云南沾益西河国家湿地公园</w:t>
      </w:r>
      <w:r>
        <w:rPr>
          <w:rFonts w:hint="default" w:ascii="Times New Roman" w:hAnsi="Times New Roman" w:cs="Times New Roman"/>
          <w:color w:val="auto"/>
          <w:highlight w:val="none"/>
          <w:lang w:eastAsia="zh-CN"/>
        </w:rPr>
        <w:t>。</w:t>
      </w:r>
    </w:p>
    <w:p w14:paraId="11BFCE6E">
      <w:pPr>
        <w:pStyle w:val="1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云南沾益西河国家湿地公园</w:t>
      </w:r>
      <w:r>
        <w:rPr>
          <w:rFonts w:hint="default" w:ascii="Times New Roman" w:hAnsi="Times New Roman" w:cs="Times New Roman"/>
          <w:color w:val="auto"/>
          <w:highlight w:val="none"/>
        </w:rPr>
        <w:t>于</w:t>
      </w:r>
      <w:r>
        <w:rPr>
          <w:rFonts w:hint="default" w:ascii="Times New Roman" w:hAnsi="Times New Roman" w:cs="Times New Roman"/>
          <w:color w:val="auto"/>
          <w:highlight w:val="none"/>
          <w:lang w:val="en-US" w:eastAsia="zh-CN"/>
        </w:rPr>
        <w:t>2014</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设立</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林湿发</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2014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205</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1040.49</w:t>
      </w:r>
      <w:r>
        <w:rPr>
          <w:rFonts w:hint="default" w:ascii="Times New Roman" w:hAnsi="Times New Roman" w:cs="Times New Roman"/>
          <w:color w:val="auto"/>
          <w:highlight w:val="none"/>
        </w:rPr>
        <w:t>公顷</w:t>
      </w:r>
      <w:r>
        <w:rPr>
          <w:rFonts w:hint="default" w:ascii="Times New Roman" w:hAnsi="Times New Roman" w:cs="Times New Roman"/>
          <w:color w:val="auto"/>
          <w:highlight w:val="none"/>
          <w:lang w:val="en-US" w:eastAsia="zh-CN"/>
        </w:rPr>
        <w:t>。</w:t>
      </w:r>
    </w:p>
    <w:p w14:paraId="35A70F50">
      <w:pPr>
        <w:pStyle w:val="1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经规划重点拟建工程与湿地</w:t>
      </w:r>
      <w:r>
        <w:rPr>
          <w:rFonts w:hint="default" w:ascii="Times New Roman" w:hAnsi="Times New Roman" w:cs="Times New Roman"/>
          <w:color w:val="auto"/>
          <w:highlight w:val="none"/>
          <w:lang w:eastAsia="zh-CN"/>
        </w:rPr>
        <w:t>公园</w:t>
      </w:r>
      <w:r>
        <w:rPr>
          <w:rFonts w:hint="default" w:ascii="Times New Roman" w:hAnsi="Times New Roman" w:cs="Times New Roman"/>
          <w:color w:val="auto"/>
          <w:highlight w:val="none"/>
          <w:lang w:val="en-US" w:eastAsia="zh-CN"/>
        </w:rPr>
        <w:t>范围叠图分析，不涉及</w:t>
      </w:r>
      <w:r>
        <w:rPr>
          <w:rFonts w:hint="default" w:ascii="Times New Roman" w:hAnsi="Times New Roman" w:eastAsia="宋体" w:cs="Times New Roman"/>
          <w:color w:val="auto"/>
          <w:highlight w:val="none"/>
        </w:rPr>
        <w:t>云南沾益西河国家湿地公园</w:t>
      </w:r>
      <w:r>
        <w:rPr>
          <w:rFonts w:hint="default" w:ascii="Times New Roman" w:hAnsi="Times New Roman" w:cs="Times New Roman"/>
          <w:color w:val="auto"/>
          <w:highlight w:val="none"/>
          <w:lang w:eastAsia="zh-CN"/>
        </w:rPr>
        <w:t>。</w:t>
      </w:r>
    </w:p>
    <w:p w14:paraId="5F3767E6">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沙漠公园</w:t>
      </w:r>
    </w:p>
    <w:p w14:paraId="5AEC6A6C">
      <w:pPr>
        <w:pStyle w:val="1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规划范围</w:t>
      </w:r>
      <w:r>
        <w:rPr>
          <w:rFonts w:hint="default" w:ascii="Times New Roman" w:hAnsi="Times New Roman" w:cs="Times New Roman"/>
          <w:color w:val="auto"/>
          <w:highlight w:val="none"/>
          <w:lang w:val="en-US" w:eastAsia="zh-CN"/>
        </w:rPr>
        <w:t>现状分布有1处沙漠公园</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即</w:t>
      </w:r>
      <w:r>
        <w:rPr>
          <w:rFonts w:hint="default" w:ascii="Times New Roman" w:hAnsi="Times New Roman" w:eastAsia="宋体" w:cs="Times New Roman"/>
          <w:color w:val="auto"/>
          <w:highlight w:val="none"/>
        </w:rPr>
        <w:t>云南陆良彩色沙林国家沙漠公园</w:t>
      </w:r>
      <w:r>
        <w:rPr>
          <w:rFonts w:hint="default" w:ascii="Times New Roman" w:hAnsi="Times New Roman" w:cs="Times New Roman"/>
          <w:color w:val="auto"/>
          <w:highlight w:val="none"/>
          <w:lang w:eastAsia="zh-CN"/>
        </w:rPr>
        <w:t>。</w:t>
      </w:r>
    </w:p>
    <w:p w14:paraId="5BBA10EC">
      <w:pPr>
        <w:pStyle w:val="1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云南陆良彩色沙林国家沙漠公园</w:t>
      </w:r>
      <w:r>
        <w:rPr>
          <w:rFonts w:hint="default" w:ascii="Times New Roman" w:hAnsi="Times New Roman" w:cs="Times New Roman"/>
          <w:color w:val="auto"/>
          <w:highlight w:val="none"/>
        </w:rPr>
        <w:t>于</w:t>
      </w:r>
      <w:r>
        <w:rPr>
          <w:rFonts w:hint="default" w:ascii="Times New Roman" w:hAnsi="Times New Roman" w:cs="Times New Roman"/>
          <w:color w:val="auto"/>
          <w:highlight w:val="none"/>
          <w:lang w:val="en-US" w:eastAsia="zh-CN"/>
        </w:rPr>
        <w:t>2014</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设立</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林沙发</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2014</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206</w:t>
      </w:r>
      <w:r>
        <w:rPr>
          <w:rFonts w:hint="default" w:ascii="Times New Roman" w:hAnsi="Times New Roman" w:cs="Times New Roman"/>
          <w:color w:val="auto"/>
          <w:highlight w:val="none"/>
        </w:rPr>
        <w:t>号），面积约</w:t>
      </w:r>
      <w:r>
        <w:rPr>
          <w:rFonts w:hint="default" w:ascii="Times New Roman" w:hAnsi="Times New Roman" w:cs="Times New Roman"/>
          <w:color w:val="auto"/>
          <w:highlight w:val="none"/>
          <w:lang w:val="en-US" w:eastAsia="zh-CN"/>
        </w:rPr>
        <w:t>389.7</w:t>
      </w:r>
      <w:r>
        <w:rPr>
          <w:rFonts w:hint="default" w:ascii="Times New Roman" w:hAnsi="Times New Roman" w:cs="Times New Roman"/>
          <w:color w:val="auto"/>
          <w:highlight w:val="none"/>
        </w:rPr>
        <w:t>公顷</w:t>
      </w:r>
      <w:r>
        <w:rPr>
          <w:rFonts w:hint="default" w:ascii="Times New Roman" w:hAnsi="Times New Roman" w:cs="Times New Roman"/>
          <w:color w:val="auto"/>
          <w:highlight w:val="none"/>
          <w:lang w:val="en-US" w:eastAsia="zh-CN"/>
        </w:rPr>
        <w:t>。</w:t>
      </w:r>
    </w:p>
    <w:p w14:paraId="08BBFB17">
      <w:pPr>
        <w:pStyle w:val="1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val="en-US" w:eastAsia="zh-CN"/>
        </w:rPr>
        <w:t>经规划重点拟建工程与沙漠</w:t>
      </w:r>
      <w:r>
        <w:rPr>
          <w:rFonts w:hint="default" w:ascii="Times New Roman" w:hAnsi="Times New Roman" w:cs="Times New Roman"/>
          <w:color w:val="auto"/>
          <w:highlight w:val="none"/>
          <w:lang w:eastAsia="zh-CN"/>
        </w:rPr>
        <w:t>公园</w:t>
      </w:r>
      <w:r>
        <w:rPr>
          <w:rFonts w:hint="default" w:ascii="Times New Roman" w:hAnsi="Times New Roman" w:cs="Times New Roman"/>
          <w:color w:val="auto"/>
          <w:highlight w:val="none"/>
          <w:lang w:val="en-US" w:eastAsia="zh-CN"/>
        </w:rPr>
        <w:t>范围叠图分析，不涉及</w:t>
      </w:r>
      <w:r>
        <w:rPr>
          <w:rFonts w:hint="default" w:ascii="Times New Roman" w:hAnsi="Times New Roman" w:eastAsia="宋体" w:cs="Times New Roman"/>
          <w:color w:val="auto"/>
          <w:highlight w:val="none"/>
        </w:rPr>
        <w:t>云南陆良彩色沙林国家沙漠公园</w:t>
      </w:r>
      <w:r>
        <w:rPr>
          <w:rFonts w:hint="default" w:ascii="Times New Roman" w:hAnsi="Times New Roman" w:cs="Times New Roman"/>
          <w:color w:val="auto"/>
          <w:highlight w:val="none"/>
          <w:lang w:eastAsia="zh-CN"/>
        </w:rPr>
        <w:t>。</w:t>
      </w:r>
    </w:p>
    <w:p w14:paraId="3367D462">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自然保护地整合优化</w:t>
      </w:r>
    </w:p>
    <w:p w14:paraId="38686ED7">
      <w:pPr>
        <w:pStyle w:val="14"/>
        <w:bidi w:val="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基于生态优先、严格保护、应划尽划、应调尽调的原则，整合优化后各保护地间不存在交叉重叠现象，并将原保护地内存在的建制镇和村庄、永久基本农田、其他耕地、人工商品林等主要矛盾冲突，通过调出、管控措施等进行了优化，解决了原保护地内主要的保护与发展的主要问题。</w:t>
      </w:r>
    </w:p>
    <w:p w14:paraId="6F84FBA2">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规划重点拟建工程与现阶段自然保护地整合优化范围叠图分析，规划云南省南盘江（珠江源头）生态保护修复工程涉及云南沾益珠江源风景名胜区一般控制区，沾马灌区工程涉及云南马龙马过河风景名胜区一般控制区、云南马龙黄草坪森林公园一般控制区，罗师灌区工程涉及云南师宗南丹山风景名胜区一般控制区、云南罗平多依河－鲁布革风景名胜区一般控制区、云南师宗丹凤湿地公园一般控制区。</w:t>
      </w:r>
    </w:p>
    <w:p w14:paraId="08E56D02">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生态保护红线</w:t>
      </w:r>
    </w:p>
    <w:p w14:paraId="796E0E30">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规划范围内生态保护红线均为水土保持类型，红线面积约占国土面积的18.6%。</w:t>
      </w:r>
    </w:p>
    <w:p w14:paraId="3708CFAD">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经规划重点拟建工程与生态保护红线范围叠图分析，规划云南省南盘江（珠江源头）生态保护修复工程约35.56公顷涉及生态保护红线，罗师灌区工程约20.02公顷涉及生态保护红线，沾马灌区工程约17.43千米涉及生态保护红线，曲靖市牛栏江德泽水库引水济曲工程拟建线路约8.01千米涉及生态保护红线。</w:t>
      </w:r>
    </w:p>
    <w:p w14:paraId="2566FF68">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水源保护区</w:t>
      </w:r>
    </w:p>
    <w:p w14:paraId="267CE390">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规划范围内分布有独木水库、西河水库、水城水库3处地级城市集中式饮用水水源地，白浪水库、清水河水库、黄草坪水库、永清河水库等1</w:t>
      </w:r>
      <w:r>
        <w:rPr>
          <w:rFonts w:hint="eastAsia" w:ascii="Times New Roman" w:hAnsi="Times New Roman" w:cs="Times New Roman"/>
          <w:color w:val="auto"/>
          <w:highlight w:val="none"/>
          <w:lang w:val="en-US" w:eastAsia="zh-CN"/>
        </w:rPr>
        <w:t>1</w:t>
      </w:r>
      <w:r>
        <w:rPr>
          <w:rFonts w:hint="default" w:ascii="Times New Roman" w:hAnsi="Times New Roman" w:cs="Times New Roman"/>
          <w:color w:val="auto"/>
          <w:highlight w:val="none"/>
          <w:lang w:val="en-US" w:eastAsia="zh-CN"/>
        </w:rPr>
        <w:t>处县级集中式饮用水水源地，以及若干千吨万人及乡镇级集中式饮用水水源地。</w:t>
      </w:r>
    </w:p>
    <w:p w14:paraId="4733508D">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经规划重点拟建工程初步识别，规划罗师灌区工程涉及罗平县龙王庙水库饮用水水源保护区、师宗县小务龙水库饮用水水源保护区、师宗县溜子田水库饮用水水源保护区，富源灌区工程涉及富源县黄泥河镇海子头饮用水水源保护区，沾马灌区工程涉及曲靖市西河水库饮用水水源保护区，曲靖市牛栏江德泽水库引水济曲工程拟建线路涉及曲靖市西河水库饮用水水源保护区、麒麟区石灰窑水库饮用水水源保护区，云南省南盘江（珠江源头）生态保护修复工程涉及沾益区花山水库饮用水水源保护区、陆良县大坝冲水库饮用水水源保护区，陆良县引水入陆工程涉及陆良县大坝冲水库饮用水水源保护区。</w:t>
      </w:r>
    </w:p>
    <w:p w14:paraId="177FCC0D">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受</w:t>
      </w:r>
      <w:r>
        <w:rPr>
          <w:rFonts w:hint="default" w:ascii="Times New Roman" w:hAnsi="Times New Roman" w:cs="Times New Roman"/>
          <w:color w:val="auto"/>
          <w:highlight w:val="none"/>
          <w:lang w:eastAsia="zh-CN"/>
        </w:rPr>
        <w:t>本</w:t>
      </w:r>
      <w:r>
        <w:rPr>
          <w:rFonts w:hint="default" w:ascii="Times New Roman" w:hAnsi="Times New Roman" w:cs="Times New Roman"/>
          <w:color w:val="auto"/>
          <w:highlight w:val="none"/>
        </w:rPr>
        <w:t>阶段设计深度</w:t>
      </w:r>
      <w:r>
        <w:rPr>
          <w:rFonts w:hint="default" w:ascii="Times New Roman" w:hAnsi="Times New Roman" w:cs="Times New Roman"/>
          <w:color w:val="auto"/>
          <w:highlight w:val="none"/>
          <w:lang w:val="en-US" w:eastAsia="zh-CN"/>
        </w:rPr>
        <w:t>限制，规划重点拟建工程布置</w:t>
      </w:r>
      <w:r>
        <w:rPr>
          <w:rFonts w:hint="default" w:ascii="Times New Roman" w:hAnsi="Times New Roman" w:cs="Times New Roman"/>
          <w:color w:val="auto"/>
          <w:highlight w:val="none"/>
        </w:rPr>
        <w:t>为</w:t>
      </w:r>
      <w:r>
        <w:rPr>
          <w:rFonts w:hint="default" w:ascii="Times New Roman" w:hAnsi="Times New Roman" w:cs="Times New Roman"/>
          <w:color w:val="auto"/>
          <w:highlight w:val="none"/>
          <w:lang w:val="en-US" w:eastAsia="zh-CN"/>
        </w:rPr>
        <w:t>前期</w:t>
      </w:r>
      <w:r>
        <w:rPr>
          <w:rFonts w:hint="default" w:ascii="Times New Roman" w:hAnsi="Times New Roman" w:cs="Times New Roman"/>
          <w:color w:val="auto"/>
          <w:highlight w:val="none"/>
        </w:rPr>
        <w:t>方案</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且环境敏感区成果根据各主管部门管理要求存在动态更新调整，</w:t>
      </w:r>
      <w:r>
        <w:rPr>
          <w:rFonts w:hint="default" w:ascii="Times New Roman" w:hAnsi="Times New Roman" w:cs="Times New Roman"/>
          <w:color w:val="auto"/>
          <w:highlight w:val="none"/>
        </w:rPr>
        <w:t>因此</w:t>
      </w:r>
      <w:r>
        <w:rPr>
          <w:rFonts w:hint="default" w:ascii="Times New Roman" w:hAnsi="Times New Roman" w:cs="Times New Roman"/>
          <w:color w:val="auto"/>
          <w:highlight w:val="none"/>
          <w:lang w:val="en-US" w:eastAsia="zh-CN"/>
        </w:rPr>
        <w:t>本阶段仅为</w:t>
      </w:r>
      <w:r>
        <w:rPr>
          <w:rFonts w:hint="default" w:ascii="Times New Roman" w:hAnsi="Times New Roman" w:cs="Times New Roman"/>
          <w:color w:val="auto"/>
          <w:highlight w:val="none"/>
        </w:rPr>
        <w:t>规划</w:t>
      </w:r>
      <w:r>
        <w:rPr>
          <w:rFonts w:hint="default" w:ascii="Times New Roman" w:hAnsi="Times New Roman" w:cs="Times New Roman"/>
          <w:color w:val="auto"/>
          <w:highlight w:val="none"/>
          <w:lang w:val="en-US" w:eastAsia="zh-CN"/>
        </w:rPr>
        <w:t>重点拟建工程</w:t>
      </w:r>
      <w:r>
        <w:rPr>
          <w:rFonts w:hint="default" w:ascii="Times New Roman" w:hAnsi="Times New Roman" w:cs="Times New Roman"/>
          <w:color w:val="auto"/>
          <w:highlight w:val="none"/>
        </w:rPr>
        <w:t>涉及环境敏感区初步</w:t>
      </w:r>
      <w:r>
        <w:rPr>
          <w:rFonts w:hint="default" w:ascii="Times New Roman" w:hAnsi="Times New Roman" w:cs="Times New Roman"/>
          <w:color w:val="auto"/>
          <w:highlight w:val="none"/>
          <w:lang w:val="en-US" w:eastAsia="zh-CN"/>
        </w:rPr>
        <w:t>识别</w:t>
      </w:r>
      <w:r>
        <w:rPr>
          <w:rFonts w:hint="default" w:ascii="Times New Roman" w:hAnsi="Times New Roman" w:cs="Times New Roman"/>
          <w:color w:val="auto"/>
          <w:highlight w:val="none"/>
        </w:rPr>
        <w:t>成果。下一阶段</w:t>
      </w:r>
      <w:r>
        <w:rPr>
          <w:rFonts w:hint="default" w:ascii="Times New Roman" w:hAnsi="Times New Roman" w:cs="Times New Roman"/>
          <w:color w:val="auto"/>
          <w:highlight w:val="none"/>
          <w:lang w:val="en-US" w:eastAsia="zh-CN"/>
        </w:rPr>
        <w:t>各建设项目</w:t>
      </w:r>
      <w:r>
        <w:rPr>
          <w:rFonts w:hint="default" w:ascii="Times New Roman" w:hAnsi="Times New Roman" w:cs="Times New Roman"/>
          <w:color w:val="auto"/>
          <w:highlight w:val="none"/>
        </w:rPr>
        <w:t>应进一步</w:t>
      </w:r>
      <w:r>
        <w:rPr>
          <w:rFonts w:hint="default" w:ascii="Times New Roman" w:hAnsi="Times New Roman" w:cs="Times New Roman"/>
          <w:color w:val="auto"/>
          <w:highlight w:val="none"/>
          <w:lang w:val="en-US" w:eastAsia="zh-CN"/>
        </w:rPr>
        <w:t>优化工程布置，复核</w:t>
      </w:r>
      <w:r>
        <w:rPr>
          <w:rFonts w:hint="default" w:ascii="Times New Roman" w:hAnsi="Times New Roman" w:cs="Times New Roman"/>
          <w:color w:val="auto"/>
          <w:highlight w:val="none"/>
        </w:rPr>
        <w:t>与各类环境敏感区的空间位置关系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保障工程建设符合环境敏感区相关管控要求。</w:t>
      </w:r>
    </w:p>
    <w:p w14:paraId="73D36D99">
      <w:pPr>
        <w:pStyle w:val="3"/>
        <w:numPr>
          <w:ilvl w:val="1"/>
          <w:numId w:val="4"/>
        </w:numPr>
        <w:spacing w:before="374" w:after="249"/>
        <w:rPr>
          <w:rFonts w:hint="default" w:ascii="Times New Roman" w:hAnsi="Times New Roman" w:eastAsia="宋体" w:cs="Times New Roman"/>
          <w:color w:val="auto"/>
          <w:highlight w:val="none"/>
        </w:rPr>
      </w:pPr>
      <w:bookmarkStart w:id="92" w:name="_Toc16312"/>
      <w:r>
        <w:rPr>
          <w:rFonts w:hint="default" w:ascii="Times New Roman" w:hAnsi="Times New Roman" w:eastAsia="宋体" w:cs="Times New Roman"/>
          <w:color w:val="auto"/>
          <w:highlight w:val="none"/>
        </w:rPr>
        <w:t>社会环境</w:t>
      </w:r>
      <w:bookmarkEnd w:id="92"/>
    </w:p>
    <w:p w14:paraId="4D60A41A">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南盘江（曲靖市境内）流域范围涵盖曲靖市麒麟区、沾益区、马龙区、陆良县、师宗县、罗平县、富源县7个县（区）。</w:t>
      </w:r>
    </w:p>
    <w:p w14:paraId="17803864">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社会状况</w:t>
      </w:r>
    </w:p>
    <w:p w14:paraId="6EB4D091">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麒麟区总人口79.79万人，其中城镇人口55.48万人，乡村人口24.31万人，城镇化率78.62%。地区生产总值1234.37亿元，其中第一产业34.00亿元、第二产业622.67亿元、第三产业577.70亿元，三产占比为3:50:47，人均GDP122683元。</w:t>
      </w:r>
    </w:p>
    <w:p w14:paraId="54C12990">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沾益区总人口44.51万人，其中城镇人口19.75万人，乡村人口24.76万人，城镇化率50.15%。地区生产总值425.75亿元，其中第一产业60.91亿元、第二产业177.22亿元、第三产业187.63亿元，三产占比为14:42:44，人均GDP106305元。</w:t>
      </w:r>
    </w:p>
    <w:p w14:paraId="1C028872">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马龙区总人口21.57万人，其中城镇人口10.16万人，乡村人口11.41万人，城镇化率38.17%。地区生产总值138.63亿元，其中第一产业22.79亿元、第二产业67.63亿元、第三产业48.21亿元，三产占比为16:49:35，人均GDP72963元。</w:t>
      </w:r>
    </w:p>
    <w:p w14:paraId="2D510AB2">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2023年年末陆良县总人口70.38万人，其中城镇人口33.44万人，乡村人口 36.94万人，城镇化率40.64%。地区生产总值364.33亿元，其中第一产业92.41亿元、第二产业121.21亿元、第三产业150.71亿元，三产占比为25:34:41，人均GDP61470元。</w:t>
      </w:r>
    </w:p>
    <w:p w14:paraId="64DC28FB">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w:t>
      </w:r>
      <w:r>
        <w:rPr>
          <w:rFonts w:hint="default" w:ascii="Times New Roman" w:hAnsi="Times New Roman" w:cs="Times New Roman"/>
          <w:color w:val="auto"/>
          <w:highlight w:val="none"/>
        </w:rPr>
        <w:t>师宗县</w:t>
      </w:r>
      <w:r>
        <w:rPr>
          <w:rFonts w:hint="default" w:ascii="Times New Roman" w:hAnsi="Times New Roman" w:cs="Times New Roman"/>
          <w:color w:val="auto"/>
          <w:highlight w:val="none"/>
          <w:lang w:val="en-US" w:eastAsia="zh-CN"/>
        </w:rPr>
        <w:t>总人口44.27万人，其中城镇人口17.53万人，乡村人口26.74万人，城镇化率46.98%。地区生产总值228.43亿元，其中第一产业43.14亿元、第二产业85.27亿元、第三产业100.02亿元，三产占比为19:37:44，人均GDP61208元。</w:t>
      </w:r>
    </w:p>
    <w:p w14:paraId="01A0ED01">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w:t>
      </w:r>
      <w:r>
        <w:rPr>
          <w:rFonts w:hint="default" w:ascii="Times New Roman" w:hAnsi="Times New Roman" w:cs="Times New Roman"/>
          <w:color w:val="auto"/>
          <w:highlight w:val="none"/>
        </w:rPr>
        <w:t>罗平县</w:t>
      </w:r>
      <w:r>
        <w:rPr>
          <w:rFonts w:hint="default" w:ascii="Times New Roman" w:hAnsi="Times New Roman" w:cs="Times New Roman"/>
          <w:color w:val="auto"/>
          <w:highlight w:val="none"/>
          <w:lang w:val="en-US" w:eastAsia="zh-CN"/>
        </w:rPr>
        <w:t>总人口66.68万人，其中城镇人口29.64万人，乡村人口37.04万人，城镇化率42.53%。地区生产总值366.80亿元，其中第一产业69.06亿元、第二产业122.53亿元、第三产业175.20亿元，三产占比为19:33:48，人均GDP69286元。</w:t>
      </w:r>
    </w:p>
    <w:p w14:paraId="7DC493C4">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2023年年末</w:t>
      </w:r>
      <w:r>
        <w:rPr>
          <w:rFonts w:hint="default" w:ascii="Times New Roman" w:hAnsi="Times New Roman" w:cs="Times New Roman"/>
          <w:color w:val="auto"/>
          <w:highlight w:val="none"/>
        </w:rPr>
        <w:t>富源县</w:t>
      </w:r>
      <w:r>
        <w:rPr>
          <w:rFonts w:hint="default" w:ascii="Times New Roman" w:hAnsi="Times New Roman" w:cs="Times New Roman"/>
          <w:color w:val="auto"/>
          <w:highlight w:val="none"/>
          <w:lang w:val="en-US" w:eastAsia="zh-CN"/>
        </w:rPr>
        <w:t>总人口85.21万人，其中城镇人口34.31万人，乡村人口50.90万人，城镇化率33.24%。地区生产总值346.23亿元，其中第一产业56.92亿元、第二产业159.51亿元、第三产业129.80亿元，三产占比为16:46:38，人均GDP51866元。</w:t>
      </w:r>
    </w:p>
    <w:p w14:paraId="140CB4E3">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工业发展</w:t>
      </w:r>
    </w:p>
    <w:p w14:paraId="06893D8E">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麒麟区（含经开区）能源消费547.08万t标准煤，较2022年增加0.5%，单位GDP能耗0.4764t标准煤/万元，较2022年减少5.6%；全社会原煤产量294.42万t，较上年增加5.4%；全社会发电量13.13亿kW·h，较上年增加41.5%，全社会用电量81.82亿kW·h，较上年增加14.3%；取用新水量3014.24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，较上年减少13.1%，单位工业增加值用新水量8.93m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/万元，较上年减少20.8%，工业重复用水率87.44%。</w:t>
      </w:r>
    </w:p>
    <w:p w14:paraId="548CF79C">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沾益区能源消费643.47万t标准煤，较2022年增加5.9%，单位GDP能耗1.5207t标准煤/万元，较2022年减少1.7%；全社会原煤产量10.37万t，较上年增加12.3%；全社会发电量62.35亿kW·h，较上年增加72.1%，全社会用电量70.43亿kW·h，较上年减少2.4%；取用新水量4293.59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，较上年增加13.2%，单位工业增加值用新水量51.14m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/万元，较上年减少0.8%，工业重复用水率97.24%。</w:t>
      </w:r>
    </w:p>
    <w:p w14:paraId="743C4D9C">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马龙区能源消费240.17万t标准煤，较2022年减少0.2%，单位GDP能耗1.8524t标准煤/万元，较2022年减少7.6%；全社会发电量19.91亿kW·h，较上年增加125.4%，全社会用电量23.07亿kW·h，较上年增加11.3%；取用新水量1073.71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，较上年增加7.1%，单位工业增加值用新水量25.86m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/万元，较上年减少7.9%，工业重复用水率97.79%。</w:t>
      </w:r>
    </w:p>
    <w:p w14:paraId="2EDFAE88">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陆良县能源消费139.22万t标准煤，较2022年减少9.2%，单位GDP能耗0.4133t标准煤/万元，较2022年减少15.8%；全社会原煤产量735.92万t，较上年增加28.8%；全社会发电量13.87亿kW·h，较上年增加5.2%全社会用电量18.17亿kW·h，较上年减少5.7%；取用新水量658.49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，较上年增加13.4%，单位工业增加值用新水量10.16m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/万元，较上年减少0.5%，工业重复用水率28.14%。</w:t>
      </w:r>
    </w:p>
    <w:p w14:paraId="420894CF">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师宗县能源消费123.12万t标准煤，较2022年减少3.4%，单位GDP能耗0.5880t标准煤/万元，较2022年减少10.2%；全社会原煤产量265.40万t，较上年增加125.8%；全社会发电量8.50亿kW·h，较上年增加10.3%，全社会用电量13.20亿kW·h，较上年增加1.1%；取用新水量460.85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，较上年减少23.1%，单位工业增加值用新水量10.98m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/万元，较上年减少28.7%，工业重复用水率88.45%。</w:t>
      </w:r>
    </w:p>
    <w:p w14:paraId="4127CEDE">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年末罗平县能源消费90.58万t标准煤，较2022年减少4.9%，单位GDP能耗0.2931t标准煤/万元，较2022年减少11.2%；全社会原煤产量254.77万t，较上年增加28.3%；全社会发电量18.05亿kW·h，较上年减少45.1%，全社会用电量11.87亿kW·h，较上年减少4.1%；取用新水量243.82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，较上年增加6.1%，单位工业增加值用新水量5.14m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/万元，较上年减少3.6%，工业重复用水率40.45%。</w:t>
      </w:r>
    </w:p>
    <w:p w14:paraId="3D2B8169">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2023年年末富源县能源消费299.96万t标准煤，较2022年增加9.5%，单位GDP能耗1.0009t标准煤/万元，较2022年减少1.1%；全社会原煤产量1741.34万t，较上年增加31.6%；全社会发电量167.22亿kW·h，较上年增加91.7%，全社会用电量67.21亿kW·h，较上年增加1.8%；取用新水量4697.33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，较上年增加55.8%，单位工业增加值用新水量42.62m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/万元，较上年减少30.9%，工业重复用水率95.44%。</w:t>
      </w:r>
    </w:p>
    <w:p w14:paraId="62A96D3F">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农业发展</w:t>
      </w:r>
    </w:p>
    <w:p w14:paraId="57DBABD6">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2023年末麒麟区（含经开区）耕地面积42671.06公顷，其中水田面积9382.04公顷，水浇地面积3021.06公顷，旱地30267.96公顷；已建成水库100座（大1座，中型3座，小型96座），总库容27630.43万m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，灌溉面积2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195</w:t>
      </w:r>
      <w:r>
        <w:rPr>
          <w:rFonts w:hint="eastAsia" w:cs="Times New Roman"/>
          <w:color w:val="auto"/>
          <w:highlight w:val="none"/>
          <w:lang w:val="en-US" w:eastAsia="zh-CN"/>
        </w:rPr>
        <w:t>万</w:t>
      </w:r>
      <w:r>
        <w:rPr>
          <w:rFonts w:hint="default" w:ascii="Times New Roman" w:hAnsi="Times New Roman" w:cs="Times New Roman"/>
          <w:color w:val="auto"/>
          <w:highlight w:val="none"/>
          <w:lang w:val="en-US" w:eastAsia="zh-CN"/>
        </w:rPr>
        <w:t>公顷。</w:t>
      </w:r>
    </w:p>
    <w:p w14:paraId="1186F726">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2023年末沾益区耕地面积84094.71公顷，其中水田面积10100.81公顷，水浇地面积2171.51公顷，旱地71822.39公顷；已建成水库222座（大1座，中型1座，小型220座），总库容22267.11万m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，灌溉面积2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161</w:t>
      </w:r>
      <w:r>
        <w:rPr>
          <w:rFonts w:hint="eastAsia" w:cs="Times New Roman"/>
          <w:color w:val="auto"/>
          <w:highlight w:val="none"/>
          <w:lang w:val="en-US" w:eastAsia="zh-CN"/>
        </w:rPr>
        <w:t>万</w:t>
      </w:r>
      <w:r>
        <w:rPr>
          <w:rFonts w:hint="default" w:ascii="Times New Roman" w:hAnsi="Times New Roman" w:cs="Times New Roman"/>
          <w:color w:val="auto"/>
          <w:highlight w:val="none"/>
          <w:lang w:val="en-US" w:eastAsia="zh-CN"/>
        </w:rPr>
        <w:t>公顷。</w:t>
      </w:r>
    </w:p>
    <w:p w14:paraId="33087CC6">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2023年末马龙区耕地面积44264.19公顷，其中水田面积10794.55公顷，水浇地面积870.85公顷，旱地32598.79公顷；已建成水库205座（中型7座，小型198座），总库容22943.68万m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，灌溉面积3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4770</w:t>
      </w:r>
      <w:r>
        <w:rPr>
          <w:rFonts w:hint="eastAsia" w:cs="Times New Roman"/>
          <w:color w:val="auto"/>
          <w:highlight w:val="none"/>
          <w:lang w:val="en-US" w:eastAsia="zh-CN"/>
        </w:rPr>
        <w:t>万</w:t>
      </w:r>
      <w:r>
        <w:rPr>
          <w:rFonts w:hint="default" w:ascii="Times New Roman" w:hAnsi="Times New Roman" w:cs="Times New Roman"/>
          <w:color w:val="auto"/>
          <w:highlight w:val="none"/>
          <w:lang w:val="en-US" w:eastAsia="zh-CN"/>
        </w:rPr>
        <w:t>公顷。</w:t>
      </w:r>
    </w:p>
    <w:p w14:paraId="34611EBD">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2023年末陆良县耕地面积75469.12公顷，其中水田面积11880.66公顷，水浇地面积14259.72公顷，旱地49328.74公顷；已建成水库67座（中型2座，小型65座），总库容6899.57万m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，灌溉面积1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731</w:t>
      </w:r>
      <w:r>
        <w:rPr>
          <w:rFonts w:hint="eastAsia" w:cs="Times New Roman"/>
          <w:color w:val="auto"/>
          <w:highlight w:val="none"/>
          <w:lang w:val="en-US" w:eastAsia="zh-CN"/>
        </w:rPr>
        <w:t>万</w:t>
      </w:r>
      <w:r>
        <w:rPr>
          <w:rFonts w:hint="default" w:ascii="Times New Roman" w:hAnsi="Times New Roman" w:cs="Times New Roman"/>
          <w:color w:val="auto"/>
          <w:highlight w:val="none"/>
          <w:lang w:val="en-US" w:eastAsia="zh-CN"/>
        </w:rPr>
        <w:t>公顷。</w:t>
      </w:r>
    </w:p>
    <w:p w14:paraId="51868260">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2023年末师宗县耕地面积70682.47公顷，其中水田面积7648.03公顷，水浇地面积687.83公顷，旱地62346.61公顷；已建成水库26座（大2座，中型3座，小型21座），总库容32983.19万m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，灌溉面积2</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030</w:t>
      </w:r>
      <w:r>
        <w:rPr>
          <w:rFonts w:hint="eastAsia" w:cs="Times New Roman"/>
          <w:color w:val="auto"/>
          <w:highlight w:val="none"/>
          <w:lang w:val="en-US" w:eastAsia="zh-CN"/>
        </w:rPr>
        <w:t>万</w:t>
      </w:r>
      <w:r>
        <w:rPr>
          <w:rFonts w:hint="default" w:ascii="Times New Roman" w:hAnsi="Times New Roman" w:cs="Times New Roman"/>
          <w:color w:val="auto"/>
          <w:highlight w:val="none"/>
          <w:lang w:val="en-US" w:eastAsia="zh-CN"/>
        </w:rPr>
        <w:t>公顷。</w:t>
      </w:r>
    </w:p>
    <w:p w14:paraId="1924B7AC">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2023年末罗平县耕地面积85805.71公顷，其中水田面积3980.3公顷，水浇地面积75.97公顷，旱地81749.44公顷；已建成水库91座（中型5座，小型86座），总库容13782.71万m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，灌溉面积1</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533</w:t>
      </w:r>
      <w:r>
        <w:rPr>
          <w:rFonts w:hint="eastAsia" w:cs="Times New Roman"/>
          <w:color w:val="auto"/>
          <w:highlight w:val="none"/>
          <w:lang w:val="en-US" w:eastAsia="zh-CN"/>
        </w:rPr>
        <w:t>万</w:t>
      </w:r>
      <w:r>
        <w:rPr>
          <w:rFonts w:hint="default" w:ascii="Times New Roman" w:hAnsi="Times New Roman" w:cs="Times New Roman"/>
          <w:color w:val="auto"/>
          <w:highlight w:val="none"/>
          <w:lang w:val="en-US" w:eastAsia="zh-CN"/>
        </w:rPr>
        <w:t>公顷。</w:t>
      </w:r>
    </w:p>
    <w:p w14:paraId="61822054">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2023年末富源县耕地面积95712.87公顷，其中水田面积3250.18公顷，水浇地面积547.88公顷，旱地91914.81公顷；已建成水库42座（大1座，中型3座，小型38座），总库容68819.56万m</w:t>
      </w:r>
      <w:r>
        <w:rPr>
          <w:rFonts w:hint="default" w:ascii="Times New Roman" w:hAnsi="Times New Roman" w:cs="Times New Roman"/>
          <w:color w:val="auto"/>
          <w:highlight w:val="none"/>
          <w:vertAlign w:val="superscript"/>
          <w:lang w:val="en-US" w:eastAsia="zh-CN"/>
        </w:rPr>
        <w:t>3</w:t>
      </w:r>
      <w:r>
        <w:rPr>
          <w:rFonts w:hint="default" w:ascii="Times New Roman" w:hAnsi="Times New Roman" w:cs="Times New Roman"/>
          <w:color w:val="auto"/>
          <w:highlight w:val="none"/>
          <w:lang w:val="en-US" w:eastAsia="zh-CN"/>
        </w:rPr>
        <w:t>，灌溉面积3</w:t>
      </w:r>
      <w:r>
        <w:rPr>
          <w:rFonts w:hint="eastAsia" w:cs="Times New Roman"/>
          <w:color w:val="auto"/>
          <w:highlight w:val="none"/>
          <w:lang w:val="en-US" w:eastAsia="zh-CN"/>
        </w:rPr>
        <w:t>.</w:t>
      </w:r>
      <w:r>
        <w:rPr>
          <w:rFonts w:hint="default" w:ascii="Times New Roman" w:hAnsi="Times New Roman" w:cs="Times New Roman"/>
          <w:color w:val="auto"/>
          <w:highlight w:val="none"/>
          <w:lang w:val="en-US" w:eastAsia="zh-CN"/>
        </w:rPr>
        <w:t>241</w:t>
      </w:r>
      <w:r>
        <w:rPr>
          <w:rFonts w:hint="eastAsia" w:cs="Times New Roman"/>
          <w:color w:val="auto"/>
          <w:highlight w:val="none"/>
          <w:lang w:val="en-US" w:eastAsia="zh-CN"/>
        </w:rPr>
        <w:t>万</w:t>
      </w:r>
      <w:r>
        <w:rPr>
          <w:rFonts w:hint="default" w:ascii="Times New Roman" w:hAnsi="Times New Roman" w:cs="Times New Roman"/>
          <w:color w:val="auto"/>
          <w:highlight w:val="none"/>
          <w:lang w:val="en-US" w:eastAsia="zh-CN"/>
        </w:rPr>
        <w:t>公顷。</w:t>
      </w:r>
    </w:p>
    <w:p w14:paraId="576CBDAA">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旅游资源</w:t>
      </w:r>
    </w:p>
    <w:p w14:paraId="5ADAA906">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麒麟区文旅定位是曲靖市政治、经济、文化中心，云南爨文化的核心承载地，被誉为"爨文化之都”。区内有国宝级文化遗存《爨宝子碑》，现藏于曲靖一中爨文化博物馆（"爨园”），是汉字由隶书向楷书过渡的典型碑刻，1961 年被国务院公布为第一批全国重点文物保护单位。现有南中爨城、麒麟水乡两个国家4A级景区，朗目山风景区，寥廓山、曲靖市博物馆及红色文化珠街涌泉红军村。2024年接待国内游客2844.97万人次、旅游综合收入305.18亿元。</w:t>
      </w:r>
    </w:p>
    <w:p w14:paraId="328D8C2B">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沾益区文旅定位中国第三大江河珠江的正源所在地，“珠江源第一市”的核心标志，主打珠源文化与生态康养。区内有珠江源国家4A级景区、国家级森林公园、国家水利风景区，海峰湿地省级自然保护区、省级重要湿地，目前沾益区正在推进"全国避暑旅游目的地”创建。2024年接待游客318.56万人次、旅游收入35.3亿元。</w:t>
      </w:r>
    </w:p>
    <w:p w14:paraId="2BDACE8A">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马龙区文旅定位为以高原山地景观为基底，叠加彝族、苗族等民族风情，主打"旅居马龙”康养休闲区。区内有云南马过河旅游景区、马龙区月望湖旅游景区两个国家4A级景区，马龙区沈家山国家3A级景区。2024年全区游客出游花费18.56亿元。</w:t>
      </w:r>
    </w:p>
    <w:p w14:paraId="518A75F5">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陆良县是云南爨文化发源地、全国民间书法艺术之乡，拥有“云南三大自然岩林奇观”之一的彩色沙林。县内有彩色沙林国家4A级景区，全国重点文物保护单位《爨龙颜碑》、古建筑遗存大觉寺千佛塔，同时陆良县有爨陶、爨绣、洞经音乐等非遗技艺传承。2024年接待游客664.35万人次，旅游综合收入71.27亿元。</w:t>
      </w:r>
    </w:p>
    <w:p w14:paraId="6166FF89">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师宗县定位为以“生命文化”和“杜鹃花海”为特色的壮族生态水乡，县内有凤凰谷、菌子山国家4A级景区，五龙壮族乡为壮族聚居区，壮族歌舞、民俗与生态水乡特色突出。2024年接待游客377.31万人次，旅游综合收入40.47亿元。</w:t>
      </w:r>
    </w:p>
    <w:p w14:paraId="6DA6E98E">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罗平县是全国油菜花最早盛开、规模最大的地区之一，万亩油菜花在喀斯特峰林间绽放，九龙瀑布与布依族风情，是曲靖最具知名度的旅游名片。县内有九龙瀑布群国家4A级景区、省级风景名胜区，另有险峻幽深的鲁布革三峡景区，可通过布依族“三月三”泼水节、刺绣及歌舞体验滇东南布依水乡文化。</w:t>
      </w:r>
    </w:p>
    <w:p w14:paraId="177ADA52">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富源县是滇黔咽喉重地，以“胜境关”雄关文化和古敢水族乡风情为两大名片。县内有多乐原国家4A级景区，胜境关为省级重点文物保护单位，2000年被命名为云南省级爱国主义教育基地，也是红军长征播撒革命火种的红色驿站。古敢水族乡是云南省内水族主要聚居地之一，水族歌舞、刺绣、三月三民俗、拦门酒与篝火晚会等民族活动丰富，是体验水族文化的代表之地。2024年接待游客413.16万人次，旅游综合收入44.32亿元。</w:t>
      </w:r>
    </w:p>
    <w:p w14:paraId="6E082091">
      <w:pPr>
        <w:pStyle w:val="3"/>
        <w:numPr>
          <w:ilvl w:val="1"/>
          <w:numId w:val="4"/>
        </w:numPr>
        <w:spacing w:before="374" w:after="249"/>
        <w:rPr>
          <w:rFonts w:hint="default" w:ascii="Times New Roman" w:hAnsi="Times New Roman" w:eastAsia="宋体" w:cs="Times New Roman"/>
          <w:color w:val="auto"/>
          <w:highlight w:val="none"/>
        </w:rPr>
      </w:pPr>
      <w:bookmarkStart w:id="93" w:name="_Toc31622"/>
      <w:r>
        <w:rPr>
          <w:rFonts w:hint="default" w:ascii="Times New Roman" w:hAnsi="Times New Roman" w:eastAsia="宋体" w:cs="Times New Roman"/>
          <w:color w:val="auto"/>
          <w:highlight w:val="none"/>
        </w:rPr>
        <w:t>流域环境影响回顾性评价</w:t>
      </w:r>
      <w:bookmarkEnd w:id="93"/>
    </w:p>
    <w:p w14:paraId="272D6C5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流域内水资源开发利用现状</w:t>
      </w:r>
    </w:p>
    <w:p w14:paraId="1397AB39">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根据云南省第三次水资源调查评价成果，云南省珠江流域多年平均地表水资源量219.8亿m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。南盘江（曲靖市境内）流域多年平均地表水资源量77.2亿m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，按水资源四级区分，沾曲陆宜15.5亿m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，黄泥河41.8亿m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，甸溪河2.8亿m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，清水江1亿m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，南盘江下段干流16.1亿m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3C90687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南盘江（曲靖市境内）流域国土面积14225km²，水资源总量778476万m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，人均占有水资源2196m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。2024年各类供水设施实际供水量85431万m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，按2024年实际供水量计算，流域内水资源开发程度为11.0%，高于云南省平均水平7.3%。</w:t>
      </w:r>
    </w:p>
    <w:p w14:paraId="0B05B239">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从行政区划分看，水资源开发利用具有显著的地区差异性，麒麟区是曲靖市的政治、经济、文化中心，水资源开发程度为39.2%；沾益区、陆良县属于曲靖市较大的坝子，农业灌溉用水需求较大，但本区水资源较少，水资源开发程度分别为29.6%、27.9%。其余县区由于其集水面积及水资源总量较大，多数为山区，导致的水资源开发程度相对较低，其中马龙区为7.1%与云南省平均水平基本持平，其余师宗县、罗平县及富源县均低于云南省平均水平，分别为5.0%、5.0%、4.1%。</w:t>
      </w:r>
    </w:p>
    <w:p w14:paraId="3D6CC9D0">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流域内</w:t>
      </w:r>
      <w:r>
        <w:rPr>
          <w:rFonts w:hint="default" w:ascii="Times New Roman" w:hAnsi="Times New Roman" w:eastAsia="宋体" w:cs="Times New Roman"/>
          <w:color w:val="auto"/>
          <w:highlight w:val="none"/>
        </w:rPr>
        <w:t>水能资源开发现状</w:t>
      </w:r>
    </w:p>
    <w:p w14:paraId="4178F7A6">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流域水能资源相对丰富，主要集中在干流中下游及黄泥河、九龙河等主要支流，这些区域水量较为丰沛，落差集中，具备较好的开发条件，部分峡谷河段水库淹没损失相对较小。依托流域水能资源开发，南盘江已成为我省重要的能源基地之一，是国家“西电东送”和“云电外送”的重要组成部分。充分利用区域水能资源优势，合理开发电力资源，带动矿产资源有序开发，发展电冶业，是流域工业发展的客观需要。根据《云南省水资源综合规划》《云南省水力资源复查》（2003年）等，南盘江（云南省境内）流域水力资源理论蕴藏量3967MW，年发电量347.5亿kW•h，技术可开发装机容量3738MW，年发电量163.9亿kW•h。</w:t>
      </w:r>
    </w:p>
    <w:p w14:paraId="32327016">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干流段已开发水电站9座，总装机195MW，南盘江（曲靖市境内）各支流开发水电站46座，总装机1141MW。总体来看，南盘江（曲靖市境内）流域水能资源开发利用程度较高，已开发各类水电站55座，总装机容量1336MW，多年平均发电量约35.88亿kW·h，分别约占技术可开发量的15.5%、32.9%。</w:t>
      </w:r>
    </w:p>
    <w:p w14:paraId="58A1A6A0">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流域环境回顾性分析</w:t>
      </w:r>
    </w:p>
    <w:p w14:paraId="03A55BA2">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本次</w:t>
      </w:r>
      <w:r>
        <w:rPr>
          <w:rFonts w:hint="default" w:ascii="Times New Roman" w:hAnsi="Times New Roman" w:eastAsia="宋体" w:cs="Times New Roman"/>
          <w:color w:val="auto"/>
          <w:highlight w:val="none"/>
          <w:lang w:eastAsia="zh-CN"/>
        </w:rPr>
        <w:t>回顾性分析主要目的</w:t>
      </w:r>
      <w:r>
        <w:rPr>
          <w:rFonts w:hint="default" w:ascii="Times New Roman" w:hAnsi="Times New Roman" w:eastAsia="宋体" w:cs="Times New Roman"/>
          <w:color w:val="auto"/>
          <w:highlight w:val="none"/>
          <w:lang w:val="en-US" w:eastAsia="zh-CN"/>
        </w:rPr>
        <w:t>是</w:t>
      </w:r>
      <w:r>
        <w:rPr>
          <w:rFonts w:hint="default" w:ascii="Times New Roman" w:hAnsi="Times New Roman" w:eastAsia="宋体" w:cs="Times New Roman"/>
          <w:color w:val="auto"/>
          <w:highlight w:val="none"/>
          <w:lang w:eastAsia="zh-CN"/>
        </w:rPr>
        <w:t>梳理南盘江流域既往开发实际环境效应，厘清现状生态环境问题的成因，总结已建工程环保措施的经验与历史遗留短板；借鉴历史开发影响规律，提高本次规划环境识别与预测的可靠性；梳理老工程带来的生态环境问题，让本次规划和环保措施对准现实问题精准发力；同时把历史环境状况作为参照标尺，用于方案评判和后期跟踪对比，让现状、历史复盘、影响预测、保护对策前后</w:t>
      </w:r>
      <w:r>
        <w:rPr>
          <w:rFonts w:hint="default" w:ascii="Times New Roman" w:hAnsi="Times New Roman" w:eastAsia="宋体" w:cs="Times New Roman"/>
          <w:color w:val="auto"/>
          <w:highlight w:val="none"/>
          <w:lang w:val="en-US" w:eastAsia="zh-CN"/>
        </w:rPr>
        <w:t>互相呼应</w:t>
      </w:r>
      <w:r>
        <w:rPr>
          <w:rFonts w:hint="default" w:ascii="Times New Roman" w:hAnsi="Times New Roman" w:eastAsia="宋体" w:cs="Times New Roman"/>
          <w:color w:val="auto"/>
          <w:highlight w:val="none"/>
          <w:lang w:eastAsia="zh-CN"/>
        </w:rPr>
        <w:t>。</w:t>
      </w:r>
    </w:p>
    <w:p w14:paraId="2C07F46A">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本次回顾性评价选择流域内九龙河流域开展回顾性分析，一是因为九龙河流域水资源开发较为集中，开发规模大，工程类型多，二是因为</w:t>
      </w:r>
      <w:r>
        <w:rPr>
          <w:rFonts w:hint="default" w:ascii="Times New Roman" w:hAnsi="Times New Roman" w:eastAsia="宋体" w:cs="Times New Roman"/>
          <w:color w:val="auto"/>
          <w:highlight w:val="none"/>
          <w:lang w:eastAsia="zh-CN"/>
        </w:rPr>
        <w:t>九龙河流域径流面积大、水量相对</w:t>
      </w:r>
      <w:r>
        <w:rPr>
          <w:rFonts w:hint="default" w:ascii="Times New Roman" w:hAnsi="Times New Roman" w:eastAsia="宋体" w:cs="Times New Roman"/>
          <w:color w:val="auto"/>
          <w:highlight w:val="none"/>
          <w:lang w:val="en-US" w:eastAsia="zh-CN"/>
        </w:rPr>
        <w:t>丰富，且是规划重点工程涉及河流；三是九龙河流域生态环境问题相对突出，具有较好的代表性。</w:t>
      </w:r>
    </w:p>
    <w:p w14:paraId="10A420B2">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九龙河流域水利水电工程建设情况</w:t>
      </w:r>
    </w:p>
    <w:p w14:paraId="0ED45140">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已建水利水电工程包括九龙河流域（包括其一级支流子午河流域和二级支流界桥河流域）上的水库、水电站和引水工程</w:t>
      </w:r>
      <w:r>
        <w:rPr>
          <w:rFonts w:hint="default" w:ascii="Times New Roman" w:hAnsi="Times New Roman" w:cs="Times New Roman"/>
          <w:color w:val="auto"/>
          <w:highlight w:val="none"/>
          <w:lang w:val="en-US" w:eastAsia="zh-CN"/>
        </w:rPr>
        <w:t>等</w:t>
      </w:r>
      <w:r>
        <w:rPr>
          <w:rFonts w:hint="default" w:ascii="Times New Roman" w:hAnsi="Times New Roman" w:eastAsia="宋体" w:cs="Times New Roman"/>
          <w:color w:val="auto"/>
          <w:highlight w:val="none"/>
          <w:lang w:eastAsia="zh-CN"/>
        </w:rPr>
        <w:t>，其中九龙河干流的水利水电工程主要有：独木水库、阿岗水库、冒水洞电站、腊庄电站、白腊山干渠、大寨电站等重要水利水电工程。水利水电工程的空间布局详见水系图。</w:t>
      </w:r>
    </w:p>
    <w:p w14:paraId="654B2F1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（一）水库工程</w:t>
      </w:r>
    </w:p>
    <w:p w14:paraId="071B0E4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（1）大型水库</w:t>
      </w:r>
    </w:p>
    <w:p w14:paraId="7FD5A07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评价区内分布有2件大（二）型水库，为独木水库、阿岗水库。</w:t>
      </w:r>
    </w:p>
    <w:p w14:paraId="0D1A65B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独木水库位于曲靖市麒麟区的东山镇，流域范围属于九龙河流域，位于九龙河干流上游（也称篆长河），兴建于1958年，90年代进行了除险加固，水库径流面积196km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，径流量14100.00万m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，正常蓄水位2006.00m，为多年调节水库，总库容1.056亿m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，兴利库容9943.00万m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。水库设计年供水量11600.00万m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，供水对象为独木水库灌区和曲靖市市区。根据九龙河流域规划报告，独木水库现有渠道配套不完善，渠道存在病害问题，独木水库仅能控制的灌溉面积仅为9.3万亩，低于原设计灌溉面积12万亩。</w:t>
      </w:r>
    </w:p>
    <w:p w14:paraId="6993888A">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阿岗水库位于罗平县九龙河上游的篆长河上，距罗平县城约79km，距曲靖市约110km。阿岗水库工程开发任务为以城乡生活和工业供水、农业灌溉为主，兼顾改善九龙瀑布景观用水条件、发电等综合利用。水库控制径流面积1093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，多年平均年径流量为6.265亿m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。阿岗水库死水位为1838.20m，正常蓄水位为1866.00m，设计洪水位为1866.23m，校核洪水位为1868.11m，总库容为12907万m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，兴利库容为9938万m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，死库容为765万m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。多年平均供水量为13537万m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，其中城乡生活及工业供水2597万m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，农业灌溉供水10223万m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，九龙瀑布景观补水量为717万m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；坝后电站装机10.5兆瓦，多年平均发电量4131万千瓦时。该工程为国务院批复的172项重大节水供水工程之一，2016年开工建设，现已基本建成，已开始蓄水并初步发挥效益</w:t>
      </w:r>
      <w:r>
        <w:rPr>
          <w:rFonts w:hint="default" w:ascii="Times New Roman" w:hAnsi="Times New Roman" w:cs="Times New Roman"/>
          <w:color w:val="auto"/>
          <w:highlight w:val="none"/>
          <w:lang w:eastAsia="zh-CN"/>
        </w:rPr>
        <w:t>。</w:t>
      </w:r>
    </w:p>
    <w:p w14:paraId="29D9B1E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（2）中型水库</w:t>
      </w:r>
    </w:p>
    <w:p w14:paraId="09CC2E2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九龙河流域分布有2件中型水库，分别为溜子田水库和东风水库。</w:t>
      </w:r>
    </w:p>
    <w:p w14:paraId="12432FE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1）东风水库</w:t>
      </w:r>
    </w:p>
    <w:p w14:paraId="53420ED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东风水库位于师宗县竹基镇，流域范围属于子午河支流界桥河流域，位于界桥河上游阿公果附近，建成于1972年，水库径流面积49.6km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，径流量2747万m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，正常蓄水位1875.40m，为年调节水库，总库容1716万m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，兴利库容1549.00万m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。水库设计年供水量1360.00万m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，供水对象为城乡生活、工矿企业和东风水库灌区，设计灌溉面积3.4万亩。</w:t>
      </w:r>
    </w:p>
    <w:p w14:paraId="20F078C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2）溜子田水库</w:t>
      </w:r>
    </w:p>
    <w:p w14:paraId="3BD58AB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溜子田水库位于师宗县，流域范围属于子午河流域，建成于1957年，水库径流面积27.5km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，径流量1482.00万m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，正常蓄水位1872.60m，为年调节水库，总库容1313.2万m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，兴利库容1095.10万m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。水库设计年供水量852.00万m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，供水对象为溜子田水库灌区，设计灌溉面积2.13万亩。</w:t>
      </w:r>
    </w:p>
    <w:p w14:paraId="30AFD4D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（3）小（一）型水库</w:t>
      </w:r>
    </w:p>
    <w:p w14:paraId="1630F5D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除以上中型水库外，九龙河流域还分布有小石山水库、小募舍水库、奴革水库、羊者窝水库、大堵水库、小黑河水库、色从水库、幕补水库共8件小（一）型水库。</w:t>
      </w:r>
    </w:p>
    <w:p w14:paraId="06E1C28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1）小石山水库：水库位于师宗县丹凤镇子午河流域，设计总库容320万m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，其中，兴利库容240万m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。水库主要承担下游0.15万亩的农田灌溉，设计供水能力129.02万m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28FCCE6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2）小募舍水库：水库位于罗平县板桥镇九龙河流域，设计总库容235.94万m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，其中，兴利库容223万m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。水库主要承担下游0.34万亩的农田灌溉和城乡生活供水，设计供水能力271.92万m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7EAB8B6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3）奴革水库：水库位于罗平县阿岗镇九龙河流域，设计总库容197.24万m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，其中，兴利库容146.2万m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。水库主要承担城乡生活供水，设计供水能力59.4万m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6FD897F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4）大堵水库：水库位于师宗县丹凤镇子午河流域，设计总库容160万m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，其中，兴利库容132万m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。水库主要承担下游0.2万亩的农田灌溉，设计供水能力25.52万m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02F0E98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5）小黑河水库：水库位于师宗县丹凤镇子午河流域，设计总库容160万m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，其中，兴利库容123.44万m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。水库主要承担下游0.3万亩的农田灌溉，设计供水能力159.84万m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31FA405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6）色从水库：水库位于师宗县丹凤镇子午河流域，设计总库容160万m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，其中，兴利库容144.6万m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。水库主要承担下游0.4万亩的农田灌溉，设计供水能力117.54万m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1B02DA0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7）幕补水库：水库位于罗平县板桥镇九龙河流域，设计总库容146.8万m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，其中，兴利库容117.3万m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。水库主要承担下游0.5万亩的农田灌溉和城乡生活供水，设计供水能力23.53万m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04F37BD1">
      <w:pPr>
        <w:ind w:firstLine="480"/>
        <w:rPr>
          <w:rFonts w:hint="default" w:ascii="Times New Roman" w:hAnsi="Times New Roman" w:cs="Times New Roman"/>
          <w:color w:val="auto"/>
          <w:highlight w:val="none"/>
        </w:rPr>
        <w:sectPr>
          <w:headerReference r:id="rId13" w:type="default"/>
          <w:footerReference r:id="rId14" w:type="default"/>
          <w:pgSz w:w="11906" w:h="16838"/>
          <w:pgMar w:top="1440" w:right="1800" w:bottom="1440" w:left="1800" w:header="851" w:footer="992" w:gutter="0"/>
          <w:pgNumType w:fmt="decimal"/>
          <w:cols w:space="425" w:num="1"/>
          <w:docGrid w:type="lines" w:linePitch="326" w:charSpace="0"/>
        </w:sectPr>
      </w:pPr>
      <w:r>
        <w:rPr>
          <w:rFonts w:hint="default" w:ascii="Times New Roman" w:hAnsi="Times New Roman" w:cs="Times New Roman"/>
          <w:color w:val="auto"/>
          <w:highlight w:val="none"/>
        </w:rPr>
        <w:t>水库情况详见表</w:t>
      </w:r>
      <w:r>
        <w:rPr>
          <w:rFonts w:hint="default" w:ascii="Times New Roman" w:hAnsi="Times New Roman" w:cs="Times New Roman"/>
          <w:color w:val="auto"/>
          <w:highlight w:val="none"/>
          <w:lang w:val="en-US" w:eastAsia="zh-CN"/>
        </w:rPr>
        <w:t>3.7.3-1</w:t>
      </w:r>
      <w:r>
        <w:rPr>
          <w:rFonts w:hint="default" w:ascii="Times New Roman" w:hAnsi="Times New Roman" w:cs="Times New Roman"/>
          <w:color w:val="auto"/>
          <w:highlight w:val="none"/>
        </w:rPr>
        <w:t>。</w:t>
      </w:r>
    </w:p>
    <w:p w14:paraId="537A5EDC">
      <w:pPr>
        <w:numPr>
          <w:ilvl w:val="5"/>
          <w:numId w:val="0"/>
        </w:numPr>
        <w:tabs>
          <w:tab w:val="left" w:pos="0"/>
        </w:tabs>
        <w:ind w:left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 3.7.3-1</w:t>
      </w:r>
      <w:r>
        <w:rPr>
          <w:rFonts w:hint="default" w:ascii="Times New Roman" w:hAnsi="Times New Roman" w:cs="Times New Roman"/>
          <w:color w:val="auto"/>
          <w:highlight w:val="none"/>
        </w:rPr>
        <w:t xml:space="preserve">  九龙河流域水库工程统计表</w:t>
      </w:r>
    </w:p>
    <w:tbl>
      <w:tblPr>
        <w:tblStyle w:val="22"/>
        <w:tblW w:w="48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6"/>
        <w:gridCol w:w="1073"/>
        <w:gridCol w:w="981"/>
        <w:gridCol w:w="877"/>
        <w:gridCol w:w="981"/>
        <w:gridCol w:w="736"/>
        <w:gridCol w:w="850"/>
        <w:gridCol w:w="1000"/>
        <w:gridCol w:w="1117"/>
        <w:gridCol w:w="1095"/>
        <w:gridCol w:w="950"/>
        <w:gridCol w:w="771"/>
        <w:gridCol w:w="1281"/>
        <w:gridCol w:w="1061"/>
      </w:tblGrid>
      <w:tr w14:paraId="70B4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trPr>
        <w:tc>
          <w:tcPr>
            <w:tcW w:w="344" w:type="pct"/>
            <w:shd w:val="clear" w:color="auto" w:fill="auto"/>
            <w:vAlign w:val="center"/>
          </w:tcPr>
          <w:p w14:paraId="47D90A2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行政区</w:t>
            </w:r>
          </w:p>
        </w:tc>
        <w:tc>
          <w:tcPr>
            <w:tcW w:w="391" w:type="pct"/>
            <w:shd w:val="clear" w:color="auto" w:fill="auto"/>
            <w:vAlign w:val="center"/>
          </w:tcPr>
          <w:p w14:paraId="7608807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水库名称</w:t>
            </w:r>
          </w:p>
        </w:tc>
        <w:tc>
          <w:tcPr>
            <w:tcW w:w="357" w:type="pct"/>
            <w:shd w:val="clear" w:color="auto" w:fill="auto"/>
            <w:vAlign w:val="center"/>
          </w:tcPr>
          <w:p w14:paraId="450F8EE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所在流域</w:t>
            </w:r>
          </w:p>
        </w:tc>
        <w:tc>
          <w:tcPr>
            <w:tcW w:w="319" w:type="pct"/>
            <w:shd w:val="clear" w:color="auto" w:fill="auto"/>
            <w:vAlign w:val="center"/>
          </w:tcPr>
          <w:p w14:paraId="4EBC59F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控制径流面积（km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p>
        </w:tc>
        <w:tc>
          <w:tcPr>
            <w:tcW w:w="357" w:type="pct"/>
            <w:shd w:val="clear" w:color="auto" w:fill="auto"/>
            <w:vAlign w:val="center"/>
          </w:tcPr>
          <w:p w14:paraId="479A82B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坝址多年平均径流量（万m³）</w:t>
            </w:r>
          </w:p>
        </w:tc>
        <w:tc>
          <w:tcPr>
            <w:tcW w:w="268" w:type="pct"/>
            <w:shd w:val="clear" w:color="auto" w:fill="auto"/>
            <w:vAlign w:val="center"/>
          </w:tcPr>
          <w:p w14:paraId="1C6F47B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建成时间</w:t>
            </w:r>
          </w:p>
        </w:tc>
        <w:tc>
          <w:tcPr>
            <w:tcW w:w="309" w:type="pct"/>
            <w:shd w:val="clear" w:color="auto" w:fill="auto"/>
            <w:vAlign w:val="center"/>
          </w:tcPr>
          <w:p w14:paraId="7D5AC98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调节性能</w:t>
            </w:r>
          </w:p>
        </w:tc>
        <w:tc>
          <w:tcPr>
            <w:tcW w:w="364" w:type="pct"/>
            <w:shd w:val="clear" w:color="auto" w:fill="auto"/>
            <w:vAlign w:val="center"/>
          </w:tcPr>
          <w:p w14:paraId="3A39BD0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正常蓄水位</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m</w:t>
            </w:r>
            <w:r>
              <w:rPr>
                <w:rFonts w:hint="default" w:ascii="Times New Roman" w:hAnsi="Times New Roman" w:cs="Times New Roman"/>
                <w:color w:val="auto"/>
                <w:highlight w:val="none"/>
                <w:lang w:eastAsia="zh-CN"/>
              </w:rPr>
              <w:t>）</w:t>
            </w:r>
          </w:p>
        </w:tc>
        <w:tc>
          <w:tcPr>
            <w:tcW w:w="407" w:type="pct"/>
            <w:shd w:val="clear" w:color="auto" w:fill="auto"/>
            <w:vAlign w:val="center"/>
          </w:tcPr>
          <w:p w14:paraId="2F8680C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总库容（万m³）</w:t>
            </w:r>
          </w:p>
        </w:tc>
        <w:tc>
          <w:tcPr>
            <w:tcW w:w="399" w:type="pct"/>
            <w:shd w:val="clear" w:color="auto" w:fill="auto"/>
            <w:vAlign w:val="center"/>
          </w:tcPr>
          <w:p w14:paraId="3666BD8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兴利库容（万m³）</w:t>
            </w:r>
          </w:p>
        </w:tc>
        <w:tc>
          <w:tcPr>
            <w:tcW w:w="346" w:type="pct"/>
            <w:shd w:val="clear" w:color="auto" w:fill="auto"/>
            <w:vAlign w:val="center"/>
          </w:tcPr>
          <w:p w14:paraId="3FF9343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正常蓄水位相应水面面积（km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w:t>
            </w:r>
          </w:p>
        </w:tc>
        <w:tc>
          <w:tcPr>
            <w:tcW w:w="280" w:type="pct"/>
            <w:shd w:val="clear" w:color="auto" w:fill="auto"/>
            <w:vAlign w:val="center"/>
          </w:tcPr>
          <w:p w14:paraId="05FBEDA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设计年供水量</w:t>
            </w:r>
          </w:p>
          <w:p w14:paraId="62C907D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万m³</w:t>
            </w:r>
            <w:r>
              <w:rPr>
                <w:rFonts w:hint="default" w:ascii="Times New Roman" w:hAnsi="Times New Roman" w:cs="Times New Roman"/>
                <w:color w:val="auto"/>
                <w:highlight w:val="none"/>
                <w:lang w:eastAsia="zh-CN"/>
              </w:rPr>
              <w:t>）</w:t>
            </w:r>
          </w:p>
        </w:tc>
        <w:tc>
          <w:tcPr>
            <w:tcW w:w="466" w:type="pct"/>
            <w:shd w:val="clear" w:color="auto" w:fill="auto"/>
            <w:vAlign w:val="center"/>
          </w:tcPr>
          <w:p w14:paraId="72F3E9F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供水对象</w:t>
            </w:r>
          </w:p>
        </w:tc>
        <w:tc>
          <w:tcPr>
            <w:tcW w:w="386" w:type="pct"/>
            <w:shd w:val="clear" w:color="auto" w:fill="auto"/>
            <w:vAlign w:val="center"/>
          </w:tcPr>
          <w:p w14:paraId="67103C6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设计灌溉面积</w:t>
            </w:r>
          </w:p>
          <w:p w14:paraId="04BBDA5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（万亩）</w:t>
            </w:r>
          </w:p>
        </w:tc>
      </w:tr>
      <w:tr w14:paraId="1C5A5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4" w:type="pct"/>
            <w:shd w:val="clear" w:color="auto" w:fill="auto"/>
            <w:vAlign w:val="center"/>
          </w:tcPr>
          <w:p w14:paraId="75BABE3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麒麟区</w:t>
            </w:r>
          </w:p>
        </w:tc>
        <w:tc>
          <w:tcPr>
            <w:tcW w:w="391" w:type="pct"/>
            <w:shd w:val="clear" w:color="auto" w:fill="auto"/>
            <w:vAlign w:val="center"/>
          </w:tcPr>
          <w:p w14:paraId="680A843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独木水库</w:t>
            </w:r>
          </w:p>
        </w:tc>
        <w:tc>
          <w:tcPr>
            <w:tcW w:w="357" w:type="pct"/>
            <w:shd w:val="clear" w:color="auto" w:fill="auto"/>
            <w:vAlign w:val="center"/>
          </w:tcPr>
          <w:p w14:paraId="4ACE38F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319" w:type="pct"/>
            <w:shd w:val="clear" w:color="auto" w:fill="auto"/>
            <w:vAlign w:val="center"/>
          </w:tcPr>
          <w:p w14:paraId="5A413C6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196</w:t>
            </w:r>
          </w:p>
        </w:tc>
        <w:tc>
          <w:tcPr>
            <w:tcW w:w="357" w:type="pct"/>
            <w:shd w:val="clear" w:color="auto" w:fill="auto"/>
            <w:vAlign w:val="center"/>
          </w:tcPr>
          <w:p w14:paraId="66DD220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14100</w:t>
            </w:r>
          </w:p>
        </w:tc>
        <w:tc>
          <w:tcPr>
            <w:tcW w:w="268" w:type="pct"/>
            <w:shd w:val="clear" w:color="auto" w:fill="auto"/>
            <w:vAlign w:val="center"/>
          </w:tcPr>
          <w:p w14:paraId="6553799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1986</w:t>
            </w:r>
          </w:p>
        </w:tc>
        <w:tc>
          <w:tcPr>
            <w:tcW w:w="309" w:type="pct"/>
            <w:shd w:val="clear" w:color="auto" w:fill="auto"/>
            <w:vAlign w:val="center"/>
          </w:tcPr>
          <w:p w14:paraId="41B889C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多年调节</w:t>
            </w:r>
          </w:p>
        </w:tc>
        <w:tc>
          <w:tcPr>
            <w:tcW w:w="364" w:type="pct"/>
            <w:shd w:val="clear" w:color="auto" w:fill="auto"/>
            <w:vAlign w:val="center"/>
          </w:tcPr>
          <w:p w14:paraId="15C949E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2006</w:t>
            </w:r>
          </w:p>
        </w:tc>
        <w:tc>
          <w:tcPr>
            <w:tcW w:w="407" w:type="pct"/>
            <w:shd w:val="clear" w:color="auto" w:fill="auto"/>
            <w:vAlign w:val="center"/>
          </w:tcPr>
          <w:p w14:paraId="1E00345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10560</w:t>
            </w:r>
          </w:p>
        </w:tc>
        <w:tc>
          <w:tcPr>
            <w:tcW w:w="399" w:type="pct"/>
            <w:shd w:val="clear" w:color="auto" w:fill="auto"/>
            <w:vAlign w:val="center"/>
          </w:tcPr>
          <w:p w14:paraId="7AC34CC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9943</w:t>
            </w:r>
          </w:p>
        </w:tc>
        <w:tc>
          <w:tcPr>
            <w:tcW w:w="346" w:type="pct"/>
            <w:shd w:val="clear" w:color="auto" w:fill="auto"/>
            <w:vAlign w:val="center"/>
          </w:tcPr>
          <w:p w14:paraId="06CE753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10</w:t>
            </w:r>
          </w:p>
        </w:tc>
        <w:tc>
          <w:tcPr>
            <w:tcW w:w="280" w:type="pct"/>
            <w:shd w:val="clear" w:color="auto" w:fill="auto"/>
            <w:vAlign w:val="center"/>
          </w:tcPr>
          <w:p w14:paraId="48FB47B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11600</w:t>
            </w:r>
          </w:p>
        </w:tc>
        <w:tc>
          <w:tcPr>
            <w:tcW w:w="466" w:type="pct"/>
            <w:shd w:val="clear" w:color="auto" w:fill="auto"/>
            <w:vAlign w:val="center"/>
          </w:tcPr>
          <w:p w14:paraId="4ED4817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农业灌溉</w:t>
            </w:r>
          </w:p>
        </w:tc>
        <w:tc>
          <w:tcPr>
            <w:tcW w:w="386" w:type="pct"/>
            <w:shd w:val="clear" w:color="auto" w:fill="auto"/>
            <w:vAlign w:val="center"/>
          </w:tcPr>
          <w:p w14:paraId="5D60B5E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16.5</w:t>
            </w:r>
          </w:p>
        </w:tc>
      </w:tr>
      <w:tr w14:paraId="51E94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344" w:type="pct"/>
            <w:shd w:val="clear" w:color="auto" w:fill="auto"/>
            <w:vAlign w:val="center"/>
          </w:tcPr>
          <w:p w14:paraId="23E8AE4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391" w:type="pct"/>
            <w:shd w:val="clear" w:color="auto" w:fill="auto"/>
            <w:vAlign w:val="center"/>
          </w:tcPr>
          <w:p w14:paraId="7CAF2B3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阿岗水库</w:t>
            </w:r>
          </w:p>
        </w:tc>
        <w:tc>
          <w:tcPr>
            <w:tcW w:w="357" w:type="pct"/>
            <w:shd w:val="clear" w:color="auto" w:fill="auto"/>
            <w:vAlign w:val="center"/>
          </w:tcPr>
          <w:p w14:paraId="6758AFE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319" w:type="pct"/>
            <w:shd w:val="clear" w:color="auto" w:fill="auto"/>
            <w:vAlign w:val="center"/>
          </w:tcPr>
          <w:p w14:paraId="4E547C1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1093</w:t>
            </w:r>
          </w:p>
        </w:tc>
        <w:tc>
          <w:tcPr>
            <w:tcW w:w="357" w:type="pct"/>
            <w:shd w:val="clear" w:color="auto" w:fill="auto"/>
            <w:vAlign w:val="center"/>
          </w:tcPr>
          <w:p w14:paraId="45B32B3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6265</w:t>
            </w:r>
          </w:p>
        </w:tc>
        <w:tc>
          <w:tcPr>
            <w:tcW w:w="268" w:type="pct"/>
            <w:shd w:val="clear" w:color="auto" w:fill="auto"/>
            <w:vAlign w:val="center"/>
          </w:tcPr>
          <w:p w14:paraId="191135C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在建</w:t>
            </w:r>
          </w:p>
        </w:tc>
        <w:tc>
          <w:tcPr>
            <w:tcW w:w="309" w:type="pct"/>
            <w:shd w:val="clear" w:color="auto" w:fill="auto"/>
            <w:vAlign w:val="center"/>
          </w:tcPr>
          <w:p w14:paraId="48C5399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413B9D3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1866</w:t>
            </w:r>
          </w:p>
        </w:tc>
        <w:tc>
          <w:tcPr>
            <w:tcW w:w="407" w:type="pct"/>
            <w:shd w:val="clear" w:color="auto" w:fill="auto"/>
            <w:vAlign w:val="center"/>
          </w:tcPr>
          <w:p w14:paraId="4204D70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12907</w:t>
            </w:r>
          </w:p>
        </w:tc>
        <w:tc>
          <w:tcPr>
            <w:tcW w:w="399" w:type="pct"/>
            <w:shd w:val="clear" w:color="auto" w:fill="auto"/>
            <w:vAlign w:val="center"/>
          </w:tcPr>
          <w:p w14:paraId="7DE244F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9938</w:t>
            </w:r>
          </w:p>
        </w:tc>
        <w:tc>
          <w:tcPr>
            <w:tcW w:w="346" w:type="pct"/>
            <w:shd w:val="clear" w:color="auto" w:fill="auto"/>
            <w:vAlign w:val="center"/>
          </w:tcPr>
          <w:p w14:paraId="2F7C0A6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280" w:type="pct"/>
            <w:shd w:val="clear" w:color="auto" w:fill="auto"/>
            <w:vAlign w:val="center"/>
          </w:tcPr>
          <w:p w14:paraId="4672F9F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13537</w:t>
            </w:r>
          </w:p>
        </w:tc>
        <w:tc>
          <w:tcPr>
            <w:tcW w:w="466" w:type="pct"/>
            <w:shd w:val="clear" w:color="auto" w:fill="auto"/>
            <w:vAlign w:val="center"/>
          </w:tcPr>
          <w:p w14:paraId="71F813E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城乡生活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工矿企业</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农业灌溉</w:t>
            </w:r>
          </w:p>
        </w:tc>
        <w:tc>
          <w:tcPr>
            <w:tcW w:w="386" w:type="pct"/>
            <w:shd w:val="clear" w:color="auto" w:fill="auto"/>
            <w:vAlign w:val="center"/>
          </w:tcPr>
          <w:p w14:paraId="639DB76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0523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trPr>
        <w:tc>
          <w:tcPr>
            <w:tcW w:w="344" w:type="pct"/>
            <w:shd w:val="clear" w:color="auto" w:fill="auto"/>
            <w:vAlign w:val="center"/>
          </w:tcPr>
          <w:p w14:paraId="7CBF231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391" w:type="pct"/>
            <w:shd w:val="clear" w:color="auto" w:fill="auto"/>
            <w:vAlign w:val="center"/>
          </w:tcPr>
          <w:p w14:paraId="13EABBE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东风水库</w:t>
            </w:r>
          </w:p>
        </w:tc>
        <w:tc>
          <w:tcPr>
            <w:tcW w:w="357" w:type="pct"/>
            <w:shd w:val="clear" w:color="auto" w:fill="auto"/>
            <w:vAlign w:val="center"/>
          </w:tcPr>
          <w:p w14:paraId="6332A78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界桥河</w:t>
            </w:r>
          </w:p>
        </w:tc>
        <w:tc>
          <w:tcPr>
            <w:tcW w:w="319" w:type="pct"/>
            <w:shd w:val="clear" w:color="auto" w:fill="auto"/>
            <w:vAlign w:val="center"/>
          </w:tcPr>
          <w:p w14:paraId="31058B9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49.6</w:t>
            </w:r>
          </w:p>
        </w:tc>
        <w:tc>
          <w:tcPr>
            <w:tcW w:w="357" w:type="pct"/>
            <w:shd w:val="clear" w:color="auto" w:fill="auto"/>
            <w:vAlign w:val="center"/>
          </w:tcPr>
          <w:p w14:paraId="01552E7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2747</w:t>
            </w:r>
          </w:p>
        </w:tc>
        <w:tc>
          <w:tcPr>
            <w:tcW w:w="268" w:type="pct"/>
            <w:shd w:val="clear" w:color="auto" w:fill="auto"/>
            <w:vAlign w:val="center"/>
          </w:tcPr>
          <w:p w14:paraId="555961E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1972</w:t>
            </w:r>
          </w:p>
        </w:tc>
        <w:tc>
          <w:tcPr>
            <w:tcW w:w="309" w:type="pct"/>
            <w:shd w:val="clear" w:color="auto" w:fill="auto"/>
            <w:vAlign w:val="center"/>
          </w:tcPr>
          <w:p w14:paraId="27BE7E0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10A885C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1875.4</w:t>
            </w:r>
          </w:p>
        </w:tc>
        <w:tc>
          <w:tcPr>
            <w:tcW w:w="407" w:type="pct"/>
            <w:shd w:val="clear" w:color="auto" w:fill="auto"/>
            <w:vAlign w:val="center"/>
          </w:tcPr>
          <w:p w14:paraId="3715825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1716</w:t>
            </w:r>
          </w:p>
        </w:tc>
        <w:tc>
          <w:tcPr>
            <w:tcW w:w="399" w:type="pct"/>
            <w:shd w:val="clear" w:color="auto" w:fill="auto"/>
            <w:vAlign w:val="center"/>
          </w:tcPr>
          <w:p w14:paraId="0619CB8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1549</w:t>
            </w:r>
          </w:p>
        </w:tc>
        <w:tc>
          <w:tcPr>
            <w:tcW w:w="346" w:type="pct"/>
            <w:shd w:val="clear" w:color="auto" w:fill="auto"/>
            <w:vAlign w:val="center"/>
          </w:tcPr>
          <w:p w14:paraId="1C77FE4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0.67</w:t>
            </w:r>
          </w:p>
        </w:tc>
        <w:tc>
          <w:tcPr>
            <w:tcW w:w="280" w:type="pct"/>
            <w:shd w:val="clear" w:color="auto" w:fill="auto"/>
            <w:vAlign w:val="center"/>
          </w:tcPr>
          <w:p w14:paraId="15CC684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1360</w:t>
            </w:r>
          </w:p>
        </w:tc>
        <w:tc>
          <w:tcPr>
            <w:tcW w:w="466" w:type="pct"/>
            <w:shd w:val="clear" w:color="auto" w:fill="auto"/>
            <w:vAlign w:val="center"/>
          </w:tcPr>
          <w:p w14:paraId="08ED9FF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城乡生活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工矿企业</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农业灌溉</w:t>
            </w:r>
          </w:p>
        </w:tc>
        <w:tc>
          <w:tcPr>
            <w:tcW w:w="386" w:type="pct"/>
            <w:shd w:val="clear" w:color="auto" w:fill="auto"/>
            <w:vAlign w:val="center"/>
          </w:tcPr>
          <w:p w14:paraId="3862914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3.4</w:t>
            </w:r>
          </w:p>
        </w:tc>
      </w:tr>
      <w:tr w14:paraId="329F5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4" w:type="pct"/>
            <w:shd w:val="clear" w:color="auto" w:fill="auto"/>
            <w:vAlign w:val="center"/>
          </w:tcPr>
          <w:p w14:paraId="296FED8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391" w:type="pct"/>
            <w:shd w:val="clear" w:color="auto" w:fill="auto"/>
            <w:vAlign w:val="center"/>
          </w:tcPr>
          <w:p w14:paraId="499D770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溜子田水库</w:t>
            </w:r>
          </w:p>
        </w:tc>
        <w:tc>
          <w:tcPr>
            <w:tcW w:w="357" w:type="pct"/>
            <w:shd w:val="clear" w:color="auto" w:fill="auto"/>
            <w:vAlign w:val="center"/>
          </w:tcPr>
          <w:p w14:paraId="28C38CA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子午河</w:t>
            </w:r>
          </w:p>
        </w:tc>
        <w:tc>
          <w:tcPr>
            <w:tcW w:w="319" w:type="pct"/>
            <w:shd w:val="clear" w:color="auto" w:fill="auto"/>
            <w:vAlign w:val="center"/>
          </w:tcPr>
          <w:p w14:paraId="461E225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27.5</w:t>
            </w:r>
          </w:p>
        </w:tc>
        <w:tc>
          <w:tcPr>
            <w:tcW w:w="357" w:type="pct"/>
            <w:shd w:val="clear" w:color="auto" w:fill="auto"/>
            <w:vAlign w:val="center"/>
          </w:tcPr>
          <w:p w14:paraId="16BFA81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1482</w:t>
            </w:r>
          </w:p>
        </w:tc>
        <w:tc>
          <w:tcPr>
            <w:tcW w:w="268" w:type="pct"/>
            <w:shd w:val="clear" w:color="auto" w:fill="auto"/>
            <w:vAlign w:val="center"/>
          </w:tcPr>
          <w:p w14:paraId="4036F4C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1957</w:t>
            </w:r>
          </w:p>
        </w:tc>
        <w:tc>
          <w:tcPr>
            <w:tcW w:w="309" w:type="pct"/>
            <w:shd w:val="clear" w:color="auto" w:fill="auto"/>
            <w:vAlign w:val="center"/>
          </w:tcPr>
          <w:p w14:paraId="0148EAE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6026B8F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1872.6</w:t>
            </w:r>
          </w:p>
        </w:tc>
        <w:tc>
          <w:tcPr>
            <w:tcW w:w="407" w:type="pct"/>
            <w:shd w:val="clear" w:color="auto" w:fill="auto"/>
            <w:vAlign w:val="center"/>
          </w:tcPr>
          <w:p w14:paraId="604DB26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1313.2</w:t>
            </w:r>
          </w:p>
        </w:tc>
        <w:tc>
          <w:tcPr>
            <w:tcW w:w="399" w:type="pct"/>
            <w:shd w:val="clear" w:color="auto" w:fill="auto"/>
            <w:vAlign w:val="center"/>
          </w:tcPr>
          <w:p w14:paraId="7C64F17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1095.1</w:t>
            </w:r>
          </w:p>
        </w:tc>
        <w:tc>
          <w:tcPr>
            <w:tcW w:w="346" w:type="pct"/>
            <w:shd w:val="clear" w:color="auto" w:fill="auto"/>
            <w:vAlign w:val="center"/>
          </w:tcPr>
          <w:p w14:paraId="40B4485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0.85</w:t>
            </w:r>
          </w:p>
        </w:tc>
        <w:tc>
          <w:tcPr>
            <w:tcW w:w="280" w:type="pct"/>
            <w:shd w:val="clear" w:color="auto" w:fill="auto"/>
            <w:vAlign w:val="center"/>
          </w:tcPr>
          <w:p w14:paraId="323D1FD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852</w:t>
            </w:r>
          </w:p>
        </w:tc>
        <w:tc>
          <w:tcPr>
            <w:tcW w:w="466" w:type="pct"/>
            <w:shd w:val="clear" w:color="auto" w:fill="auto"/>
            <w:vAlign w:val="center"/>
          </w:tcPr>
          <w:p w14:paraId="401E4B6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农业灌溉</w:t>
            </w:r>
          </w:p>
        </w:tc>
        <w:tc>
          <w:tcPr>
            <w:tcW w:w="386" w:type="pct"/>
            <w:shd w:val="clear" w:color="auto" w:fill="auto"/>
            <w:vAlign w:val="center"/>
          </w:tcPr>
          <w:p w14:paraId="3F74142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2.13</w:t>
            </w:r>
          </w:p>
        </w:tc>
      </w:tr>
      <w:tr w14:paraId="26E8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4" w:type="pct"/>
            <w:shd w:val="clear" w:color="auto" w:fill="auto"/>
            <w:vAlign w:val="center"/>
          </w:tcPr>
          <w:p w14:paraId="1EB0954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391" w:type="pct"/>
            <w:shd w:val="clear" w:color="auto" w:fill="auto"/>
            <w:vAlign w:val="center"/>
          </w:tcPr>
          <w:p w14:paraId="458270C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小石山水库</w:t>
            </w:r>
          </w:p>
        </w:tc>
        <w:tc>
          <w:tcPr>
            <w:tcW w:w="357" w:type="pct"/>
            <w:shd w:val="clear" w:color="auto" w:fill="auto"/>
            <w:vAlign w:val="center"/>
          </w:tcPr>
          <w:p w14:paraId="0D71BB1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子午河</w:t>
            </w:r>
          </w:p>
        </w:tc>
        <w:tc>
          <w:tcPr>
            <w:tcW w:w="319" w:type="pct"/>
            <w:shd w:val="clear" w:color="auto" w:fill="auto"/>
            <w:vAlign w:val="center"/>
          </w:tcPr>
          <w:p w14:paraId="03A5CC2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8.1</w:t>
            </w:r>
          </w:p>
        </w:tc>
        <w:tc>
          <w:tcPr>
            <w:tcW w:w="357" w:type="pct"/>
            <w:shd w:val="clear" w:color="auto" w:fill="auto"/>
            <w:vAlign w:val="center"/>
          </w:tcPr>
          <w:p w14:paraId="1586EFC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364</w:t>
            </w:r>
          </w:p>
        </w:tc>
        <w:tc>
          <w:tcPr>
            <w:tcW w:w="268" w:type="pct"/>
            <w:shd w:val="clear" w:color="auto" w:fill="auto"/>
            <w:vAlign w:val="center"/>
          </w:tcPr>
          <w:p w14:paraId="0E73A8A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1958</w:t>
            </w:r>
          </w:p>
        </w:tc>
        <w:tc>
          <w:tcPr>
            <w:tcW w:w="309" w:type="pct"/>
            <w:shd w:val="clear" w:color="auto" w:fill="auto"/>
            <w:vAlign w:val="center"/>
          </w:tcPr>
          <w:p w14:paraId="68AAB9E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20EAF0B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1868.3</w:t>
            </w:r>
          </w:p>
        </w:tc>
        <w:tc>
          <w:tcPr>
            <w:tcW w:w="407" w:type="pct"/>
            <w:shd w:val="clear" w:color="auto" w:fill="auto"/>
            <w:vAlign w:val="center"/>
          </w:tcPr>
          <w:p w14:paraId="3A0CC24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320</w:t>
            </w:r>
          </w:p>
        </w:tc>
        <w:tc>
          <w:tcPr>
            <w:tcW w:w="399" w:type="pct"/>
            <w:shd w:val="clear" w:color="auto" w:fill="auto"/>
            <w:vAlign w:val="center"/>
          </w:tcPr>
          <w:p w14:paraId="043509D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240</w:t>
            </w:r>
          </w:p>
        </w:tc>
        <w:tc>
          <w:tcPr>
            <w:tcW w:w="346" w:type="pct"/>
            <w:shd w:val="clear" w:color="auto" w:fill="auto"/>
            <w:vAlign w:val="center"/>
          </w:tcPr>
          <w:p w14:paraId="4A4D2A2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0.37</w:t>
            </w:r>
          </w:p>
        </w:tc>
        <w:tc>
          <w:tcPr>
            <w:tcW w:w="280" w:type="pct"/>
            <w:shd w:val="clear" w:color="auto" w:fill="auto"/>
            <w:vAlign w:val="center"/>
          </w:tcPr>
          <w:p w14:paraId="63340B0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220</w:t>
            </w:r>
          </w:p>
        </w:tc>
        <w:tc>
          <w:tcPr>
            <w:tcW w:w="466" w:type="pct"/>
            <w:shd w:val="clear" w:color="auto" w:fill="auto"/>
            <w:vAlign w:val="center"/>
          </w:tcPr>
          <w:p w14:paraId="1F16D4E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农业灌溉</w:t>
            </w:r>
          </w:p>
        </w:tc>
        <w:tc>
          <w:tcPr>
            <w:tcW w:w="386" w:type="pct"/>
            <w:shd w:val="clear" w:color="auto" w:fill="auto"/>
            <w:vAlign w:val="center"/>
          </w:tcPr>
          <w:p w14:paraId="1EE9714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0.15</w:t>
            </w:r>
          </w:p>
        </w:tc>
      </w:tr>
      <w:tr w14:paraId="0F3DF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344" w:type="pct"/>
            <w:shd w:val="clear" w:color="auto" w:fill="auto"/>
            <w:vAlign w:val="center"/>
          </w:tcPr>
          <w:p w14:paraId="6886C5C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391" w:type="pct"/>
            <w:shd w:val="clear" w:color="auto" w:fill="auto"/>
            <w:vAlign w:val="center"/>
          </w:tcPr>
          <w:p w14:paraId="15A5340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小募舍水库</w:t>
            </w:r>
          </w:p>
        </w:tc>
        <w:tc>
          <w:tcPr>
            <w:tcW w:w="357" w:type="pct"/>
            <w:shd w:val="clear" w:color="auto" w:fill="auto"/>
            <w:vAlign w:val="center"/>
          </w:tcPr>
          <w:p w14:paraId="27213EE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319" w:type="pct"/>
            <w:shd w:val="clear" w:color="auto" w:fill="auto"/>
            <w:vAlign w:val="center"/>
          </w:tcPr>
          <w:p w14:paraId="356B33D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11</w:t>
            </w:r>
          </w:p>
        </w:tc>
        <w:tc>
          <w:tcPr>
            <w:tcW w:w="357" w:type="pct"/>
            <w:shd w:val="clear" w:color="auto" w:fill="auto"/>
            <w:vAlign w:val="center"/>
          </w:tcPr>
          <w:p w14:paraId="58AE362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770</w:t>
            </w:r>
          </w:p>
        </w:tc>
        <w:tc>
          <w:tcPr>
            <w:tcW w:w="268" w:type="pct"/>
            <w:shd w:val="clear" w:color="auto" w:fill="auto"/>
            <w:vAlign w:val="center"/>
          </w:tcPr>
          <w:p w14:paraId="2DA1581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1960</w:t>
            </w:r>
          </w:p>
        </w:tc>
        <w:tc>
          <w:tcPr>
            <w:tcW w:w="309" w:type="pct"/>
            <w:shd w:val="clear" w:color="auto" w:fill="auto"/>
            <w:vAlign w:val="center"/>
          </w:tcPr>
          <w:p w14:paraId="3010B94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5879926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1476.13</w:t>
            </w:r>
          </w:p>
        </w:tc>
        <w:tc>
          <w:tcPr>
            <w:tcW w:w="407" w:type="pct"/>
            <w:shd w:val="clear" w:color="auto" w:fill="auto"/>
            <w:vAlign w:val="center"/>
          </w:tcPr>
          <w:p w14:paraId="692B263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235.94</w:t>
            </w:r>
          </w:p>
        </w:tc>
        <w:tc>
          <w:tcPr>
            <w:tcW w:w="399" w:type="pct"/>
            <w:shd w:val="clear" w:color="auto" w:fill="auto"/>
            <w:vAlign w:val="center"/>
          </w:tcPr>
          <w:p w14:paraId="6E8E752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223</w:t>
            </w:r>
          </w:p>
        </w:tc>
        <w:tc>
          <w:tcPr>
            <w:tcW w:w="346" w:type="pct"/>
            <w:shd w:val="clear" w:color="auto" w:fill="auto"/>
            <w:vAlign w:val="center"/>
          </w:tcPr>
          <w:p w14:paraId="17DBB0D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0.09</w:t>
            </w:r>
          </w:p>
        </w:tc>
        <w:tc>
          <w:tcPr>
            <w:tcW w:w="280" w:type="pct"/>
            <w:shd w:val="clear" w:color="auto" w:fill="auto"/>
            <w:vAlign w:val="center"/>
          </w:tcPr>
          <w:p w14:paraId="76414A0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300</w:t>
            </w:r>
          </w:p>
        </w:tc>
        <w:tc>
          <w:tcPr>
            <w:tcW w:w="466" w:type="pct"/>
            <w:shd w:val="clear" w:color="auto" w:fill="auto"/>
            <w:vAlign w:val="center"/>
          </w:tcPr>
          <w:p w14:paraId="02B9E5F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城乡生活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农业灌溉</w:t>
            </w:r>
          </w:p>
        </w:tc>
        <w:tc>
          <w:tcPr>
            <w:tcW w:w="386" w:type="pct"/>
            <w:shd w:val="clear" w:color="auto" w:fill="auto"/>
            <w:vAlign w:val="center"/>
          </w:tcPr>
          <w:p w14:paraId="52989A9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0.34</w:t>
            </w:r>
          </w:p>
        </w:tc>
      </w:tr>
      <w:tr w14:paraId="7760D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4" w:type="pct"/>
            <w:shd w:val="clear" w:color="auto" w:fill="auto"/>
            <w:vAlign w:val="center"/>
          </w:tcPr>
          <w:p w14:paraId="4238810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391" w:type="pct"/>
            <w:shd w:val="clear" w:color="auto" w:fill="auto"/>
            <w:vAlign w:val="center"/>
          </w:tcPr>
          <w:p w14:paraId="57BD305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奴革水库</w:t>
            </w:r>
          </w:p>
        </w:tc>
        <w:tc>
          <w:tcPr>
            <w:tcW w:w="357" w:type="pct"/>
            <w:shd w:val="clear" w:color="auto" w:fill="auto"/>
            <w:vAlign w:val="center"/>
          </w:tcPr>
          <w:p w14:paraId="493558F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319" w:type="pct"/>
            <w:shd w:val="clear" w:color="auto" w:fill="auto"/>
            <w:vAlign w:val="center"/>
          </w:tcPr>
          <w:p w14:paraId="101D748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3.6</w:t>
            </w:r>
          </w:p>
        </w:tc>
        <w:tc>
          <w:tcPr>
            <w:tcW w:w="357" w:type="pct"/>
            <w:shd w:val="clear" w:color="auto" w:fill="auto"/>
            <w:vAlign w:val="center"/>
          </w:tcPr>
          <w:p w14:paraId="0C6124C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197.8</w:t>
            </w:r>
          </w:p>
        </w:tc>
        <w:tc>
          <w:tcPr>
            <w:tcW w:w="268" w:type="pct"/>
            <w:shd w:val="clear" w:color="auto" w:fill="auto"/>
            <w:vAlign w:val="center"/>
          </w:tcPr>
          <w:p w14:paraId="02B4F24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1958</w:t>
            </w:r>
          </w:p>
        </w:tc>
        <w:tc>
          <w:tcPr>
            <w:tcW w:w="309" w:type="pct"/>
            <w:shd w:val="clear" w:color="auto" w:fill="auto"/>
            <w:vAlign w:val="center"/>
          </w:tcPr>
          <w:p w14:paraId="56014F1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4E62967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2090.94</w:t>
            </w:r>
          </w:p>
        </w:tc>
        <w:tc>
          <w:tcPr>
            <w:tcW w:w="407" w:type="pct"/>
            <w:shd w:val="clear" w:color="auto" w:fill="auto"/>
            <w:vAlign w:val="center"/>
          </w:tcPr>
          <w:p w14:paraId="3A43092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197.24</w:t>
            </w:r>
          </w:p>
        </w:tc>
        <w:tc>
          <w:tcPr>
            <w:tcW w:w="399" w:type="pct"/>
            <w:shd w:val="clear" w:color="auto" w:fill="auto"/>
            <w:vAlign w:val="center"/>
          </w:tcPr>
          <w:p w14:paraId="459FDEC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146.2</w:t>
            </w:r>
          </w:p>
        </w:tc>
        <w:tc>
          <w:tcPr>
            <w:tcW w:w="346" w:type="pct"/>
            <w:shd w:val="clear" w:color="auto" w:fill="auto"/>
            <w:vAlign w:val="center"/>
          </w:tcPr>
          <w:p w14:paraId="4144191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0.12</w:t>
            </w:r>
          </w:p>
        </w:tc>
        <w:tc>
          <w:tcPr>
            <w:tcW w:w="280" w:type="pct"/>
            <w:shd w:val="clear" w:color="auto" w:fill="auto"/>
            <w:vAlign w:val="center"/>
          </w:tcPr>
          <w:p w14:paraId="2D28FB2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150</w:t>
            </w:r>
          </w:p>
        </w:tc>
        <w:tc>
          <w:tcPr>
            <w:tcW w:w="466" w:type="pct"/>
            <w:shd w:val="clear" w:color="auto" w:fill="auto"/>
            <w:vAlign w:val="center"/>
          </w:tcPr>
          <w:p w14:paraId="7064851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城乡生活</w:t>
            </w:r>
          </w:p>
        </w:tc>
        <w:tc>
          <w:tcPr>
            <w:tcW w:w="386" w:type="pct"/>
            <w:shd w:val="clear" w:color="auto" w:fill="auto"/>
            <w:vAlign w:val="center"/>
          </w:tcPr>
          <w:p w14:paraId="2D87E1B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r>
      <w:tr w14:paraId="1C8C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4" w:type="pct"/>
            <w:shd w:val="clear" w:color="auto" w:fill="auto"/>
            <w:vAlign w:val="center"/>
          </w:tcPr>
          <w:p w14:paraId="0ADA3FC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391" w:type="pct"/>
            <w:shd w:val="clear" w:color="auto" w:fill="auto"/>
            <w:vAlign w:val="center"/>
          </w:tcPr>
          <w:p w14:paraId="21746C8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大堵水库</w:t>
            </w:r>
          </w:p>
        </w:tc>
        <w:tc>
          <w:tcPr>
            <w:tcW w:w="357" w:type="pct"/>
            <w:shd w:val="clear" w:color="auto" w:fill="auto"/>
            <w:vAlign w:val="center"/>
          </w:tcPr>
          <w:p w14:paraId="3F672E5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子午河</w:t>
            </w:r>
          </w:p>
        </w:tc>
        <w:tc>
          <w:tcPr>
            <w:tcW w:w="319" w:type="pct"/>
            <w:shd w:val="clear" w:color="auto" w:fill="auto"/>
            <w:vAlign w:val="center"/>
          </w:tcPr>
          <w:p w14:paraId="7FEF29B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3.2</w:t>
            </w:r>
          </w:p>
        </w:tc>
        <w:tc>
          <w:tcPr>
            <w:tcW w:w="357" w:type="pct"/>
            <w:shd w:val="clear" w:color="auto" w:fill="auto"/>
            <w:vAlign w:val="center"/>
          </w:tcPr>
          <w:p w14:paraId="3C034F0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172</w:t>
            </w:r>
          </w:p>
        </w:tc>
        <w:tc>
          <w:tcPr>
            <w:tcW w:w="268" w:type="pct"/>
            <w:shd w:val="clear" w:color="auto" w:fill="auto"/>
            <w:vAlign w:val="center"/>
          </w:tcPr>
          <w:p w14:paraId="610B212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1974</w:t>
            </w:r>
          </w:p>
        </w:tc>
        <w:tc>
          <w:tcPr>
            <w:tcW w:w="309" w:type="pct"/>
            <w:shd w:val="clear" w:color="auto" w:fill="auto"/>
            <w:vAlign w:val="center"/>
          </w:tcPr>
          <w:p w14:paraId="452D3F2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0531A66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1847</w:t>
            </w:r>
          </w:p>
        </w:tc>
        <w:tc>
          <w:tcPr>
            <w:tcW w:w="407" w:type="pct"/>
            <w:shd w:val="clear" w:color="auto" w:fill="auto"/>
            <w:vAlign w:val="center"/>
          </w:tcPr>
          <w:p w14:paraId="6EDB320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160</w:t>
            </w:r>
          </w:p>
        </w:tc>
        <w:tc>
          <w:tcPr>
            <w:tcW w:w="399" w:type="pct"/>
            <w:shd w:val="clear" w:color="auto" w:fill="auto"/>
            <w:vAlign w:val="center"/>
          </w:tcPr>
          <w:p w14:paraId="09E11A2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132</w:t>
            </w:r>
          </w:p>
        </w:tc>
        <w:tc>
          <w:tcPr>
            <w:tcW w:w="346" w:type="pct"/>
            <w:shd w:val="clear" w:color="auto" w:fill="auto"/>
            <w:vAlign w:val="center"/>
          </w:tcPr>
          <w:p w14:paraId="0D8D7B6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0.19</w:t>
            </w:r>
          </w:p>
        </w:tc>
        <w:tc>
          <w:tcPr>
            <w:tcW w:w="280" w:type="pct"/>
            <w:shd w:val="clear" w:color="auto" w:fill="auto"/>
            <w:vAlign w:val="center"/>
          </w:tcPr>
          <w:p w14:paraId="715AE99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80</w:t>
            </w:r>
          </w:p>
        </w:tc>
        <w:tc>
          <w:tcPr>
            <w:tcW w:w="466" w:type="pct"/>
            <w:shd w:val="clear" w:color="auto" w:fill="auto"/>
            <w:vAlign w:val="center"/>
          </w:tcPr>
          <w:p w14:paraId="51864AE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农业灌溉</w:t>
            </w:r>
          </w:p>
        </w:tc>
        <w:tc>
          <w:tcPr>
            <w:tcW w:w="386" w:type="pct"/>
            <w:shd w:val="clear" w:color="auto" w:fill="auto"/>
            <w:vAlign w:val="center"/>
          </w:tcPr>
          <w:p w14:paraId="72E3E8F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0.2</w:t>
            </w:r>
          </w:p>
        </w:tc>
      </w:tr>
      <w:tr w14:paraId="6C87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344" w:type="pct"/>
            <w:shd w:val="clear" w:color="auto" w:fill="auto"/>
            <w:vAlign w:val="center"/>
          </w:tcPr>
          <w:p w14:paraId="0371BC9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391" w:type="pct"/>
            <w:shd w:val="clear" w:color="auto" w:fill="auto"/>
            <w:vAlign w:val="center"/>
          </w:tcPr>
          <w:p w14:paraId="1931095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小黑河水库</w:t>
            </w:r>
          </w:p>
        </w:tc>
        <w:tc>
          <w:tcPr>
            <w:tcW w:w="357" w:type="pct"/>
            <w:shd w:val="clear" w:color="auto" w:fill="auto"/>
            <w:vAlign w:val="center"/>
          </w:tcPr>
          <w:p w14:paraId="7028449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子午河</w:t>
            </w:r>
          </w:p>
        </w:tc>
        <w:tc>
          <w:tcPr>
            <w:tcW w:w="319" w:type="pct"/>
            <w:shd w:val="clear" w:color="auto" w:fill="auto"/>
            <w:vAlign w:val="center"/>
          </w:tcPr>
          <w:p w14:paraId="7103E78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21.1</w:t>
            </w:r>
          </w:p>
        </w:tc>
        <w:tc>
          <w:tcPr>
            <w:tcW w:w="357" w:type="pct"/>
            <w:shd w:val="clear" w:color="auto" w:fill="auto"/>
            <w:vAlign w:val="center"/>
          </w:tcPr>
          <w:p w14:paraId="063969A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949.5</w:t>
            </w:r>
          </w:p>
        </w:tc>
        <w:tc>
          <w:tcPr>
            <w:tcW w:w="268" w:type="pct"/>
            <w:shd w:val="clear" w:color="auto" w:fill="auto"/>
            <w:vAlign w:val="center"/>
          </w:tcPr>
          <w:p w14:paraId="6319672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1955</w:t>
            </w:r>
          </w:p>
        </w:tc>
        <w:tc>
          <w:tcPr>
            <w:tcW w:w="309" w:type="pct"/>
            <w:shd w:val="clear" w:color="auto" w:fill="auto"/>
            <w:vAlign w:val="center"/>
          </w:tcPr>
          <w:p w14:paraId="3D8BFC9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03B320E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1840</w:t>
            </w:r>
          </w:p>
        </w:tc>
        <w:tc>
          <w:tcPr>
            <w:tcW w:w="407" w:type="pct"/>
            <w:shd w:val="clear" w:color="auto" w:fill="auto"/>
            <w:vAlign w:val="center"/>
          </w:tcPr>
          <w:p w14:paraId="76F2D81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160</w:t>
            </w:r>
          </w:p>
        </w:tc>
        <w:tc>
          <w:tcPr>
            <w:tcW w:w="399" w:type="pct"/>
            <w:shd w:val="clear" w:color="auto" w:fill="auto"/>
            <w:vAlign w:val="center"/>
          </w:tcPr>
          <w:p w14:paraId="5F38EDE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123.44</w:t>
            </w:r>
          </w:p>
        </w:tc>
        <w:tc>
          <w:tcPr>
            <w:tcW w:w="346" w:type="pct"/>
            <w:shd w:val="clear" w:color="auto" w:fill="auto"/>
            <w:vAlign w:val="center"/>
          </w:tcPr>
          <w:p w14:paraId="0DA9766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0.47</w:t>
            </w:r>
          </w:p>
        </w:tc>
        <w:tc>
          <w:tcPr>
            <w:tcW w:w="280" w:type="pct"/>
            <w:shd w:val="clear" w:color="auto" w:fill="auto"/>
            <w:vAlign w:val="center"/>
          </w:tcPr>
          <w:p w14:paraId="4143C7C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160</w:t>
            </w:r>
          </w:p>
        </w:tc>
        <w:tc>
          <w:tcPr>
            <w:tcW w:w="466" w:type="pct"/>
            <w:shd w:val="clear" w:color="auto" w:fill="auto"/>
            <w:vAlign w:val="center"/>
          </w:tcPr>
          <w:p w14:paraId="188DCB4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农业灌溉</w:t>
            </w:r>
          </w:p>
        </w:tc>
        <w:tc>
          <w:tcPr>
            <w:tcW w:w="386" w:type="pct"/>
            <w:shd w:val="clear" w:color="auto" w:fill="auto"/>
            <w:vAlign w:val="center"/>
          </w:tcPr>
          <w:p w14:paraId="0DE492B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0.3</w:t>
            </w:r>
          </w:p>
        </w:tc>
      </w:tr>
      <w:tr w14:paraId="5C30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344" w:type="pct"/>
            <w:shd w:val="clear" w:color="auto" w:fill="auto"/>
            <w:vAlign w:val="center"/>
          </w:tcPr>
          <w:p w14:paraId="306FE2D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391" w:type="pct"/>
            <w:shd w:val="clear" w:color="auto" w:fill="auto"/>
            <w:vAlign w:val="center"/>
          </w:tcPr>
          <w:p w14:paraId="6A791C9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色从水库</w:t>
            </w:r>
          </w:p>
        </w:tc>
        <w:tc>
          <w:tcPr>
            <w:tcW w:w="357" w:type="pct"/>
            <w:shd w:val="clear" w:color="auto" w:fill="auto"/>
            <w:vAlign w:val="center"/>
          </w:tcPr>
          <w:p w14:paraId="1CFFE9F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子午河</w:t>
            </w:r>
          </w:p>
        </w:tc>
        <w:tc>
          <w:tcPr>
            <w:tcW w:w="319" w:type="pct"/>
            <w:shd w:val="clear" w:color="auto" w:fill="auto"/>
            <w:vAlign w:val="center"/>
          </w:tcPr>
          <w:p w14:paraId="069751E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4.3</w:t>
            </w:r>
          </w:p>
        </w:tc>
        <w:tc>
          <w:tcPr>
            <w:tcW w:w="357" w:type="pct"/>
            <w:shd w:val="clear" w:color="auto" w:fill="auto"/>
            <w:vAlign w:val="center"/>
          </w:tcPr>
          <w:p w14:paraId="235FFBC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193.5</w:t>
            </w:r>
          </w:p>
        </w:tc>
        <w:tc>
          <w:tcPr>
            <w:tcW w:w="268" w:type="pct"/>
            <w:shd w:val="clear" w:color="auto" w:fill="auto"/>
            <w:vAlign w:val="center"/>
          </w:tcPr>
          <w:p w14:paraId="52710BF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1958</w:t>
            </w:r>
          </w:p>
        </w:tc>
        <w:tc>
          <w:tcPr>
            <w:tcW w:w="309" w:type="pct"/>
            <w:shd w:val="clear" w:color="auto" w:fill="auto"/>
            <w:vAlign w:val="center"/>
          </w:tcPr>
          <w:p w14:paraId="077EDC5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1C42FCF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1883.71</w:t>
            </w:r>
          </w:p>
        </w:tc>
        <w:tc>
          <w:tcPr>
            <w:tcW w:w="407" w:type="pct"/>
            <w:shd w:val="clear" w:color="auto" w:fill="auto"/>
            <w:vAlign w:val="center"/>
          </w:tcPr>
          <w:p w14:paraId="432CB1B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160</w:t>
            </w:r>
          </w:p>
        </w:tc>
        <w:tc>
          <w:tcPr>
            <w:tcW w:w="399" w:type="pct"/>
            <w:shd w:val="clear" w:color="auto" w:fill="auto"/>
            <w:vAlign w:val="center"/>
          </w:tcPr>
          <w:p w14:paraId="25B4270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144.6</w:t>
            </w:r>
          </w:p>
        </w:tc>
        <w:tc>
          <w:tcPr>
            <w:tcW w:w="346" w:type="pct"/>
            <w:shd w:val="clear" w:color="auto" w:fill="auto"/>
            <w:vAlign w:val="center"/>
          </w:tcPr>
          <w:p w14:paraId="4E0C2AD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0.44</w:t>
            </w:r>
          </w:p>
        </w:tc>
        <w:tc>
          <w:tcPr>
            <w:tcW w:w="280" w:type="pct"/>
            <w:shd w:val="clear" w:color="auto" w:fill="auto"/>
            <w:vAlign w:val="center"/>
          </w:tcPr>
          <w:p w14:paraId="4BF9593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140</w:t>
            </w:r>
          </w:p>
        </w:tc>
        <w:tc>
          <w:tcPr>
            <w:tcW w:w="466" w:type="pct"/>
            <w:shd w:val="clear" w:color="auto" w:fill="auto"/>
            <w:vAlign w:val="center"/>
          </w:tcPr>
          <w:p w14:paraId="0146E65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农业灌溉</w:t>
            </w:r>
          </w:p>
        </w:tc>
        <w:tc>
          <w:tcPr>
            <w:tcW w:w="386" w:type="pct"/>
            <w:shd w:val="clear" w:color="auto" w:fill="auto"/>
            <w:vAlign w:val="center"/>
          </w:tcPr>
          <w:p w14:paraId="58F4D2D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0.4</w:t>
            </w:r>
          </w:p>
        </w:tc>
      </w:tr>
      <w:tr w14:paraId="264F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344" w:type="pct"/>
            <w:shd w:val="clear" w:color="auto" w:fill="auto"/>
            <w:vAlign w:val="center"/>
          </w:tcPr>
          <w:p w14:paraId="1AA69C3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391" w:type="pct"/>
            <w:shd w:val="clear" w:color="auto" w:fill="auto"/>
            <w:vAlign w:val="center"/>
          </w:tcPr>
          <w:p w14:paraId="0584D83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幕补水库</w:t>
            </w:r>
          </w:p>
        </w:tc>
        <w:tc>
          <w:tcPr>
            <w:tcW w:w="357" w:type="pct"/>
            <w:shd w:val="clear" w:color="auto" w:fill="auto"/>
            <w:vAlign w:val="center"/>
          </w:tcPr>
          <w:p w14:paraId="58BD07F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319" w:type="pct"/>
            <w:shd w:val="clear" w:color="auto" w:fill="auto"/>
            <w:vAlign w:val="center"/>
          </w:tcPr>
          <w:p w14:paraId="23828DA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10.8</w:t>
            </w:r>
          </w:p>
        </w:tc>
        <w:tc>
          <w:tcPr>
            <w:tcW w:w="357" w:type="pct"/>
            <w:shd w:val="clear" w:color="auto" w:fill="auto"/>
            <w:vAlign w:val="center"/>
          </w:tcPr>
          <w:p w14:paraId="1CDCAC3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1019</w:t>
            </w:r>
          </w:p>
        </w:tc>
        <w:tc>
          <w:tcPr>
            <w:tcW w:w="268" w:type="pct"/>
            <w:shd w:val="clear" w:color="auto" w:fill="auto"/>
            <w:vAlign w:val="center"/>
          </w:tcPr>
          <w:p w14:paraId="5D7FCCB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1960</w:t>
            </w:r>
          </w:p>
        </w:tc>
        <w:tc>
          <w:tcPr>
            <w:tcW w:w="309" w:type="pct"/>
            <w:shd w:val="clear" w:color="auto" w:fill="auto"/>
            <w:vAlign w:val="center"/>
          </w:tcPr>
          <w:p w14:paraId="5DBECC2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年调节</w:t>
            </w:r>
          </w:p>
        </w:tc>
        <w:tc>
          <w:tcPr>
            <w:tcW w:w="364" w:type="pct"/>
            <w:shd w:val="clear" w:color="auto" w:fill="auto"/>
            <w:vAlign w:val="center"/>
          </w:tcPr>
          <w:p w14:paraId="2AA8BC7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1536</w:t>
            </w:r>
          </w:p>
        </w:tc>
        <w:tc>
          <w:tcPr>
            <w:tcW w:w="407" w:type="pct"/>
            <w:shd w:val="clear" w:color="auto" w:fill="auto"/>
            <w:vAlign w:val="center"/>
          </w:tcPr>
          <w:p w14:paraId="481076E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146.8</w:t>
            </w:r>
          </w:p>
        </w:tc>
        <w:tc>
          <w:tcPr>
            <w:tcW w:w="399" w:type="pct"/>
            <w:shd w:val="clear" w:color="auto" w:fill="auto"/>
            <w:vAlign w:val="center"/>
          </w:tcPr>
          <w:p w14:paraId="277C3EE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117.3</w:t>
            </w:r>
          </w:p>
        </w:tc>
        <w:tc>
          <w:tcPr>
            <w:tcW w:w="346" w:type="pct"/>
            <w:shd w:val="clear" w:color="auto" w:fill="auto"/>
            <w:vAlign w:val="center"/>
          </w:tcPr>
          <w:p w14:paraId="7C94835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0.03</w:t>
            </w:r>
          </w:p>
        </w:tc>
        <w:tc>
          <w:tcPr>
            <w:tcW w:w="280" w:type="pct"/>
            <w:shd w:val="clear" w:color="auto" w:fill="auto"/>
            <w:vAlign w:val="center"/>
          </w:tcPr>
          <w:p w14:paraId="39FEFC8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40</w:t>
            </w:r>
          </w:p>
        </w:tc>
        <w:tc>
          <w:tcPr>
            <w:tcW w:w="466" w:type="pct"/>
            <w:shd w:val="clear" w:color="auto" w:fill="auto"/>
            <w:vAlign w:val="center"/>
          </w:tcPr>
          <w:p w14:paraId="1794BCB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城乡生活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农业灌溉</w:t>
            </w:r>
          </w:p>
        </w:tc>
        <w:tc>
          <w:tcPr>
            <w:tcW w:w="386" w:type="pct"/>
            <w:shd w:val="clear" w:color="auto" w:fill="auto"/>
            <w:vAlign w:val="center"/>
          </w:tcPr>
          <w:p w14:paraId="499C623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0.5</w:t>
            </w:r>
          </w:p>
        </w:tc>
      </w:tr>
      <w:tr w14:paraId="3D53A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344" w:type="pct"/>
            <w:shd w:val="clear" w:color="auto" w:fill="auto"/>
            <w:vAlign w:val="center"/>
          </w:tcPr>
          <w:p w14:paraId="50F8C53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合计</w:t>
            </w:r>
          </w:p>
        </w:tc>
        <w:tc>
          <w:tcPr>
            <w:tcW w:w="391" w:type="pct"/>
            <w:shd w:val="clear" w:color="auto" w:fill="auto"/>
            <w:vAlign w:val="center"/>
          </w:tcPr>
          <w:p w14:paraId="46412A5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57" w:type="pct"/>
            <w:shd w:val="clear" w:color="auto" w:fill="auto"/>
            <w:vAlign w:val="center"/>
          </w:tcPr>
          <w:p w14:paraId="6AEFEA2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19" w:type="pct"/>
            <w:shd w:val="clear" w:color="auto" w:fill="auto"/>
            <w:vAlign w:val="center"/>
          </w:tcPr>
          <w:p w14:paraId="3461A1E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1428.2</w:t>
            </w:r>
          </w:p>
        </w:tc>
        <w:tc>
          <w:tcPr>
            <w:tcW w:w="357" w:type="pct"/>
            <w:shd w:val="clear" w:color="auto" w:fill="auto"/>
            <w:vAlign w:val="center"/>
          </w:tcPr>
          <w:p w14:paraId="7FA7912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28259.8</w:t>
            </w:r>
          </w:p>
        </w:tc>
        <w:tc>
          <w:tcPr>
            <w:tcW w:w="268" w:type="pct"/>
            <w:shd w:val="clear" w:color="auto" w:fill="auto"/>
            <w:vAlign w:val="center"/>
          </w:tcPr>
          <w:p w14:paraId="4FE9E05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09" w:type="pct"/>
            <w:shd w:val="clear" w:color="auto" w:fill="auto"/>
            <w:vAlign w:val="center"/>
          </w:tcPr>
          <w:p w14:paraId="319E23B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64" w:type="pct"/>
            <w:shd w:val="clear" w:color="auto" w:fill="auto"/>
            <w:vAlign w:val="center"/>
          </w:tcPr>
          <w:p w14:paraId="0907C97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407" w:type="pct"/>
            <w:shd w:val="clear" w:color="auto" w:fill="auto"/>
            <w:vAlign w:val="center"/>
          </w:tcPr>
          <w:p w14:paraId="2C0E923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27876.18</w:t>
            </w:r>
          </w:p>
        </w:tc>
        <w:tc>
          <w:tcPr>
            <w:tcW w:w="399" w:type="pct"/>
            <w:shd w:val="clear" w:color="auto" w:fill="auto"/>
            <w:vAlign w:val="center"/>
          </w:tcPr>
          <w:p w14:paraId="6F3EC98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23651.64</w:t>
            </w:r>
          </w:p>
        </w:tc>
        <w:tc>
          <w:tcPr>
            <w:tcW w:w="346" w:type="pct"/>
            <w:shd w:val="clear" w:color="auto" w:fill="auto"/>
            <w:vAlign w:val="center"/>
          </w:tcPr>
          <w:p w14:paraId="152DE02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13.23</w:t>
            </w:r>
          </w:p>
        </w:tc>
        <w:tc>
          <w:tcPr>
            <w:tcW w:w="280" w:type="pct"/>
            <w:shd w:val="clear" w:color="auto" w:fill="auto"/>
            <w:vAlign w:val="center"/>
          </w:tcPr>
          <w:p w14:paraId="7D6DC98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28439</w:t>
            </w:r>
          </w:p>
        </w:tc>
        <w:tc>
          <w:tcPr>
            <w:tcW w:w="466" w:type="pct"/>
            <w:shd w:val="clear" w:color="auto" w:fill="auto"/>
            <w:vAlign w:val="center"/>
          </w:tcPr>
          <w:p w14:paraId="0BEFDB8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w:t>
            </w:r>
          </w:p>
        </w:tc>
        <w:tc>
          <w:tcPr>
            <w:tcW w:w="386" w:type="pct"/>
            <w:shd w:val="clear" w:color="auto" w:fill="auto"/>
            <w:vAlign w:val="center"/>
          </w:tcPr>
          <w:p w14:paraId="5D9C49E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23.92</w:t>
            </w:r>
          </w:p>
        </w:tc>
      </w:tr>
    </w:tbl>
    <w:p w14:paraId="61B9DD99">
      <w:pPr>
        <w:ind w:firstLine="480"/>
        <w:rPr>
          <w:rFonts w:hint="default" w:ascii="Times New Roman" w:hAnsi="Times New Roman" w:cs="Times New Roman"/>
          <w:color w:val="auto"/>
          <w:highlight w:val="none"/>
        </w:rPr>
      </w:pPr>
    </w:p>
    <w:p w14:paraId="504E6675">
      <w:pPr>
        <w:ind w:firstLine="480"/>
        <w:rPr>
          <w:rFonts w:hint="default" w:ascii="Times New Roman" w:hAnsi="Times New Roman" w:cs="Times New Roman"/>
          <w:color w:val="auto"/>
          <w:highlight w:val="none"/>
        </w:rPr>
        <w:sectPr>
          <w:pgSz w:w="16838" w:h="11906" w:orient="landscape"/>
          <w:pgMar w:top="1800" w:right="1440" w:bottom="1800" w:left="1440" w:header="851" w:footer="992" w:gutter="0"/>
          <w:pgNumType w:fmt="decimal"/>
          <w:cols w:space="425" w:num="1"/>
          <w:docGrid w:type="lines" w:linePitch="326" w:charSpace="0"/>
        </w:sectPr>
      </w:pPr>
    </w:p>
    <w:p w14:paraId="7E9B75A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（二）水电站</w:t>
      </w:r>
    </w:p>
    <w:p w14:paraId="5D6BA27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（1）子午河流域</w:t>
      </w:r>
    </w:p>
    <w:p w14:paraId="78B32DB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1）响水水电站：电站位于曲靖市师宗县竹基镇子午河干流，为引水式水电站，于1977年建成，装机容量1600.00kW，额定水头52.00m，共2台机组，多年平均发电量700.00万kW·h。</w:t>
      </w:r>
    </w:p>
    <w:p w14:paraId="1A428F6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2）七排水电站：电站位于曲靖市师宗县竹基镇子午河干流，为引水式水电站，于1978年建成，装机容量500.00kW，额定水头21.60m，共2台机组，多年平均发电量250.00万kW·h。</w:t>
      </w:r>
    </w:p>
    <w:p w14:paraId="743D97B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（2）九龙河流域</w:t>
      </w:r>
    </w:p>
    <w:p w14:paraId="686A0B7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1）冒水洞电站：电站位于罗平县阿岗镇九龙河干流，为引水式水电站，于1998年建成，装机容量22000.00kW，额定水头98.00m，共2台机组，多年平均发电量11000.00万kW·h。</w:t>
      </w:r>
    </w:p>
    <w:p w14:paraId="0D223A9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2）腊庄电站：电站位于罗平县九龙镇九龙河干流，为引水式水电站，于1991年建成，装机容量60000.00kW，额定水头168m，共3台机组，多年平均发电量22000万kW·h。</w:t>
      </w:r>
    </w:p>
    <w:p w14:paraId="3F9ACF7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3）大寨电站：电站位于罗平县九龙镇九龙河干流，为引水式水电站，于1977年建成，装机容量60000.00kW，额定水头178m，共6台机组，多年平均发电量18500万kW·h。</w:t>
      </w:r>
    </w:p>
    <w:p w14:paraId="59E1A0E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4）以德电站：电站位于罗平县九龙镇九龙河干流，为引水式水电站，于2006年建成，装机容量5000kW，额定水头43m，共2台机组，多年平均发电量800万kW·h。</w:t>
      </w:r>
    </w:p>
    <w:p w14:paraId="067737F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5）九龙河电站：电站位于罗平县九龙镇九龙河干流，为引水式水电站，装机容量4800kW。</w:t>
      </w:r>
    </w:p>
    <w:p w14:paraId="5052059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6）花滩电站：电站位于罗平县九龙镇九龙河干流，为闸坝式水电站，于2006年建成，装机容量6400kW，额定水头14.5m，共4台机组，多年平均发电量2300万kW·h。</w:t>
      </w:r>
    </w:p>
    <w:p w14:paraId="31F0B16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水电站情况见表</w:t>
      </w:r>
      <w:r>
        <w:rPr>
          <w:rFonts w:hint="default" w:ascii="Times New Roman" w:hAnsi="Times New Roman" w:cs="Times New Roman"/>
          <w:color w:val="auto"/>
          <w:highlight w:val="none"/>
          <w:lang w:val="en-US" w:eastAsia="zh-CN"/>
        </w:rPr>
        <w:t>3.7.3-2</w:t>
      </w:r>
      <w:r>
        <w:rPr>
          <w:rFonts w:hint="default" w:ascii="Times New Roman" w:hAnsi="Times New Roman" w:cs="Times New Roman"/>
          <w:color w:val="auto"/>
          <w:highlight w:val="none"/>
        </w:rPr>
        <w:t>。</w:t>
      </w:r>
    </w:p>
    <w:p w14:paraId="5ACD259D">
      <w:pPr>
        <w:ind w:firstLine="480"/>
        <w:rPr>
          <w:rFonts w:hint="default" w:ascii="Times New Roman" w:hAnsi="Times New Roman" w:cs="Times New Roman"/>
          <w:color w:val="auto"/>
          <w:highlight w:val="none"/>
        </w:rPr>
      </w:pPr>
    </w:p>
    <w:p w14:paraId="2EE2A346">
      <w:pPr>
        <w:ind w:firstLine="480"/>
        <w:rPr>
          <w:rFonts w:hint="default" w:ascii="Times New Roman" w:hAnsi="Times New Roman" w:cs="Times New Roman"/>
          <w:color w:val="auto"/>
          <w:highlight w:val="none"/>
        </w:rPr>
      </w:pPr>
    </w:p>
    <w:p w14:paraId="6A0CD126">
      <w:pPr>
        <w:ind w:firstLine="480"/>
        <w:rPr>
          <w:rFonts w:hint="default" w:ascii="Times New Roman" w:hAnsi="Times New Roman" w:cs="Times New Roman"/>
          <w:color w:val="auto"/>
          <w:highlight w:val="none"/>
        </w:rPr>
      </w:pPr>
    </w:p>
    <w:p w14:paraId="70E7BF74">
      <w:pPr>
        <w:pStyle w:val="29"/>
        <w:bidi w:val="0"/>
        <w:rPr>
          <w:rFonts w:hint="default" w:ascii="Times New Roman" w:hAnsi="Times New Roman" w:cs="Times New Roman"/>
          <w:color w:val="auto"/>
        </w:rPr>
      </w:pPr>
      <w:bookmarkStart w:id="94" w:name="_Ref406769007"/>
      <w:r>
        <w:rPr>
          <w:rFonts w:hint="default" w:ascii="Times New Roman" w:hAnsi="Times New Roman" w:cs="Times New Roman"/>
          <w:color w:val="auto"/>
        </w:rPr>
        <w:t>表</w:t>
      </w:r>
      <w:bookmarkEnd w:id="94"/>
      <w:r>
        <w:rPr>
          <w:rFonts w:hint="default" w:ascii="Times New Roman" w:hAnsi="Times New Roman" w:cs="Times New Roman"/>
          <w:color w:val="auto"/>
          <w:lang w:val="en-US" w:eastAsia="zh-CN"/>
        </w:rPr>
        <w:t>3.7.3-</w:t>
      </w:r>
      <w:r>
        <w:rPr>
          <w:rFonts w:hint="default" w:ascii="Times New Roman" w:hAnsi="Times New Roman" w:cs="Times New Roman"/>
          <w:color w:val="auto"/>
        </w:rPr>
        <w:t xml:space="preserve">2  </w:t>
      </w:r>
      <w:r>
        <w:rPr>
          <w:rFonts w:hint="default" w:ascii="Times New Roman" w:hAnsi="Times New Roman" w:cs="Times New Roman"/>
          <w:color w:val="auto"/>
          <w:lang w:eastAsia="zh-CN"/>
        </w:rPr>
        <w:t>水力发电</w:t>
      </w:r>
      <w:r>
        <w:rPr>
          <w:rFonts w:hint="default" w:ascii="Times New Roman" w:hAnsi="Times New Roman" w:cs="Times New Roman"/>
          <w:color w:val="auto"/>
        </w:rPr>
        <w:t>工程统计</w:t>
      </w:r>
    </w:p>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790"/>
        <w:gridCol w:w="689"/>
        <w:gridCol w:w="1160"/>
        <w:gridCol w:w="582"/>
        <w:gridCol w:w="903"/>
        <w:gridCol w:w="1321"/>
        <w:gridCol w:w="883"/>
        <w:gridCol w:w="755"/>
        <w:gridCol w:w="1228"/>
      </w:tblGrid>
      <w:tr w14:paraId="61A0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2" w:hRule="atLeast"/>
          <w:jc w:val="center"/>
        </w:trPr>
        <w:tc>
          <w:tcPr>
            <w:tcW w:w="475" w:type="pct"/>
            <w:vAlign w:val="center"/>
          </w:tcPr>
          <w:p w14:paraId="25BA7F7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行政区</w:t>
            </w:r>
          </w:p>
        </w:tc>
        <w:tc>
          <w:tcPr>
            <w:tcW w:w="414" w:type="pct"/>
            <w:vAlign w:val="center"/>
          </w:tcPr>
          <w:p w14:paraId="4F3954A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乡（镇）</w:t>
            </w:r>
          </w:p>
        </w:tc>
        <w:tc>
          <w:tcPr>
            <w:tcW w:w="697" w:type="pct"/>
            <w:vAlign w:val="center"/>
          </w:tcPr>
          <w:p w14:paraId="4B24839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水电站名称</w:t>
            </w:r>
          </w:p>
        </w:tc>
        <w:tc>
          <w:tcPr>
            <w:tcW w:w="350" w:type="pct"/>
          </w:tcPr>
          <w:p w14:paraId="521A1A4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建成</w:t>
            </w:r>
          </w:p>
          <w:p w14:paraId="0C442E1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时间</w:t>
            </w:r>
          </w:p>
        </w:tc>
        <w:tc>
          <w:tcPr>
            <w:tcW w:w="543" w:type="pct"/>
            <w:vAlign w:val="center"/>
          </w:tcPr>
          <w:p w14:paraId="687ED06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所在河流名称</w:t>
            </w:r>
          </w:p>
        </w:tc>
        <w:tc>
          <w:tcPr>
            <w:tcW w:w="794" w:type="pct"/>
            <w:vAlign w:val="center"/>
          </w:tcPr>
          <w:p w14:paraId="1E1DBA2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水电站类型</w:t>
            </w:r>
          </w:p>
        </w:tc>
        <w:tc>
          <w:tcPr>
            <w:tcW w:w="531" w:type="pct"/>
            <w:vAlign w:val="center"/>
          </w:tcPr>
          <w:p w14:paraId="7725A5C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装机容量（kW）</w:t>
            </w:r>
          </w:p>
        </w:tc>
        <w:tc>
          <w:tcPr>
            <w:tcW w:w="454" w:type="pct"/>
            <w:vAlign w:val="center"/>
          </w:tcPr>
          <w:p w14:paraId="58C7AA6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额定水头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m</w:t>
            </w:r>
            <w:r>
              <w:rPr>
                <w:rFonts w:hint="default" w:ascii="Times New Roman" w:hAnsi="Times New Roman" w:cs="Times New Roman"/>
                <w:color w:val="auto"/>
                <w:highlight w:val="none"/>
                <w:lang w:eastAsia="zh-CN"/>
              </w:rPr>
              <w:t>）</w:t>
            </w:r>
          </w:p>
        </w:tc>
        <w:tc>
          <w:tcPr>
            <w:tcW w:w="738" w:type="pct"/>
            <w:vAlign w:val="center"/>
          </w:tcPr>
          <w:p w14:paraId="546BA39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多年平均发电量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万kW·h</w:t>
            </w:r>
            <w:r>
              <w:rPr>
                <w:rFonts w:hint="default" w:ascii="Times New Roman" w:hAnsi="Times New Roman" w:cs="Times New Roman"/>
                <w:color w:val="auto"/>
                <w:highlight w:val="none"/>
                <w:lang w:eastAsia="zh-CN"/>
              </w:rPr>
              <w:t>）</w:t>
            </w:r>
          </w:p>
        </w:tc>
      </w:tr>
      <w:tr w14:paraId="1EEC7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2" w:hRule="atLeast"/>
          <w:jc w:val="center"/>
        </w:trPr>
        <w:tc>
          <w:tcPr>
            <w:tcW w:w="475" w:type="pct"/>
            <w:vAlign w:val="bottom"/>
          </w:tcPr>
          <w:p w14:paraId="0A9A1C7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414" w:type="pct"/>
            <w:vAlign w:val="bottom"/>
          </w:tcPr>
          <w:p w14:paraId="3824AC6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竹基镇</w:t>
            </w:r>
          </w:p>
        </w:tc>
        <w:tc>
          <w:tcPr>
            <w:tcW w:w="697" w:type="pct"/>
            <w:vAlign w:val="bottom"/>
          </w:tcPr>
          <w:p w14:paraId="01023C9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响水水电站</w:t>
            </w:r>
          </w:p>
        </w:tc>
        <w:tc>
          <w:tcPr>
            <w:tcW w:w="350" w:type="pct"/>
            <w:vAlign w:val="bottom"/>
          </w:tcPr>
          <w:p w14:paraId="30C65AA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1977</w:t>
            </w:r>
          </w:p>
        </w:tc>
        <w:tc>
          <w:tcPr>
            <w:tcW w:w="543" w:type="pct"/>
            <w:vAlign w:val="bottom"/>
          </w:tcPr>
          <w:p w14:paraId="125FC87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子午河</w:t>
            </w:r>
          </w:p>
        </w:tc>
        <w:tc>
          <w:tcPr>
            <w:tcW w:w="794" w:type="pct"/>
            <w:vAlign w:val="bottom"/>
          </w:tcPr>
          <w:p w14:paraId="73E922E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引水式水电站</w:t>
            </w:r>
          </w:p>
        </w:tc>
        <w:tc>
          <w:tcPr>
            <w:tcW w:w="531" w:type="pct"/>
            <w:vAlign w:val="bottom"/>
          </w:tcPr>
          <w:p w14:paraId="0BA9CBC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1600</w:t>
            </w:r>
          </w:p>
        </w:tc>
        <w:tc>
          <w:tcPr>
            <w:tcW w:w="454" w:type="pct"/>
            <w:vAlign w:val="bottom"/>
          </w:tcPr>
          <w:p w14:paraId="258784E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52.00</w:t>
            </w:r>
          </w:p>
        </w:tc>
        <w:tc>
          <w:tcPr>
            <w:tcW w:w="738" w:type="pct"/>
            <w:vAlign w:val="bottom"/>
          </w:tcPr>
          <w:p w14:paraId="7907C9D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700</w:t>
            </w:r>
          </w:p>
        </w:tc>
      </w:tr>
      <w:tr w14:paraId="18910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2" w:hRule="atLeast"/>
          <w:jc w:val="center"/>
        </w:trPr>
        <w:tc>
          <w:tcPr>
            <w:tcW w:w="475" w:type="pct"/>
            <w:vAlign w:val="bottom"/>
          </w:tcPr>
          <w:p w14:paraId="1B87BBC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414" w:type="pct"/>
            <w:vAlign w:val="bottom"/>
          </w:tcPr>
          <w:p w14:paraId="360FA48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竹基镇</w:t>
            </w:r>
          </w:p>
        </w:tc>
        <w:tc>
          <w:tcPr>
            <w:tcW w:w="697" w:type="pct"/>
            <w:vAlign w:val="bottom"/>
          </w:tcPr>
          <w:p w14:paraId="39CBB81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七排水电站</w:t>
            </w:r>
          </w:p>
        </w:tc>
        <w:tc>
          <w:tcPr>
            <w:tcW w:w="350" w:type="pct"/>
            <w:vAlign w:val="bottom"/>
          </w:tcPr>
          <w:p w14:paraId="4AD4D9F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1978</w:t>
            </w:r>
          </w:p>
        </w:tc>
        <w:tc>
          <w:tcPr>
            <w:tcW w:w="543" w:type="pct"/>
            <w:vAlign w:val="bottom"/>
          </w:tcPr>
          <w:p w14:paraId="0465777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子午河</w:t>
            </w:r>
          </w:p>
        </w:tc>
        <w:tc>
          <w:tcPr>
            <w:tcW w:w="794" w:type="pct"/>
            <w:vAlign w:val="bottom"/>
          </w:tcPr>
          <w:p w14:paraId="524548F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引水式水电站</w:t>
            </w:r>
          </w:p>
        </w:tc>
        <w:tc>
          <w:tcPr>
            <w:tcW w:w="531" w:type="pct"/>
            <w:vAlign w:val="bottom"/>
          </w:tcPr>
          <w:p w14:paraId="77BBD91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500.00</w:t>
            </w:r>
          </w:p>
        </w:tc>
        <w:tc>
          <w:tcPr>
            <w:tcW w:w="454" w:type="pct"/>
            <w:vAlign w:val="bottom"/>
          </w:tcPr>
          <w:p w14:paraId="03B90C0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21.60</w:t>
            </w:r>
          </w:p>
        </w:tc>
        <w:tc>
          <w:tcPr>
            <w:tcW w:w="738" w:type="pct"/>
            <w:vAlign w:val="bottom"/>
          </w:tcPr>
          <w:p w14:paraId="6CE64F2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250.00</w:t>
            </w:r>
          </w:p>
        </w:tc>
      </w:tr>
      <w:tr w14:paraId="0417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2" w:hRule="atLeast"/>
          <w:jc w:val="center"/>
        </w:trPr>
        <w:tc>
          <w:tcPr>
            <w:tcW w:w="475" w:type="pct"/>
            <w:vAlign w:val="bottom"/>
          </w:tcPr>
          <w:p w14:paraId="036BB14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414" w:type="pct"/>
            <w:vAlign w:val="bottom"/>
          </w:tcPr>
          <w:p w14:paraId="1E52053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竹基镇</w:t>
            </w:r>
          </w:p>
        </w:tc>
        <w:tc>
          <w:tcPr>
            <w:tcW w:w="697" w:type="pct"/>
            <w:vAlign w:val="bottom"/>
          </w:tcPr>
          <w:p w14:paraId="02DECC9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冒水洞水电站</w:t>
            </w:r>
          </w:p>
        </w:tc>
        <w:tc>
          <w:tcPr>
            <w:tcW w:w="350" w:type="pct"/>
            <w:vAlign w:val="bottom"/>
          </w:tcPr>
          <w:p w14:paraId="243F367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1998</w:t>
            </w:r>
          </w:p>
        </w:tc>
        <w:tc>
          <w:tcPr>
            <w:tcW w:w="543" w:type="pct"/>
            <w:vAlign w:val="bottom"/>
          </w:tcPr>
          <w:p w14:paraId="226FA41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794" w:type="pct"/>
            <w:vAlign w:val="bottom"/>
          </w:tcPr>
          <w:p w14:paraId="1960044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引水式水电站</w:t>
            </w:r>
          </w:p>
        </w:tc>
        <w:tc>
          <w:tcPr>
            <w:tcW w:w="531" w:type="pct"/>
            <w:vAlign w:val="bottom"/>
          </w:tcPr>
          <w:p w14:paraId="6376E60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22000</w:t>
            </w:r>
          </w:p>
        </w:tc>
        <w:tc>
          <w:tcPr>
            <w:tcW w:w="454" w:type="pct"/>
            <w:vAlign w:val="bottom"/>
          </w:tcPr>
          <w:p w14:paraId="27E768D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98</w:t>
            </w:r>
          </w:p>
        </w:tc>
        <w:tc>
          <w:tcPr>
            <w:tcW w:w="738" w:type="pct"/>
            <w:vAlign w:val="bottom"/>
          </w:tcPr>
          <w:p w14:paraId="0AC526F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11000</w:t>
            </w:r>
          </w:p>
        </w:tc>
      </w:tr>
      <w:tr w14:paraId="5A7EE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2" w:hRule="atLeast"/>
          <w:jc w:val="center"/>
        </w:trPr>
        <w:tc>
          <w:tcPr>
            <w:tcW w:w="475" w:type="pct"/>
            <w:vAlign w:val="bottom"/>
          </w:tcPr>
          <w:p w14:paraId="7902A59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414" w:type="pct"/>
            <w:vAlign w:val="bottom"/>
          </w:tcPr>
          <w:p w14:paraId="38C64E3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九龙镇</w:t>
            </w:r>
          </w:p>
        </w:tc>
        <w:tc>
          <w:tcPr>
            <w:tcW w:w="697" w:type="pct"/>
            <w:vAlign w:val="bottom"/>
          </w:tcPr>
          <w:p w14:paraId="281A2AD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腊庄电站</w:t>
            </w:r>
          </w:p>
        </w:tc>
        <w:tc>
          <w:tcPr>
            <w:tcW w:w="350" w:type="pct"/>
            <w:vAlign w:val="bottom"/>
          </w:tcPr>
          <w:p w14:paraId="0F04553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1991</w:t>
            </w:r>
          </w:p>
        </w:tc>
        <w:tc>
          <w:tcPr>
            <w:tcW w:w="543" w:type="pct"/>
            <w:vAlign w:val="bottom"/>
          </w:tcPr>
          <w:p w14:paraId="1BC5C1D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794" w:type="pct"/>
            <w:vAlign w:val="bottom"/>
          </w:tcPr>
          <w:p w14:paraId="51EEB1F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引水式水电站</w:t>
            </w:r>
          </w:p>
        </w:tc>
        <w:tc>
          <w:tcPr>
            <w:tcW w:w="531" w:type="pct"/>
            <w:vAlign w:val="bottom"/>
          </w:tcPr>
          <w:p w14:paraId="25DE173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60000.00</w:t>
            </w:r>
          </w:p>
        </w:tc>
        <w:tc>
          <w:tcPr>
            <w:tcW w:w="454" w:type="pct"/>
            <w:vAlign w:val="bottom"/>
          </w:tcPr>
          <w:p w14:paraId="7E9CE3A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168.00</w:t>
            </w:r>
          </w:p>
        </w:tc>
        <w:tc>
          <w:tcPr>
            <w:tcW w:w="738" w:type="pct"/>
            <w:vAlign w:val="bottom"/>
          </w:tcPr>
          <w:p w14:paraId="04064B5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22000.00</w:t>
            </w:r>
          </w:p>
        </w:tc>
      </w:tr>
      <w:tr w14:paraId="5D833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2" w:hRule="atLeast"/>
          <w:jc w:val="center"/>
        </w:trPr>
        <w:tc>
          <w:tcPr>
            <w:tcW w:w="475" w:type="pct"/>
            <w:vAlign w:val="bottom"/>
          </w:tcPr>
          <w:p w14:paraId="47CBA31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414" w:type="pct"/>
            <w:vAlign w:val="bottom"/>
          </w:tcPr>
          <w:p w14:paraId="0E566B7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九龙镇</w:t>
            </w:r>
          </w:p>
        </w:tc>
        <w:tc>
          <w:tcPr>
            <w:tcW w:w="697" w:type="pct"/>
            <w:vAlign w:val="bottom"/>
          </w:tcPr>
          <w:p w14:paraId="746FA17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大寨电站</w:t>
            </w:r>
          </w:p>
        </w:tc>
        <w:tc>
          <w:tcPr>
            <w:tcW w:w="350" w:type="pct"/>
            <w:vAlign w:val="bottom"/>
          </w:tcPr>
          <w:p w14:paraId="1106198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1977</w:t>
            </w:r>
          </w:p>
        </w:tc>
        <w:tc>
          <w:tcPr>
            <w:tcW w:w="543" w:type="pct"/>
            <w:vAlign w:val="bottom"/>
          </w:tcPr>
          <w:p w14:paraId="51314D9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794" w:type="pct"/>
            <w:vAlign w:val="bottom"/>
          </w:tcPr>
          <w:p w14:paraId="6EC71A2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引水式水电站</w:t>
            </w:r>
          </w:p>
        </w:tc>
        <w:tc>
          <w:tcPr>
            <w:tcW w:w="531" w:type="pct"/>
            <w:vAlign w:val="bottom"/>
          </w:tcPr>
          <w:p w14:paraId="208E3AC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60000.00</w:t>
            </w:r>
          </w:p>
        </w:tc>
        <w:tc>
          <w:tcPr>
            <w:tcW w:w="454" w:type="pct"/>
            <w:vAlign w:val="bottom"/>
          </w:tcPr>
          <w:p w14:paraId="47D23D5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178.00</w:t>
            </w:r>
          </w:p>
        </w:tc>
        <w:tc>
          <w:tcPr>
            <w:tcW w:w="738" w:type="pct"/>
            <w:vAlign w:val="bottom"/>
          </w:tcPr>
          <w:p w14:paraId="11C4D0D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18500.00</w:t>
            </w:r>
          </w:p>
        </w:tc>
      </w:tr>
      <w:tr w14:paraId="6C33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2" w:hRule="atLeast"/>
          <w:jc w:val="center"/>
        </w:trPr>
        <w:tc>
          <w:tcPr>
            <w:tcW w:w="475" w:type="pct"/>
            <w:vAlign w:val="bottom"/>
          </w:tcPr>
          <w:p w14:paraId="4007A71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414" w:type="pct"/>
            <w:vAlign w:val="bottom"/>
          </w:tcPr>
          <w:p w14:paraId="2B5BDB8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九龙镇</w:t>
            </w:r>
          </w:p>
        </w:tc>
        <w:tc>
          <w:tcPr>
            <w:tcW w:w="697" w:type="pct"/>
            <w:vAlign w:val="bottom"/>
          </w:tcPr>
          <w:p w14:paraId="3D13ABD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以德电站</w:t>
            </w:r>
          </w:p>
        </w:tc>
        <w:tc>
          <w:tcPr>
            <w:tcW w:w="350" w:type="pct"/>
            <w:vAlign w:val="bottom"/>
          </w:tcPr>
          <w:p w14:paraId="1F01D1E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2006</w:t>
            </w:r>
          </w:p>
        </w:tc>
        <w:tc>
          <w:tcPr>
            <w:tcW w:w="543" w:type="pct"/>
            <w:vAlign w:val="bottom"/>
          </w:tcPr>
          <w:p w14:paraId="7A18AD6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794" w:type="pct"/>
            <w:vAlign w:val="bottom"/>
          </w:tcPr>
          <w:p w14:paraId="2F5E46E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引水式水电站</w:t>
            </w:r>
          </w:p>
        </w:tc>
        <w:tc>
          <w:tcPr>
            <w:tcW w:w="531" w:type="pct"/>
            <w:vAlign w:val="bottom"/>
          </w:tcPr>
          <w:p w14:paraId="15353A2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5000.00</w:t>
            </w:r>
          </w:p>
        </w:tc>
        <w:tc>
          <w:tcPr>
            <w:tcW w:w="454" w:type="pct"/>
            <w:vAlign w:val="bottom"/>
          </w:tcPr>
          <w:p w14:paraId="5568BF3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43.00</w:t>
            </w:r>
          </w:p>
        </w:tc>
        <w:tc>
          <w:tcPr>
            <w:tcW w:w="738" w:type="pct"/>
            <w:vAlign w:val="bottom"/>
          </w:tcPr>
          <w:p w14:paraId="2AAB628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800.00</w:t>
            </w:r>
          </w:p>
        </w:tc>
      </w:tr>
      <w:tr w14:paraId="3314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2" w:hRule="atLeast"/>
          <w:jc w:val="center"/>
        </w:trPr>
        <w:tc>
          <w:tcPr>
            <w:tcW w:w="475" w:type="pct"/>
            <w:vAlign w:val="bottom"/>
          </w:tcPr>
          <w:p w14:paraId="6364C6D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414" w:type="pct"/>
            <w:vAlign w:val="bottom"/>
          </w:tcPr>
          <w:p w14:paraId="36B589C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九龙镇</w:t>
            </w:r>
          </w:p>
        </w:tc>
        <w:tc>
          <w:tcPr>
            <w:tcW w:w="697" w:type="pct"/>
            <w:vAlign w:val="bottom"/>
          </w:tcPr>
          <w:p w14:paraId="4F65F3F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九龙河电站</w:t>
            </w:r>
          </w:p>
        </w:tc>
        <w:tc>
          <w:tcPr>
            <w:tcW w:w="350" w:type="pct"/>
            <w:vAlign w:val="bottom"/>
          </w:tcPr>
          <w:p w14:paraId="152194B6">
            <w:pPr>
              <w:pStyle w:val="35"/>
              <w:rPr>
                <w:rFonts w:hint="default" w:ascii="Times New Roman" w:hAnsi="Times New Roman" w:cs="Times New Roman"/>
                <w:color w:val="auto"/>
                <w:highlight w:val="none"/>
              </w:rPr>
            </w:pPr>
          </w:p>
        </w:tc>
        <w:tc>
          <w:tcPr>
            <w:tcW w:w="543" w:type="pct"/>
            <w:vAlign w:val="bottom"/>
          </w:tcPr>
          <w:p w14:paraId="06F31B5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794" w:type="pct"/>
            <w:vAlign w:val="bottom"/>
          </w:tcPr>
          <w:p w14:paraId="0CD0155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引水式水电站</w:t>
            </w:r>
          </w:p>
        </w:tc>
        <w:tc>
          <w:tcPr>
            <w:tcW w:w="531" w:type="pct"/>
            <w:vAlign w:val="bottom"/>
          </w:tcPr>
          <w:p w14:paraId="58E45FA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4800</w:t>
            </w:r>
          </w:p>
        </w:tc>
        <w:tc>
          <w:tcPr>
            <w:tcW w:w="454" w:type="pct"/>
            <w:vAlign w:val="bottom"/>
          </w:tcPr>
          <w:p w14:paraId="6823038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p>
        </w:tc>
        <w:tc>
          <w:tcPr>
            <w:tcW w:w="738" w:type="pct"/>
            <w:vAlign w:val="bottom"/>
          </w:tcPr>
          <w:p w14:paraId="7DFDEBC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w:t>
            </w:r>
          </w:p>
        </w:tc>
      </w:tr>
      <w:tr w14:paraId="23EF6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72" w:hRule="atLeast"/>
          <w:jc w:val="center"/>
        </w:trPr>
        <w:tc>
          <w:tcPr>
            <w:tcW w:w="475" w:type="pct"/>
            <w:vAlign w:val="bottom"/>
          </w:tcPr>
          <w:p w14:paraId="339AEA5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414" w:type="pct"/>
            <w:vAlign w:val="bottom"/>
          </w:tcPr>
          <w:p w14:paraId="3A53637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九龙镇</w:t>
            </w:r>
          </w:p>
        </w:tc>
        <w:tc>
          <w:tcPr>
            <w:tcW w:w="697" w:type="pct"/>
            <w:vAlign w:val="bottom"/>
          </w:tcPr>
          <w:p w14:paraId="3EF5DE9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花滩电站</w:t>
            </w:r>
          </w:p>
        </w:tc>
        <w:tc>
          <w:tcPr>
            <w:tcW w:w="350" w:type="pct"/>
          </w:tcPr>
          <w:p w14:paraId="7EE22E4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2006</w:t>
            </w:r>
          </w:p>
        </w:tc>
        <w:tc>
          <w:tcPr>
            <w:tcW w:w="543" w:type="pct"/>
            <w:vAlign w:val="bottom"/>
          </w:tcPr>
          <w:p w14:paraId="27BFD69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w:t>
            </w:r>
          </w:p>
        </w:tc>
        <w:tc>
          <w:tcPr>
            <w:tcW w:w="794" w:type="pct"/>
            <w:vAlign w:val="bottom"/>
          </w:tcPr>
          <w:p w14:paraId="071AEB5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闸坝式水电站</w:t>
            </w:r>
          </w:p>
        </w:tc>
        <w:tc>
          <w:tcPr>
            <w:tcW w:w="531" w:type="pct"/>
            <w:vAlign w:val="bottom"/>
          </w:tcPr>
          <w:p w14:paraId="089E83B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6400.00</w:t>
            </w:r>
          </w:p>
        </w:tc>
        <w:tc>
          <w:tcPr>
            <w:tcW w:w="454" w:type="pct"/>
            <w:vAlign w:val="bottom"/>
          </w:tcPr>
          <w:p w14:paraId="285AA05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14.50</w:t>
            </w:r>
          </w:p>
        </w:tc>
        <w:tc>
          <w:tcPr>
            <w:tcW w:w="738" w:type="pct"/>
            <w:vAlign w:val="bottom"/>
          </w:tcPr>
          <w:p w14:paraId="1605AD5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2300.00</w:t>
            </w:r>
          </w:p>
        </w:tc>
      </w:tr>
    </w:tbl>
    <w:p w14:paraId="4FF9D1D1">
      <w:pPr>
        <w:ind w:firstLine="480"/>
        <w:rPr>
          <w:rFonts w:hint="default" w:ascii="Times New Roman" w:hAnsi="Times New Roman" w:cs="Times New Roman"/>
          <w:color w:val="auto"/>
          <w:highlight w:val="none"/>
        </w:rPr>
      </w:pPr>
    </w:p>
    <w:p w14:paraId="50F45CD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（三）引水工程</w:t>
      </w:r>
    </w:p>
    <w:p w14:paraId="2A2011F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流域内的引水工程主要有白腊山引水干渠，白腊山引水干渠是罗平坝从九龙河调水的主动脉，2000年经过扩建和续修配套后，除通过白腊山东、西干渠可直接灌溉罗平坝的耕地外，还可引水进入罗平坝的龙王庙水库调蓄，是区内最大的引水工程，也是罗平坝区水源的生命线。</w:t>
      </w:r>
    </w:p>
    <w:p w14:paraId="6D1AD35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白腊山引水干渠长度为13.114km，现状年可引水量2827万m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，设计引水流量10m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w:t>
      </w:r>
    </w:p>
    <w:p w14:paraId="21B642ED">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w:t>
      </w:r>
      <w:r>
        <w:rPr>
          <w:rFonts w:hint="default" w:ascii="Times New Roman" w:hAnsi="Times New Roman" w:eastAsia="宋体" w:cs="Times New Roman"/>
          <w:color w:val="auto"/>
          <w:highlight w:val="none"/>
          <w:lang w:val="en-US" w:eastAsia="zh-CN"/>
        </w:rPr>
        <w:t>地表水</w:t>
      </w:r>
      <w:r>
        <w:rPr>
          <w:rFonts w:hint="default" w:ascii="Times New Roman" w:hAnsi="Times New Roman" w:eastAsia="宋体" w:cs="Times New Roman"/>
          <w:color w:val="auto"/>
          <w:highlight w:val="none"/>
        </w:rPr>
        <w:t>环境回顾性分析</w:t>
      </w:r>
    </w:p>
    <w:p w14:paraId="5E08898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（1）水利水电工程的调蓄和供水作用，将大量水资源输送至灌区等用水对象，导致水资源的空间分布格局发生变化</w:t>
      </w:r>
    </w:p>
    <w:p w14:paraId="088FD9A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九龙河流域水资源相对丰富，P=50%天然径流量11.36亿m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r>
        <w:rPr>
          <w:rFonts w:hint="default" w:ascii="Times New Roman" w:hAnsi="Times New Roman" w:cs="Times New Roman"/>
          <w:color w:val="auto"/>
          <w:highlight w:val="green"/>
        </w:rPr>
        <w:t>为满足人</w:t>
      </w:r>
      <w:r>
        <w:rPr>
          <w:rFonts w:hint="eastAsia" w:cs="Times New Roman"/>
          <w:color w:val="auto"/>
          <w:highlight w:val="green"/>
          <w:lang w:val="en-US" w:eastAsia="zh-CN"/>
        </w:rPr>
        <w:t>民</w:t>
      </w:r>
      <w:r>
        <w:rPr>
          <w:rFonts w:hint="default" w:ascii="Times New Roman" w:hAnsi="Times New Roman" w:cs="Times New Roman"/>
          <w:color w:val="auto"/>
          <w:highlight w:val="green"/>
        </w:rPr>
        <w:t>生活和区域社会经济的发展，自中华人民共和国成立以来建设了一大批水利工程，</w:t>
      </w:r>
      <w:r>
        <w:rPr>
          <w:rFonts w:hint="default" w:ascii="Times New Roman" w:hAnsi="Times New Roman" w:cs="Times New Roman"/>
          <w:color w:val="auto"/>
          <w:highlight w:val="none"/>
        </w:rPr>
        <w:t>包括独木水库、阿岗水库2座大型水库，东风水库、溜子田水库两座中型水库，幕补水库等7座小（一）型水库以及白腊山干渠等，这些水利工程通过调蓄供水或直接在河道取水等方式，将水资源供给灌区、城镇、工业园区等用水对象，使得大量水资源从天然河道转移至灌区、城镇、工业园区等用水户，河道水资源大量减少，水资源的空间分布格局发生明显变化。根据规划专业提供成果，九龙河流域P=50%耗水量为2.51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，水资源开发利用率达26%。相当于约有2.51亿m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的水资源由河道转移至用水户，天然河道的水资源量大大减少，导致河道水量减少、水深变浅、流速下降、水面面积缩减，进而对河道形态、河道纳污能力、水质及水生生物的生存环境造成不利影响。</w:t>
      </w:r>
    </w:p>
    <w:p w14:paraId="119CBF1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（2）外流域供水和引水式电站的建设，加剧了河道的减水程度，水生态环境进一步遭到破坏</w:t>
      </w:r>
    </w:p>
    <w:p w14:paraId="455AD74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除调蓄工程外，九龙河流域还建有外流域供水工程和引水至外流域水力发电工程，即白腊山干渠工程和大寨电站工程。其中白腊山干渠取水口位于九龙河中游的腊庄电站尾水口上游200m处，通过筑坝引水将九龙河河水输送至多依河流域的罗平坝灌区，总干渠全长13.07km，设计流量10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/s，根据规划专业成果，现状水平年（2021年）引水量为2899万m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。待阿岗水库正常供水后，由于供给罗平坝区的农业灌溉用水、工业用水及城镇用水均通过白腊山干渠输送至罗平坝灌区，引水量增加至12700万m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，下游河道水资源进一步减少，影响天然河道长度达40余km。</w:t>
      </w:r>
    </w:p>
    <w:p w14:paraId="77C87D2B">
      <w:pPr>
        <w:pStyle w:val="14"/>
        <w:ind w:firstLine="480"/>
        <w:rPr>
          <w:rFonts w:hint="default" w:ascii="Times New Roman" w:hAnsi="Times New Roman" w:cs="Times New Roman"/>
          <w:color w:val="auto"/>
          <w:highlight w:val="none"/>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color w:val="auto"/>
          <w:highlight w:val="none"/>
        </w:rPr>
        <w:t>大寨电站取水坝位于罗平县牛街镇九龙河干流，为引水式水电站，在九龙河干流牛街镇以德村筑坝引水，经管道、隧洞引致块泽河支流牛街河发电，发电后尾水经牛街河汇入块泽河，最终汇入喜旧溪河。电站于1975年建成，装机容量60000.00kW，额定水头178m，共6台机组，多年平均发电量18500万kW·h，多年平均发电用水量为43442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。根据回顾性评价成果表，大寨电站取水坝断面P=50%天然来水量104789万m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，河道外生产生活用水量约为25349万m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，发电用水量约为44066万m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，导致该断面综合减水率达66%，已对大寨电站坝下九龙河瀑布群在内的约20km的九龙河干流的水生态水环境水景观造成了重大不利影响。九龙河流域代表性断面回顾性评价详见下表。</w:t>
      </w:r>
    </w:p>
    <w:p w14:paraId="6993983D">
      <w:pPr>
        <w:pStyle w:val="29"/>
        <w:bidi w:val="0"/>
        <w:rPr>
          <w:rFonts w:hint="eastAsia" w:ascii="Times New Roman" w:hAnsi="Times New Roman" w:cs="Times New Roman" w:eastAsiaTheme="minorEastAsia"/>
          <w:color w:val="auto"/>
          <w:lang w:eastAsia="zh-CN"/>
        </w:rPr>
      </w:pPr>
      <w:r>
        <w:rPr>
          <w:rFonts w:hint="default" w:ascii="Times New Roman" w:hAnsi="Times New Roman" w:cs="Times New Roman"/>
          <w:color w:val="auto"/>
        </w:rPr>
        <w:t xml:space="preserve">表 </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STYLEREF 3 \s </w:instrText>
      </w:r>
      <w:r>
        <w:rPr>
          <w:rFonts w:hint="default" w:ascii="Times New Roman" w:hAnsi="Times New Roman" w:cs="Times New Roman"/>
          <w:color w:val="auto"/>
        </w:rPr>
        <w:fldChar w:fldCharType="separate"/>
      </w:r>
      <w:r>
        <w:rPr>
          <w:rFonts w:hint="default" w:ascii="Times New Roman" w:hAnsi="Times New Roman" w:cs="Times New Roman"/>
          <w:color w:val="auto"/>
        </w:rPr>
        <w:t>3.7.3</w:t>
      </w:r>
      <w:r>
        <w:rPr>
          <w:rFonts w:hint="default" w:ascii="Times New Roman" w:hAnsi="Times New Roman" w:cs="Times New Roman"/>
          <w:color w:val="auto"/>
        </w:rPr>
        <w:fldChar w:fldCharType="end"/>
      </w:r>
      <w:r>
        <w:rPr>
          <w:rFonts w:hint="default" w:ascii="Times New Roman" w:hAnsi="Times New Roman" w:cs="Times New Roman"/>
          <w:color w:val="auto"/>
        </w:rPr>
        <w:noBreakHyphen/>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SEQ 表 \* ARABIC \s 3 </w:instrText>
      </w:r>
      <w:r>
        <w:rPr>
          <w:rFonts w:hint="default" w:ascii="Times New Roman" w:hAnsi="Times New Roman" w:cs="Times New Roman"/>
          <w:color w:val="auto"/>
        </w:rPr>
        <w:fldChar w:fldCharType="separate"/>
      </w:r>
      <w:r>
        <w:rPr>
          <w:rFonts w:hint="default" w:ascii="Times New Roman" w:hAnsi="Times New Roman" w:cs="Times New Roman"/>
          <w:color w:val="auto"/>
        </w:rPr>
        <w:t>1</w:t>
      </w:r>
      <w:r>
        <w:rPr>
          <w:rFonts w:hint="default" w:ascii="Times New Roman" w:hAnsi="Times New Roman" w:cs="Times New Roman"/>
          <w:color w:val="auto"/>
        </w:rPr>
        <w:fldChar w:fldCharType="end"/>
      </w:r>
      <w:r>
        <w:rPr>
          <w:rFonts w:hint="default" w:ascii="Times New Roman" w:hAnsi="Times New Roman" w:cs="Times New Roman"/>
          <w:color w:val="auto"/>
        </w:rPr>
        <w:t xml:space="preserve">  九龙河流域代表性断面回顾性影响评价表  单位：万m</w:t>
      </w:r>
      <w:r>
        <w:rPr>
          <w:rFonts w:hint="eastAsia" w:cs="Times New Roman"/>
          <w:color w:val="auto"/>
          <w:lang w:val="en-US" w:eastAsia="zh-CN"/>
        </w:rPr>
        <w:t>³</w:t>
      </w:r>
    </w:p>
    <w:tbl>
      <w:tblPr>
        <w:tblStyle w:val="22"/>
        <w:tblW w:w="4996" w:type="pct"/>
        <w:tblInd w:w="0" w:type="dxa"/>
        <w:tblLayout w:type="autofit"/>
        <w:tblCellMar>
          <w:top w:w="0" w:type="dxa"/>
          <w:left w:w="108" w:type="dxa"/>
          <w:bottom w:w="0" w:type="dxa"/>
          <w:right w:w="108" w:type="dxa"/>
        </w:tblCellMar>
      </w:tblPr>
      <w:tblGrid>
        <w:gridCol w:w="837"/>
        <w:gridCol w:w="1266"/>
        <w:gridCol w:w="1441"/>
        <w:gridCol w:w="796"/>
        <w:gridCol w:w="816"/>
        <w:gridCol w:w="816"/>
        <w:gridCol w:w="816"/>
        <w:gridCol w:w="816"/>
        <w:gridCol w:w="816"/>
        <w:gridCol w:w="816"/>
        <w:gridCol w:w="816"/>
        <w:gridCol w:w="816"/>
        <w:gridCol w:w="816"/>
        <w:gridCol w:w="816"/>
        <w:gridCol w:w="816"/>
        <w:gridCol w:w="847"/>
      </w:tblGrid>
      <w:tr w14:paraId="27492FE9">
        <w:tblPrEx>
          <w:tblCellMar>
            <w:top w:w="0" w:type="dxa"/>
            <w:left w:w="108" w:type="dxa"/>
            <w:bottom w:w="0" w:type="dxa"/>
            <w:right w:w="108" w:type="dxa"/>
          </w:tblCellMar>
        </w:tblPrEx>
        <w:trPr>
          <w:trHeight w:val="288" w:hRule="atLeast"/>
        </w:trPr>
        <w:tc>
          <w:tcPr>
            <w:tcW w:w="295" w:type="pct"/>
            <w:tcBorders>
              <w:top w:val="single" w:color="000000" w:sz="8" w:space="0"/>
              <w:left w:val="single" w:color="000000" w:sz="8" w:space="0"/>
              <w:bottom w:val="single" w:color="000000" w:sz="4" w:space="0"/>
              <w:right w:val="single" w:color="000000" w:sz="4" w:space="0"/>
            </w:tcBorders>
            <w:noWrap/>
            <w:vAlign w:val="center"/>
          </w:tcPr>
          <w:p w14:paraId="4BC8348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频率</w:t>
            </w:r>
          </w:p>
        </w:tc>
        <w:tc>
          <w:tcPr>
            <w:tcW w:w="447" w:type="pct"/>
            <w:tcBorders>
              <w:top w:val="single" w:color="000000" w:sz="8" w:space="0"/>
              <w:left w:val="single" w:color="000000" w:sz="4" w:space="0"/>
              <w:bottom w:val="single" w:color="000000" w:sz="4" w:space="0"/>
              <w:right w:val="single" w:color="000000" w:sz="4" w:space="0"/>
            </w:tcBorders>
            <w:noWrap/>
            <w:vAlign w:val="center"/>
          </w:tcPr>
          <w:p w14:paraId="5A94B37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代表性断面</w:t>
            </w:r>
          </w:p>
        </w:tc>
        <w:tc>
          <w:tcPr>
            <w:tcW w:w="509" w:type="pct"/>
            <w:tcBorders>
              <w:top w:val="single" w:color="000000" w:sz="8" w:space="0"/>
              <w:left w:val="single" w:color="000000" w:sz="4" w:space="0"/>
              <w:bottom w:val="single" w:color="000000" w:sz="4" w:space="0"/>
              <w:right w:val="single" w:color="000000" w:sz="4" w:space="0"/>
            </w:tcBorders>
            <w:noWrap/>
            <w:vAlign w:val="center"/>
          </w:tcPr>
          <w:p w14:paraId="15B545C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频率</w:t>
            </w:r>
          </w:p>
        </w:tc>
        <w:tc>
          <w:tcPr>
            <w:tcW w:w="281" w:type="pct"/>
            <w:tcBorders>
              <w:top w:val="single" w:color="000000" w:sz="8" w:space="0"/>
              <w:left w:val="single" w:color="000000" w:sz="4" w:space="0"/>
              <w:bottom w:val="single" w:color="000000" w:sz="4" w:space="0"/>
              <w:right w:val="single" w:color="000000" w:sz="4" w:space="0"/>
            </w:tcBorders>
            <w:noWrap/>
            <w:vAlign w:val="center"/>
          </w:tcPr>
          <w:p w14:paraId="6641C41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040BC0E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51F43A0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21621B4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4BBCF6E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10月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2B59487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11月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1B3E1F2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12月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393DE2C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16329ED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2F03E20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4302735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4月</w:t>
            </w:r>
          </w:p>
        </w:tc>
        <w:tc>
          <w:tcPr>
            <w:tcW w:w="288" w:type="pct"/>
            <w:tcBorders>
              <w:top w:val="single" w:color="000000" w:sz="8" w:space="0"/>
              <w:left w:val="single" w:color="000000" w:sz="4" w:space="0"/>
              <w:bottom w:val="single" w:color="000000" w:sz="4" w:space="0"/>
              <w:right w:val="single" w:color="000000" w:sz="4" w:space="0"/>
            </w:tcBorders>
            <w:noWrap/>
            <w:vAlign w:val="center"/>
          </w:tcPr>
          <w:p w14:paraId="5010B4A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5月</w:t>
            </w:r>
          </w:p>
        </w:tc>
        <w:tc>
          <w:tcPr>
            <w:tcW w:w="299" w:type="pct"/>
            <w:tcBorders>
              <w:top w:val="single" w:color="000000" w:sz="8" w:space="0"/>
              <w:left w:val="single" w:color="000000" w:sz="4" w:space="0"/>
              <w:bottom w:val="single" w:color="000000" w:sz="4" w:space="0"/>
              <w:right w:val="single" w:color="000000" w:sz="8" w:space="0"/>
            </w:tcBorders>
            <w:noWrap/>
            <w:vAlign w:val="center"/>
          </w:tcPr>
          <w:p w14:paraId="2BEFBD9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年值</w:t>
            </w:r>
          </w:p>
        </w:tc>
      </w:tr>
      <w:tr w14:paraId="0DAD7C36">
        <w:tblPrEx>
          <w:tblCellMar>
            <w:top w:w="0" w:type="dxa"/>
            <w:left w:w="108" w:type="dxa"/>
            <w:bottom w:w="0" w:type="dxa"/>
            <w:right w:w="108" w:type="dxa"/>
          </w:tblCellMar>
        </w:tblPrEx>
        <w:trPr>
          <w:trHeight w:val="288" w:hRule="atLeast"/>
        </w:trPr>
        <w:tc>
          <w:tcPr>
            <w:tcW w:w="295" w:type="pct"/>
            <w:vMerge w:val="restart"/>
            <w:tcBorders>
              <w:top w:val="single" w:color="000000" w:sz="4" w:space="0"/>
              <w:left w:val="single" w:color="000000" w:sz="8" w:space="0"/>
              <w:bottom w:val="single" w:color="000000" w:sz="4" w:space="0"/>
              <w:right w:val="single" w:color="000000" w:sz="4" w:space="0"/>
            </w:tcBorders>
            <w:noWrap/>
            <w:vAlign w:val="center"/>
          </w:tcPr>
          <w:p w14:paraId="3DBFC04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P=20%</w:t>
            </w: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003F69D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白腊山取水口坝下</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BCB0F2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5810322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15466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06160E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43561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2D064F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22336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FBE8E7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12489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C6CEDB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8166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9E9124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5840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D6DE9A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3911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CA8B12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2792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EA14C6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2269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CFD1BC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2292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520888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1524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C21681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4266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58A3598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124914 </w:t>
            </w:r>
          </w:p>
        </w:tc>
      </w:tr>
      <w:tr w14:paraId="01045720">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5382EEFF">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61177C22">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5D0219D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4A61FC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12038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41CF00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32655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530156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16416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0B0FAD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9062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094B4D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6129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3EAA40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4438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BA3670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2976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6B5401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2138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269123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1739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3EDA47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1762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ECB889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1181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144633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3218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279E5A8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93753 </w:t>
            </w:r>
          </w:p>
        </w:tc>
      </w:tr>
      <w:tr w14:paraId="3661432E">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1E8F04D3">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6FB8CDD8">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FBDCFD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FDB50C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BB6F52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4E7B39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7E2245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999E29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F95CC4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0C9FC4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FE03D1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89524A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CACE1F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F65371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8FE507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5F6164B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r>
      <w:tr w14:paraId="01700ED8">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4C5B03DE">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5AB0326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大寨电站取水坝坝下</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348AF36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51A7DF8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16580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03616B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46701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612C69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23946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95A8E9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13390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21C0B1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8755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8E371C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6261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892125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4193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6D5EB3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2994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7ADA0E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2432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B039F4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2457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502584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1634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602AFA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4573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50199B8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133917 </w:t>
            </w:r>
          </w:p>
        </w:tc>
      </w:tr>
      <w:tr w14:paraId="63AE950B">
        <w:tblPrEx>
          <w:tblCellMar>
            <w:top w:w="0" w:type="dxa"/>
            <w:left w:w="108" w:type="dxa"/>
            <w:bottom w:w="0" w:type="dxa"/>
            <w:right w:w="108" w:type="dxa"/>
          </w:tblCellMar>
        </w:tblPrEx>
        <w:trPr>
          <w:trHeight w:val="303"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42F6198F">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763F596A">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7756345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4122B8C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5402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C16CB8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25460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18A1CA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8041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A7B331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1969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3652C6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312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B64C30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346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39AE76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8ACC1B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920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690A57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357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629406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246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7990F7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841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5F2B30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2827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4ACADDD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46840 </w:t>
            </w:r>
          </w:p>
        </w:tc>
      </w:tr>
      <w:tr w14:paraId="2BB642FC">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3B98A974">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6AA9948A">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06B4645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5179971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0A676D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D2A115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1E8EEE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022171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6DDB5C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292C7D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409606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6C3BBA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E0237D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90%</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62585A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885413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38%</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5B24BEB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65%</w:t>
            </w:r>
          </w:p>
        </w:tc>
      </w:tr>
      <w:tr w14:paraId="15569BE9">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0A348DB9">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1D2DB35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九龙河汇入喜旧溪河汇口</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7D4524B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609E1E6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17975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D0034F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50631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BFDF89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25961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936D6E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14516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7DE52B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9492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7186D0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6788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F1AAB7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4546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D31920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3246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1BB280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2637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3FB4B1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2664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A7C943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1771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84DBF5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4958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29B1640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145186 </w:t>
            </w:r>
          </w:p>
        </w:tc>
      </w:tr>
      <w:tr w14:paraId="4DAC1C02">
        <w:tblPrEx>
          <w:tblCellMar>
            <w:top w:w="0" w:type="dxa"/>
            <w:left w:w="108" w:type="dxa"/>
            <w:bottom w:w="0" w:type="dxa"/>
            <w:right w:w="108" w:type="dxa"/>
          </w:tblCellMar>
        </w:tblPrEx>
        <w:trPr>
          <w:trHeight w:val="303"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36A804CC">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66CCE711">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5DC952A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0F75154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6822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9BE369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29328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141D52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9606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59A911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3043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5BCA5A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1015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12BB50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905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4CCEB0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499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461D77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1203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894D61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589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0E5F79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486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15911E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1010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110E33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3083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5FEACC4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57590 </w:t>
            </w:r>
          </w:p>
        </w:tc>
      </w:tr>
      <w:tr w14:paraId="121ACD4D">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5EBB4C7F">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527280D2">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0DC4EC9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56B4C00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F36E92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89CB5D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EF81BF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F55DB6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BCEBDE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5575B2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351792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7A2BD8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78%</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94D48B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4EAA31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880703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38%</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125CEDC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60%</w:t>
            </w:r>
          </w:p>
        </w:tc>
      </w:tr>
      <w:tr w14:paraId="29E4ED6F">
        <w:tblPrEx>
          <w:tblCellMar>
            <w:top w:w="0" w:type="dxa"/>
            <w:left w:w="108" w:type="dxa"/>
            <w:bottom w:w="0" w:type="dxa"/>
            <w:right w:w="108" w:type="dxa"/>
          </w:tblCellMar>
        </w:tblPrEx>
        <w:trPr>
          <w:trHeight w:val="288" w:hRule="atLeast"/>
        </w:trPr>
        <w:tc>
          <w:tcPr>
            <w:tcW w:w="295" w:type="pct"/>
            <w:vMerge w:val="restart"/>
            <w:tcBorders>
              <w:top w:val="single" w:color="000000" w:sz="4" w:space="0"/>
              <w:left w:val="single" w:color="000000" w:sz="8" w:space="0"/>
              <w:bottom w:val="single" w:color="000000" w:sz="4" w:space="0"/>
              <w:right w:val="single" w:color="000000" w:sz="4" w:space="0"/>
            </w:tcBorders>
            <w:noWrap/>
            <w:vAlign w:val="center"/>
          </w:tcPr>
          <w:p w14:paraId="2942CCE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P=50%</w:t>
            </w: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02BC84A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白腊山取水口坝下</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539CB5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653BA0A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12343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B90014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21387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E8E31B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25745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015743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12897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219750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7252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5AB1C6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4207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06C8DB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2667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F86064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1942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3AB358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1931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A32035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2111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BB7056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1431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756663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3829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189BBE6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97743 </w:t>
            </w:r>
          </w:p>
        </w:tc>
      </w:tr>
      <w:tr w14:paraId="2BE1DC3B">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4E7577A4">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0B7BB0E3">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233DB3E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112C858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9084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40B849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15871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8EAEBB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19100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762FC7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9638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B7D3C3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5471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E7C375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3179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E64D0C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2015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CA9AAE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1466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40EF0A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1455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C333D7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1584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4C9CF4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1055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D22AB5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2751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661417C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72669 </w:t>
            </w:r>
          </w:p>
        </w:tc>
      </w:tr>
      <w:tr w14:paraId="74BAFA96">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12CA8539">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7E65A19D">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BF5EFE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5026CE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917D16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1C911D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9BE528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56FD9D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F04985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E554B3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934A39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374299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A6DB63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DF3523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AA4D3E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28%</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006318C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r>
      <w:tr w14:paraId="5FEE5A08">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442C3A57">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6FC6E86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大寨电站取水坝坝下</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3CCEBE9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6272746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13233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BE8938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22928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4712C9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27601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4C76DD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13827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1CD058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7774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158F52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4511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CC1207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2859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806A25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2082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18F815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2071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9607E0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2263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5CFB39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1534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C28FC7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4105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1B6A814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104789 </w:t>
            </w:r>
          </w:p>
        </w:tc>
      </w:tr>
      <w:tr w14:paraId="4C7D4ADD">
        <w:tblPrEx>
          <w:tblCellMar>
            <w:top w:w="0" w:type="dxa"/>
            <w:left w:w="108" w:type="dxa"/>
            <w:bottom w:w="0" w:type="dxa"/>
            <w:right w:w="108" w:type="dxa"/>
          </w:tblCellMar>
        </w:tblPrEx>
        <w:trPr>
          <w:trHeight w:val="303"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5600CB8F">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778E00F1">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DC70F2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789CC00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4618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07EBDB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8188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94180F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12265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0FDF30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915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96219B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609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381026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847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74523F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499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281CE0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691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8CA338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1140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0273FA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1415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CC17DF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1141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60A9BF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3045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300F0D4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35373 </w:t>
            </w:r>
          </w:p>
        </w:tc>
      </w:tr>
      <w:tr w14:paraId="55ECED6C">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7DADD39A">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109BBA8D">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4150739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66F1C7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FA37B9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DC9F7F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56%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83ADF4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59570A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10E9A4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81%</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84205D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7E7C83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1F923E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DE4002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EE7D0A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E3D999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2C3A5C1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66%</w:t>
            </w:r>
          </w:p>
        </w:tc>
      </w:tr>
      <w:tr w14:paraId="3F4E61DC">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7D5D321B">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7B5828E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九龙河汇入喜旧溪河汇口</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0025D96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4711C97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14346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069AE0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24858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146DAD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29923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646A48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14990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F22A5E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8429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F42BCF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4890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E5774D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3100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C2A4FA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2258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E3E4A3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2245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6B2726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2453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6DACEE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1663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33F46D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4451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4D8D42F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113606 </w:t>
            </w:r>
          </w:p>
        </w:tc>
      </w:tr>
      <w:tr w14:paraId="0DD530AA">
        <w:tblPrEx>
          <w:tblCellMar>
            <w:top w:w="0" w:type="dxa"/>
            <w:left w:w="108" w:type="dxa"/>
            <w:bottom w:w="0" w:type="dxa"/>
            <w:right w:w="108" w:type="dxa"/>
          </w:tblCellMar>
        </w:tblPrEx>
        <w:trPr>
          <w:trHeight w:val="303"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3D0CF8E2">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35B4C647">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732752E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6A4623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5824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B58292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9965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02F82D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14348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9BBBC2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2056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22F52E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1330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C8D57F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1152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57480F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680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1843C3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826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907554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1297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95EBD2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1635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28BB53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1253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4B411C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3270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0B1A5FA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43636 </w:t>
            </w:r>
          </w:p>
        </w:tc>
      </w:tr>
      <w:tr w14:paraId="77B472A3">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46B8A1CE">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34243095">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6B68885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24424A2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59%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E23224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60%</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4E666B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52%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5FF566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FA31BD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F6FE03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1F8B6E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78%</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D8CB1F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9948E4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323E89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39E4FF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B6F1E5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27%</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50EB8E0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62%</w:t>
            </w:r>
          </w:p>
        </w:tc>
      </w:tr>
      <w:tr w14:paraId="79EF7DDA">
        <w:tblPrEx>
          <w:tblCellMar>
            <w:top w:w="0" w:type="dxa"/>
            <w:left w:w="108" w:type="dxa"/>
            <w:bottom w:w="0" w:type="dxa"/>
            <w:right w:w="108" w:type="dxa"/>
          </w:tblCellMar>
        </w:tblPrEx>
        <w:trPr>
          <w:trHeight w:val="288" w:hRule="atLeast"/>
        </w:trPr>
        <w:tc>
          <w:tcPr>
            <w:tcW w:w="295" w:type="pct"/>
            <w:vMerge w:val="restart"/>
            <w:tcBorders>
              <w:top w:val="single" w:color="000000" w:sz="4" w:space="0"/>
              <w:left w:val="single" w:color="000000" w:sz="8" w:space="0"/>
              <w:bottom w:val="single" w:color="000000" w:sz="4" w:space="0"/>
              <w:right w:val="single" w:color="000000" w:sz="4" w:space="0"/>
            </w:tcBorders>
            <w:noWrap/>
            <w:vAlign w:val="center"/>
          </w:tcPr>
          <w:p w14:paraId="609EDE1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P=80%</w:t>
            </w: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49BACA0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白腊山取水口坝下</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DE57F2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084BEAB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4419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37919E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12451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7E339B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25304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32ACF7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13450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C64FC5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5132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9316AB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2960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7D8223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2404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9A6284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1844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663BC0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1418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B32288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1203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E49627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1264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05240A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2992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5E86F19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74841 </w:t>
            </w:r>
          </w:p>
        </w:tc>
      </w:tr>
      <w:tr w14:paraId="6BB15E84">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73BC1D63">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12C04F49">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76AE61C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1AEA33B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3272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5CDAE7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9104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EAC038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18611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80FE6C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10103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516060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3889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8F17C2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2253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333CC1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1831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52865F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1442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9DD957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1131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4BCF9F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916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0CF120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977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2F2D24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2189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287A022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55718 </w:t>
            </w:r>
          </w:p>
        </w:tc>
      </w:tr>
      <w:tr w14:paraId="5B831022">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0E83F1AE">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76DB6046">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590942E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5357AFD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601BFD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C299B2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33237A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88CFD2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3D75BB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7E7347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BD43B5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7F4E2A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20%</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8A7F20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DFD4D8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993794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27%</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19A1493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26%</w:t>
            </w:r>
          </w:p>
        </w:tc>
      </w:tr>
      <w:tr w14:paraId="060D5AB8">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4E0ECEEE">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29254D7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大寨电站取水坝坝下</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71A83C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6F3D910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4738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7F1946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13348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9D8268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27128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44B492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14419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742793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5502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C32272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3174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B14BEA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2578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5E33BC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1977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97907B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1520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32A3A8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1289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613D2E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1355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18E2EB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3208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26A43EE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80235 </w:t>
            </w:r>
          </w:p>
        </w:tc>
      </w:tr>
      <w:tr w14:paraId="26E64BA3">
        <w:tblPrEx>
          <w:tblCellMar>
            <w:top w:w="0" w:type="dxa"/>
            <w:left w:w="108" w:type="dxa"/>
            <w:bottom w:w="0" w:type="dxa"/>
            <w:right w:w="108" w:type="dxa"/>
          </w:tblCellMar>
        </w:tblPrEx>
        <w:trPr>
          <w:trHeight w:val="303"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495DE690">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3262F21D">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8EF072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24F2E52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582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54DA53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3904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EC7201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13810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82703A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4542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BC3C35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417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02A61E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342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4FAF80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426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B0A940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FDD250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830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1E1A98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979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932484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1028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90CE07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1659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5E0CAA1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28603 </w:t>
            </w:r>
          </w:p>
        </w:tc>
      </w:tr>
      <w:tr w14:paraId="7C305587">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6BF07BC9">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03C9CA7B">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6F6978E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C50BDF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88%</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0948A7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71%</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D90D9F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90781D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68%</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00C427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15E754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FC6A29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257C39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BF6285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D767C9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595988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709976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48%</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76036B1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64%</w:t>
            </w:r>
          </w:p>
        </w:tc>
      </w:tr>
      <w:tr w14:paraId="4F7F2503">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654E05C4">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7D40156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九龙河汇入喜旧溪河汇口</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E83060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238A6E0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5137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0AC646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14471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093A28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29410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ACFAF5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15633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C87B98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5965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DE5978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3441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BF22EC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2795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4F9F00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2143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37ACF2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1648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96A005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1398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29C803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1469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8EECF8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3478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6C9C9EA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86987 </w:t>
            </w:r>
          </w:p>
        </w:tc>
      </w:tr>
      <w:tr w14:paraId="5B4391F6">
        <w:tblPrEx>
          <w:tblCellMar>
            <w:top w:w="0" w:type="dxa"/>
            <w:left w:w="108" w:type="dxa"/>
            <w:bottom w:w="0" w:type="dxa"/>
            <w:right w:w="108" w:type="dxa"/>
          </w:tblCellMar>
        </w:tblPrEx>
        <w:trPr>
          <w:trHeight w:val="303"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5BBBD4B5">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4FDBFDD1">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45A5218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6B031EE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918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1C4E02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4831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8D905F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15604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8C7036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5617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5D9D65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801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0FFA3B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571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A395A0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661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540C77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325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1310E2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1003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1F8B3A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1137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D0FE99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1188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6808E3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1959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0CDB7C7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34615 </w:t>
            </w:r>
          </w:p>
        </w:tc>
      </w:tr>
      <w:tr w14:paraId="5CC87EEF">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4A43804E">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1A9E066E">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3B69787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584014A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D65EC5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A28A7F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4C15B5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8DA0EE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87%</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07B1FF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E8540D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91514F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8D1ABD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39%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EBADAE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16BE04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287C50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44%</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2D9F8BF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60%</w:t>
            </w:r>
          </w:p>
        </w:tc>
      </w:tr>
      <w:tr w14:paraId="21160E41">
        <w:tblPrEx>
          <w:tblCellMar>
            <w:top w:w="0" w:type="dxa"/>
            <w:left w:w="108" w:type="dxa"/>
            <w:bottom w:w="0" w:type="dxa"/>
            <w:right w:w="108" w:type="dxa"/>
          </w:tblCellMar>
        </w:tblPrEx>
        <w:trPr>
          <w:trHeight w:val="288" w:hRule="atLeast"/>
        </w:trPr>
        <w:tc>
          <w:tcPr>
            <w:tcW w:w="295" w:type="pct"/>
            <w:vMerge w:val="restart"/>
            <w:tcBorders>
              <w:top w:val="single" w:color="000000" w:sz="4" w:space="0"/>
              <w:left w:val="single" w:color="000000" w:sz="8" w:space="0"/>
              <w:bottom w:val="single" w:color="000000" w:sz="4" w:space="0"/>
              <w:right w:val="single" w:color="000000" w:sz="4" w:space="0"/>
            </w:tcBorders>
            <w:noWrap/>
            <w:vAlign w:val="center"/>
          </w:tcPr>
          <w:p w14:paraId="12BA744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P=95%</w:t>
            </w: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160AF53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白腊山取水口坝下</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3D6E5F1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4E4348A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3348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647113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9432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F6BA5E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19168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FC8304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10188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DF04DB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3888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6E3058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2242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E57086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1821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BE9DF0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1397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61F308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1074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59531A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911.0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79E137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957.3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65D2FC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2267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1FFF52B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56693 </w:t>
            </w:r>
          </w:p>
        </w:tc>
      </w:tr>
      <w:tr w14:paraId="5A595559">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662D952C">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7DC0B6B6">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652E5C6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3E9ABD3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2564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15AE2B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6687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6B8759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14594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D8456B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8163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900303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3104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74626C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1785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94ADC7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1469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7F7925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1135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FB63C1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878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D2D384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728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AD5769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768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A32E3C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1751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0D5A401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43625 </w:t>
            </w:r>
          </w:p>
        </w:tc>
      </w:tr>
      <w:tr w14:paraId="7573CC2E">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302C0A81">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249BC22B">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0674B42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46300F6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CCC27C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F1EE81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24%</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FB9A7C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20%</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0670BD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20%</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C3ECD1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20%</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04EC0F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84EE81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62A214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18%</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94A9A4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20%</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E0E2DB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20%</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0FD036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23%</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657931A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23%</w:t>
            </w:r>
          </w:p>
        </w:tc>
      </w:tr>
      <w:tr w14:paraId="17448BE0">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766CF718">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4D50539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大寨电站取水坝坝下</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1DA4D70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57D8E57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3589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6E8684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10111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CF5B91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20549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9CAC23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10923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28A3C9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4168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C42F03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2404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F06C19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1953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13D39C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1497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4DF3F8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1152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394A72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977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8DE960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1026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E2F8B1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2430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30F738A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60779 </w:t>
            </w:r>
          </w:p>
        </w:tc>
      </w:tr>
      <w:tr w14:paraId="6F532820">
        <w:tblPrEx>
          <w:tblCellMar>
            <w:top w:w="0" w:type="dxa"/>
            <w:left w:w="108" w:type="dxa"/>
            <w:bottom w:w="0" w:type="dxa"/>
            <w:right w:w="108" w:type="dxa"/>
          </w:tblCellMar>
        </w:tblPrEx>
        <w:trPr>
          <w:trHeight w:val="303"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3BB6CEDE">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6F2AE0DB">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5B0112F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53416CA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2575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FF294E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3720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6847C91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7068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4F99F3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2739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75ECFF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717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B5DD4C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130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49B9D00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271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86DA92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161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1FF218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144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3B4E75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766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E1CE00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805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4CA84E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1905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3859FD3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20999 </w:t>
            </w:r>
          </w:p>
        </w:tc>
      </w:tr>
      <w:tr w14:paraId="018A0F26">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64373FF8">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369E001C">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6677050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7F094CC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28%</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2D3BA6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2FA2ACC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ECC14D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647F97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83%</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23AD62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95%</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363744C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86%</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1575F1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89%</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FE8B1E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88%</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CFEBB7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36BD9C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22%</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B8E996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22%</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08A01D20">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65%</w:t>
            </w:r>
          </w:p>
        </w:tc>
      </w:tr>
      <w:tr w14:paraId="1731D97B">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2873D2F6">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restart"/>
            <w:tcBorders>
              <w:top w:val="single" w:color="000000" w:sz="4" w:space="0"/>
              <w:left w:val="single" w:color="000000" w:sz="4" w:space="0"/>
              <w:bottom w:val="single" w:color="000000" w:sz="4" w:space="0"/>
              <w:right w:val="single" w:color="000000" w:sz="4" w:space="0"/>
            </w:tcBorders>
            <w:vAlign w:val="center"/>
          </w:tcPr>
          <w:p w14:paraId="7E70FD0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九龙河汇入喜旧溪河汇口</w:t>
            </w: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4FA732A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天然径流</w:t>
            </w:r>
          </w:p>
        </w:tc>
        <w:tc>
          <w:tcPr>
            <w:tcW w:w="281" w:type="pct"/>
            <w:tcBorders>
              <w:top w:val="single" w:color="000000" w:sz="4" w:space="0"/>
              <w:left w:val="single" w:color="000000" w:sz="4" w:space="0"/>
              <w:bottom w:val="single" w:color="000000" w:sz="4" w:space="0"/>
              <w:right w:val="single" w:color="000000" w:sz="4" w:space="0"/>
            </w:tcBorders>
            <w:noWrap/>
            <w:vAlign w:val="bottom"/>
          </w:tcPr>
          <w:p w14:paraId="5C4FB2C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3891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88B0C6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10962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968CD6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22279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49BA7A1">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11842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327A977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4519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411911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2606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50F8DA0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2117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75D220BA">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1623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93E710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1248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0B825A3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1059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22CC509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1113 </w:t>
            </w:r>
          </w:p>
        </w:tc>
        <w:tc>
          <w:tcPr>
            <w:tcW w:w="288" w:type="pct"/>
            <w:tcBorders>
              <w:top w:val="single" w:color="000000" w:sz="4" w:space="0"/>
              <w:left w:val="single" w:color="000000" w:sz="4" w:space="0"/>
              <w:bottom w:val="single" w:color="000000" w:sz="4" w:space="0"/>
              <w:right w:val="single" w:color="000000" w:sz="4" w:space="0"/>
            </w:tcBorders>
            <w:noWrap/>
            <w:vAlign w:val="bottom"/>
          </w:tcPr>
          <w:p w14:paraId="133D864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2635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3A562E0F">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65894 </w:t>
            </w:r>
          </w:p>
        </w:tc>
      </w:tr>
      <w:tr w14:paraId="24BA1326">
        <w:tblPrEx>
          <w:tblCellMar>
            <w:top w:w="0" w:type="dxa"/>
            <w:left w:w="108" w:type="dxa"/>
            <w:bottom w:w="0" w:type="dxa"/>
            <w:right w:w="108" w:type="dxa"/>
          </w:tblCellMar>
        </w:tblPrEx>
        <w:trPr>
          <w:trHeight w:val="288"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6E7109F7">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0198311C">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4" w:space="0"/>
              <w:right w:val="single" w:color="000000" w:sz="4" w:space="0"/>
            </w:tcBorders>
            <w:noWrap/>
            <w:vAlign w:val="center"/>
          </w:tcPr>
          <w:p w14:paraId="46A0B3B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现状年径流</w:t>
            </w:r>
          </w:p>
        </w:tc>
        <w:tc>
          <w:tcPr>
            <w:tcW w:w="281" w:type="pct"/>
            <w:tcBorders>
              <w:top w:val="single" w:color="000000" w:sz="4" w:space="0"/>
              <w:left w:val="single" w:color="000000" w:sz="4" w:space="0"/>
              <w:bottom w:val="single" w:color="000000" w:sz="4" w:space="0"/>
              <w:right w:val="single" w:color="000000" w:sz="4" w:space="0"/>
            </w:tcBorders>
            <w:noWrap/>
            <w:vAlign w:val="center"/>
          </w:tcPr>
          <w:p w14:paraId="1E1A9A2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2832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D99352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4428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99897E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8721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6E0802B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3554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445DB85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1011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A75DDE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304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6CF1A9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405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023C2917">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268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5901122C">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257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923126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853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7184EF6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907 </w:t>
            </w:r>
          </w:p>
        </w:tc>
        <w:tc>
          <w:tcPr>
            <w:tcW w:w="288" w:type="pct"/>
            <w:tcBorders>
              <w:top w:val="single" w:color="000000" w:sz="4" w:space="0"/>
              <w:left w:val="single" w:color="000000" w:sz="4" w:space="0"/>
              <w:bottom w:val="single" w:color="000000" w:sz="4" w:space="0"/>
              <w:right w:val="single" w:color="000000" w:sz="4" w:space="0"/>
            </w:tcBorders>
            <w:noWrap/>
            <w:vAlign w:val="center"/>
          </w:tcPr>
          <w:p w14:paraId="13E105E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2019 </w:t>
            </w:r>
          </w:p>
        </w:tc>
        <w:tc>
          <w:tcPr>
            <w:tcW w:w="299" w:type="pct"/>
            <w:tcBorders>
              <w:top w:val="single" w:color="000000" w:sz="4" w:space="0"/>
              <w:left w:val="single" w:color="000000" w:sz="4" w:space="0"/>
              <w:bottom w:val="single" w:color="000000" w:sz="4" w:space="0"/>
              <w:right w:val="single" w:color="000000" w:sz="8" w:space="0"/>
            </w:tcBorders>
            <w:noWrap/>
            <w:vAlign w:val="center"/>
          </w:tcPr>
          <w:p w14:paraId="3AAD484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 xml:space="preserve">25559 </w:t>
            </w:r>
          </w:p>
        </w:tc>
      </w:tr>
      <w:tr w14:paraId="0BF3862B">
        <w:tblPrEx>
          <w:tblCellMar>
            <w:top w:w="0" w:type="dxa"/>
            <w:left w:w="108" w:type="dxa"/>
            <w:bottom w:w="0" w:type="dxa"/>
            <w:right w:w="108" w:type="dxa"/>
          </w:tblCellMar>
        </w:tblPrEx>
        <w:trPr>
          <w:trHeight w:val="303" w:hRule="atLeast"/>
        </w:trPr>
        <w:tc>
          <w:tcPr>
            <w:tcW w:w="295" w:type="pct"/>
            <w:vMerge w:val="continue"/>
            <w:tcBorders>
              <w:top w:val="single" w:color="000000" w:sz="4" w:space="0"/>
              <w:left w:val="single" w:color="000000" w:sz="8" w:space="0"/>
              <w:bottom w:val="single" w:color="000000" w:sz="4" w:space="0"/>
              <w:right w:val="single" w:color="000000" w:sz="4" w:space="0"/>
            </w:tcBorders>
            <w:noWrap/>
            <w:vAlign w:val="center"/>
          </w:tcPr>
          <w:p w14:paraId="117D665C">
            <w:pPr>
              <w:pStyle w:val="35"/>
              <w:spacing w:line="240" w:lineRule="auto"/>
              <w:ind w:firstLine="0" w:firstLineChars="0"/>
              <w:rPr>
                <w:rFonts w:hint="default" w:ascii="Times New Roman" w:hAnsi="Times New Roman" w:eastAsia="宋体" w:cs="Times New Roman"/>
                <w:color w:val="auto"/>
                <w:highlight w:val="none"/>
              </w:rPr>
            </w:pPr>
          </w:p>
        </w:tc>
        <w:tc>
          <w:tcPr>
            <w:tcW w:w="447" w:type="pct"/>
            <w:vMerge w:val="continue"/>
            <w:tcBorders>
              <w:top w:val="single" w:color="000000" w:sz="4" w:space="0"/>
              <w:left w:val="single" w:color="000000" w:sz="4" w:space="0"/>
              <w:bottom w:val="single" w:color="000000" w:sz="4" w:space="0"/>
              <w:right w:val="single" w:color="000000" w:sz="4" w:space="0"/>
            </w:tcBorders>
            <w:vAlign w:val="center"/>
          </w:tcPr>
          <w:p w14:paraId="12CC8AD3">
            <w:pPr>
              <w:pStyle w:val="35"/>
              <w:spacing w:line="240" w:lineRule="auto"/>
              <w:ind w:firstLine="0" w:firstLineChars="0"/>
              <w:rPr>
                <w:rFonts w:hint="default" w:ascii="Times New Roman" w:hAnsi="Times New Roman" w:eastAsia="宋体" w:cs="Times New Roman"/>
                <w:color w:val="auto"/>
                <w:highlight w:val="none"/>
              </w:rPr>
            </w:pPr>
          </w:p>
        </w:tc>
        <w:tc>
          <w:tcPr>
            <w:tcW w:w="509" w:type="pct"/>
            <w:tcBorders>
              <w:top w:val="single" w:color="000000" w:sz="4" w:space="0"/>
              <w:left w:val="single" w:color="000000" w:sz="4" w:space="0"/>
              <w:bottom w:val="single" w:color="000000" w:sz="8" w:space="0"/>
              <w:right w:val="single" w:color="000000" w:sz="4" w:space="0"/>
            </w:tcBorders>
            <w:noWrap/>
            <w:vAlign w:val="center"/>
          </w:tcPr>
          <w:p w14:paraId="4BF68B5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减水率（%）</w:t>
            </w:r>
          </w:p>
        </w:tc>
        <w:tc>
          <w:tcPr>
            <w:tcW w:w="281" w:type="pct"/>
            <w:tcBorders>
              <w:top w:val="single" w:color="000000" w:sz="4" w:space="0"/>
              <w:left w:val="single" w:color="000000" w:sz="4" w:space="0"/>
              <w:bottom w:val="single" w:color="000000" w:sz="8" w:space="0"/>
              <w:right w:val="single" w:color="000000" w:sz="4" w:space="0"/>
            </w:tcBorders>
            <w:noWrap/>
            <w:vAlign w:val="center"/>
          </w:tcPr>
          <w:p w14:paraId="4C4CFF92">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27%</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40F551E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60%</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1E53671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61%</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00A7310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70%</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2910B88E">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78%</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0184DF5B">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88%</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617954C6">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81%</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06B626A9">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83%</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14F5C5E3">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79%</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33B55A8D">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19%</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4F5F98D5">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18%</w:t>
            </w:r>
          </w:p>
        </w:tc>
        <w:tc>
          <w:tcPr>
            <w:tcW w:w="288" w:type="pct"/>
            <w:tcBorders>
              <w:top w:val="single" w:color="000000" w:sz="4" w:space="0"/>
              <w:left w:val="single" w:color="000000" w:sz="4" w:space="0"/>
              <w:bottom w:val="single" w:color="000000" w:sz="8" w:space="0"/>
              <w:right w:val="single" w:color="000000" w:sz="4" w:space="0"/>
            </w:tcBorders>
            <w:noWrap/>
            <w:vAlign w:val="center"/>
          </w:tcPr>
          <w:p w14:paraId="2176F368">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23%</w:t>
            </w:r>
          </w:p>
        </w:tc>
        <w:tc>
          <w:tcPr>
            <w:tcW w:w="299" w:type="pct"/>
            <w:tcBorders>
              <w:top w:val="single" w:color="000000" w:sz="4" w:space="0"/>
              <w:left w:val="single" w:color="000000" w:sz="4" w:space="0"/>
              <w:bottom w:val="single" w:color="000000" w:sz="8" w:space="0"/>
              <w:right w:val="single" w:color="000000" w:sz="8" w:space="0"/>
            </w:tcBorders>
            <w:noWrap/>
            <w:vAlign w:val="center"/>
          </w:tcPr>
          <w:p w14:paraId="6B648FF4">
            <w:pPr>
              <w:pStyle w:val="35"/>
              <w:spacing w:line="240" w:lineRule="auto"/>
              <w:ind w:firstLine="0" w:firstLineChars="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bidi="ar"/>
              </w:rPr>
              <w:t>61%</w:t>
            </w:r>
          </w:p>
        </w:tc>
      </w:tr>
    </w:tbl>
    <w:p w14:paraId="5E9ADC8E">
      <w:pPr>
        <w:pStyle w:val="14"/>
        <w:spacing w:before="163" w:beforeLines="50"/>
        <w:ind w:firstLine="420"/>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注：减水率=（天然径流-现状年径流）/天然径流*100%；表征大量水利水电工程建设后对径流的影响。</w:t>
      </w:r>
    </w:p>
    <w:p w14:paraId="4BEF6C48">
      <w:pPr>
        <w:pStyle w:val="14"/>
        <w:ind w:firstLine="480"/>
        <w:rPr>
          <w:rFonts w:hint="default" w:ascii="Times New Roman" w:hAnsi="Times New Roman" w:cs="Times New Roman"/>
          <w:color w:val="auto"/>
          <w:highlight w:val="none"/>
        </w:rPr>
      </w:pPr>
    </w:p>
    <w:p w14:paraId="6176DB7F">
      <w:pPr>
        <w:pStyle w:val="14"/>
        <w:ind w:firstLine="480"/>
        <w:rPr>
          <w:rFonts w:hint="default" w:ascii="Times New Roman" w:hAnsi="Times New Roman" w:cs="Times New Roman"/>
          <w:color w:val="auto"/>
          <w:highlight w:val="none"/>
        </w:rPr>
        <w:sectPr>
          <w:pgSz w:w="16838" w:h="11906" w:orient="landscape"/>
          <w:pgMar w:top="1800" w:right="1440" w:bottom="1800" w:left="1440" w:header="851" w:footer="992" w:gutter="0"/>
          <w:pgNumType w:fmt="decimal"/>
          <w:cols w:space="425" w:num="1"/>
          <w:docGrid w:type="lines" w:linePitch="326" w:charSpace="0"/>
        </w:sectPr>
      </w:pPr>
    </w:p>
    <w:p w14:paraId="57457C4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（3）水利水电工程的建设，加剧了河流片段化和破碎化，挤占了天然河道的生态空间</w:t>
      </w:r>
    </w:p>
    <w:p w14:paraId="1FBE665F">
      <w:pPr>
        <w:ind w:firstLine="48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①</w:t>
      </w:r>
      <w:r>
        <w:rPr>
          <w:rFonts w:hint="default" w:ascii="Times New Roman" w:hAnsi="Times New Roman" w:cs="Times New Roman"/>
          <w:color w:val="auto"/>
          <w:highlight w:val="none"/>
        </w:rPr>
        <w:t>天然阻隔</w:t>
      </w:r>
    </w:p>
    <w:p w14:paraId="666A208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流域处于滇东地区，为典型的喀斯特地貌区，区内溶洞、落水洞、伏流、暗河、跌坎等较为发育。九龙河天然状态有2处明显阻隔，一为阿岗水库坝址下游12.9km处的“落水洞⁓冒水洞”区，九龙河于木作村附近的落水洞进入地下暗河，2km后的冒水洞出入地表，2km范围内形成了98m的天然落差；二为以堵村下游500m处的九龙河瀑布群，在4km的河道上分布有十多级瀑布，其中最大的以堵瀑布高56 m，宽114m，形成了一明显的天然阻隔。</w:t>
      </w:r>
    </w:p>
    <w:p w14:paraId="106EC8F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②人为阻隔</w:t>
      </w:r>
    </w:p>
    <w:p w14:paraId="0520711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干流已建大型水库2座，即独木水库和阿岗水库，已建电站6座，此外还建有数座农业灌溉取水坝。独木水库位于曲靖市麒麟区的东山镇，位于九龙河干流上游，兴建于1958年，回水长度约8.2km。阿岗水库位于九龙河中上游，回水长度27.2 km。此外，九龙河干流建有6座水电站。其中冒水洞电站位于九龙河干流，为引水式水电站，于1998年建成，取水坝位于落水洞上游，“落水洞⁓冒水洞”为一天然暗河（落水洞），电站建成运行后，由于该电站为引水式电站，加剧了该暗河区域的减脱水现象；腊庄电站位于罗平县九龙镇九龙河干流，为引水式水电站，于1991年建成，电站减脱水长度4.8km，电站库区回水长度约2km；大寨电站位于罗平县九龙镇九龙河干流，为引水式水电站，于1977年建成，厂房位于牛街河流域，经发电后尾水注入牛街河，对电站取水坝下游的九龙河干流造成较大的减水影响，减水河段长度约20km；以德电站位于罗平县九龙镇九龙河干流，为引水式水电站，于2006年建成，装机容量5000kW，减脱水河段长度约1.8km。以上水利水电工程形成的库区河段和减脱水河段共计64.2km，占河流总长的38.8%。由于大坝的建设、库区的形成，以及引水式电站减脱水河段的形成，加剧了河流的阻隔效应，使得天然河道进一步片段化，天然河道生态空间进一步被挤占。</w:t>
      </w:r>
    </w:p>
    <w:p w14:paraId="48A0470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（4）生态流量回顾</w:t>
      </w:r>
    </w:p>
    <w:p w14:paraId="47D14A5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由工程建设情况可知，流域共建有大型水库1座，中型水库2座，小型水库7座，水电站8座，在建大型水库1座。经初步调查，以上工程中，仅有在建工程阿岗水库（已蓄水）和已建水电工程按要求下放了生态流量，并配备监控措施。其余工程因建设年代久远，未设计生态流量下泄设施，也未下泄生态流量，据统计，被挤占生态流量2.24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，对流域水生态环境造成了较大不利影响。因此，按环保要求实施“以新带老”，逐步补建或改造生态流量下泄设施，按要求下放生态流量，是非常必要的。</w:t>
      </w:r>
    </w:p>
    <w:p w14:paraId="34BA2FDE">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流域陆生生态回顾性分析</w:t>
      </w:r>
    </w:p>
    <w:p w14:paraId="64B6E65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域属滇中、东高原半湿润常绿阔叶林、云南松林区，坝区和缓坡山丘分布广泛，是云南省耕地、人口、城镇分布密集区域，农业耕垦开发历史久远，天然原生森林植被留存不多，区域动植物资源总体有限，物种丰富度不高。本次陆生生态回顾性分析，结合 2007 年、20</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4 年两期遥感影像</w:t>
      </w:r>
      <w:r>
        <w:rPr>
          <w:rFonts w:hint="default" w:ascii="Times New Roman" w:hAnsi="Times New Roman" w:cs="Times New Roman"/>
          <w:color w:val="auto"/>
          <w:highlight w:val="none"/>
          <w:lang w:val="en-US" w:eastAsia="zh-CN"/>
        </w:rPr>
        <w:t>土地利用</w:t>
      </w:r>
      <w:r>
        <w:rPr>
          <w:rFonts w:hint="default" w:ascii="Times New Roman" w:hAnsi="Times New Roman" w:cs="Times New Roman"/>
          <w:color w:val="auto"/>
          <w:highlight w:val="none"/>
        </w:rPr>
        <w:t>解译成果、历史文献资料、现场调查与走访调查，分别从植物植被、陆生动物、生态系统三个层面</w:t>
      </w:r>
      <w:r>
        <w:rPr>
          <w:rFonts w:hint="default" w:ascii="Times New Roman" w:hAnsi="Times New Roman" w:cs="Times New Roman"/>
          <w:color w:val="auto"/>
          <w:highlight w:val="none"/>
          <w:lang w:val="en-US" w:eastAsia="zh-CN"/>
        </w:rPr>
        <w:t>进行回顾</w:t>
      </w:r>
      <w:r>
        <w:rPr>
          <w:rFonts w:hint="default" w:ascii="Times New Roman" w:hAnsi="Times New Roman" w:cs="Times New Roman"/>
          <w:color w:val="auto"/>
          <w:highlight w:val="none"/>
        </w:rPr>
        <w:t>，识别历史开发带来的遗留生态短板。</w:t>
      </w:r>
    </w:p>
    <w:p w14:paraId="337BC9C3">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）植物植被层面回顾分析</w:t>
      </w:r>
    </w:p>
    <w:p w14:paraId="72D0389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依据《云南植被》历史本底资料，区域内云南松林分布广泛，海拔 1500</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2800m，耐旱耐贫瘠、生态适应幅度大；华山松、滇油杉多见于海拔 2000</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2500m，多与云南松混交，大面积纯林较少；石灰岩山地零散分布冲天柏、刺柏疏林。落叶树种多零星混杂于阔叶林中，现存小片阔叶林以次生林、半人工林为主，旱冬瓜林较为常见；海拔 1500</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2500m荒山荒地上广泛发育稀树灌木草丛，优势物种常见云南松、珍珠花、刺芒野古草；石灰岩出露区域广泛分布以铁仔、金花小檗为优势的石灰岩山地灌丛。</w:t>
      </w:r>
    </w:p>
    <w:p w14:paraId="43995F7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对比历史文献记载与现状实地调查，现状保存有常绿阔叶林、落叶阔叶林、暖性针叶林、灌丛、稀树灌木草丛 5 种植被类型、7 个植被亚型，流域尺度没有发生植被类型、植被亚型的消失。结合两期遥感解译结果，2007‑20</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4 年，评价区</w:t>
      </w:r>
      <w:r>
        <w:rPr>
          <w:rFonts w:hint="default" w:ascii="Times New Roman" w:hAnsi="Times New Roman" w:cs="Times New Roman"/>
          <w:color w:val="auto"/>
          <w:highlight w:val="none"/>
          <w:lang w:val="en-US" w:eastAsia="zh-CN"/>
        </w:rPr>
        <w:t>乔木林地（</w:t>
      </w:r>
      <w:r>
        <w:rPr>
          <w:rFonts w:hint="default" w:ascii="Times New Roman" w:hAnsi="Times New Roman" w:cs="Times New Roman"/>
          <w:color w:val="auto"/>
          <w:highlight w:val="none"/>
        </w:rPr>
        <w:t>暖温性针叶林、半湿润常绿阔叶林</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和灌木林地（暖温性灌丛）</w:t>
      </w:r>
      <w:r>
        <w:rPr>
          <w:rFonts w:hint="default" w:ascii="Times New Roman" w:hAnsi="Times New Roman" w:cs="Times New Roman"/>
          <w:color w:val="auto"/>
          <w:highlight w:val="none"/>
        </w:rPr>
        <w:t>面积</w:t>
      </w:r>
      <w:r>
        <w:rPr>
          <w:rFonts w:hint="default" w:ascii="Times New Roman" w:hAnsi="Times New Roman" w:cs="Times New Roman"/>
          <w:color w:val="auto"/>
          <w:highlight w:val="none"/>
          <w:lang w:val="en-US" w:eastAsia="zh-CN"/>
        </w:rPr>
        <w:t>有所</w:t>
      </w:r>
      <w:r>
        <w:rPr>
          <w:rFonts w:hint="default" w:ascii="Times New Roman" w:hAnsi="Times New Roman" w:cs="Times New Roman"/>
          <w:color w:val="auto"/>
          <w:highlight w:val="none"/>
        </w:rPr>
        <w:t>缩减；水田、旱地、城乡建设用地</w:t>
      </w:r>
      <w:r>
        <w:rPr>
          <w:rFonts w:hint="default" w:ascii="Times New Roman" w:hAnsi="Times New Roman" w:cs="Times New Roman"/>
          <w:color w:val="auto"/>
          <w:highlight w:val="none"/>
          <w:lang w:val="en-US" w:eastAsia="zh-CN"/>
        </w:rPr>
        <w:t>有所</w:t>
      </w:r>
      <w:r>
        <w:rPr>
          <w:rFonts w:hint="default" w:ascii="Times New Roman" w:hAnsi="Times New Roman" w:cs="Times New Roman"/>
          <w:color w:val="auto"/>
          <w:highlight w:val="none"/>
        </w:rPr>
        <w:t>扩张，</w:t>
      </w:r>
      <w:r>
        <w:rPr>
          <w:rFonts w:hint="default" w:ascii="Times New Roman" w:hAnsi="Times New Roman" w:cs="Times New Roman"/>
          <w:color w:val="auto"/>
          <w:highlight w:val="none"/>
          <w:lang w:val="en-US" w:eastAsia="zh-CN"/>
        </w:rPr>
        <w:t>旱地也向水田转变，人工林植被和</w:t>
      </w:r>
      <w:r>
        <w:rPr>
          <w:rFonts w:hint="default" w:ascii="Times New Roman" w:hAnsi="Times New Roman" w:cs="Times New Roman"/>
          <w:color w:val="auto"/>
          <w:highlight w:val="none"/>
        </w:rPr>
        <w:t>稀树灌木草丛面积有所增加。</w:t>
      </w:r>
    </w:p>
    <w:p w14:paraId="4F71A62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植被格局变化受双重驱动：一是水库枢纽、输水线路等水利工程淹没与永久占地，直接造成局部林地、灌丛消失，该类影响集中在工程红线周边，属于长期、可累积的局部扰动；二是灌区工程提升灌溉保障能力，灌渠周边适宜耕作的自然植被被开垦为耕地，部分旱地改造为水田，土地利用从一种稳态转向人工农业稳态。</w:t>
      </w:r>
    </w:p>
    <w:p w14:paraId="3A7DC0F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同时，天然林保护、封山育林等生态治理工程，使远离坝区的高海拔山地植被得到一定恢复，部分抵消开发带来的植被损耗。但河谷、坝区地带原生半湿润常绿阔叶林持续退化，群落次生化趋势明显。</w:t>
      </w:r>
    </w:p>
    <w:p w14:paraId="02991015">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）陆生动物层面回顾分析</w:t>
      </w:r>
    </w:p>
    <w:p w14:paraId="07C08AF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一般而言，水库及输水工程的建设对项目评价区内常见的兽类、爬行类和两栖类的影响是局部的，影响不大。鸟类活动能力很强，能够迅速逃离不利环境，项目建设不会造成其灭绝或濒危。但基于早些年人类生存空间的膨胀，森林遭受破坏，动物栖息地缩小，生存空间压缩，除与人类关系较密切和对森林依赖性较小的动物种群的数量会有所增长或得以维持外，其余种群数量将逐步减少，稍大型的动物早已随着人类开发而退居森林深处，自然保护区成了这些动物的避难所。根据资料收集和访问调查，评价区内未发现动物种类灭绝的现象。</w:t>
      </w:r>
    </w:p>
    <w:p w14:paraId="345FCCB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随着近几年生态环境</w:t>
      </w:r>
      <w:r>
        <w:rPr>
          <w:rFonts w:hint="eastAsia" w:cs="Times New Roman"/>
          <w:color w:val="auto"/>
          <w:highlight w:val="none"/>
          <w:lang w:val="en-US" w:eastAsia="zh-CN"/>
        </w:rPr>
        <w:t>质量</w:t>
      </w:r>
      <w:r>
        <w:rPr>
          <w:rFonts w:hint="default" w:ascii="Times New Roman" w:hAnsi="Times New Roman" w:cs="Times New Roman"/>
          <w:color w:val="auto"/>
          <w:highlight w:val="none"/>
        </w:rPr>
        <w:t>持续改善，环保意识深入人心以及各级政府部门做出的努力，森林资源破坏得到有效遏制，并且森林面积逐渐增加，为各种陆栖脊椎动物提供了生存空间，随着生态环境的改善，陆栖脊椎动物种类和资源数量也将体现出增加趋势。</w:t>
      </w:r>
    </w:p>
    <w:p w14:paraId="1A2DE76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生态系统层面回顾分析</w:t>
      </w:r>
    </w:p>
    <w:p w14:paraId="4BB8E9F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主要生态系统类型包括：森林生态系统（半湿润常绿阔叶林、暖温性针叶林）、喀斯特灌丛生态系统、稀树‑灌木草丛生态系统、农田生态系统、水域湿地生态系统。结合遥感时序数据，从组分结构、空间格局、生产力、稳定性、完整性、生态服务功能开展回顾研判。</w:t>
      </w:r>
    </w:p>
    <w:p w14:paraId="1151189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①组分结构：流域大类生态系统没有整体消亡，但原生组分占比下降，次生、人工组分占比明显提升。原生半湿润常绿阔叶林生态系统大量转化为次生针叶林、人工林；灌丛被开垦替换为农田；水库建设将天然流水河流局部改造为静水库区，水生生物组分发生更替。稀树灌木草丛部分为森林砍伐后退化形成的次生类型；水田、旱地等人工农田生态系统范围持续扩张。</w:t>
      </w:r>
    </w:p>
    <w:p w14:paraId="16A2C0F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②空间格局：历史时期森林、灌丛在山地连续成片分布，经过开垦、水库、渠系、城镇建设切割，森林和灌丛的大斑块被拆分，斑块数量增多、平均斑块面积减小，景观破碎化程度升高。森林逐步退缩至高海拔干扰小的山地；喀斯特灌丛演变为孤岛式碎片化分布；水库新增水域斑块，同时输水渠道、枢纽形成线状人工隔离带，进一步割裂陆生生态系统空间连通。高海拔山地通过封山育林实现部分斑块恢复，但坝区、河谷破碎化趋势没有得到根本扭转。</w:t>
      </w:r>
    </w:p>
    <w:p w14:paraId="1416C3A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③生产力：原生阔叶林转变为次生林后单位面积自然生产力有所下降；</w:t>
      </w:r>
      <w:r>
        <w:rPr>
          <w:rFonts w:hint="default" w:ascii="Times New Roman" w:hAnsi="Times New Roman" w:cs="Times New Roman"/>
          <w:color w:val="auto"/>
          <w:highlight w:val="none"/>
          <w:lang w:val="en-US" w:eastAsia="zh-CN"/>
        </w:rPr>
        <w:t>工程</w:t>
      </w:r>
      <w:r>
        <w:rPr>
          <w:rFonts w:hint="default" w:ascii="Times New Roman" w:hAnsi="Times New Roman" w:cs="Times New Roman"/>
          <w:color w:val="auto"/>
          <w:highlight w:val="none"/>
        </w:rPr>
        <w:t>扰动后容易出现生产力衰减。灌区工程提升农田灌溉条件，人工农业生产力得到提高；封山育林使部分山地林草生产力得到补偿。全流域总生产力没有断崖式下降，但生产力结构发生转变，自然生态系统贡献占比降低，人工生态系统贡献占比提升。</w:t>
      </w:r>
    </w:p>
    <w:p w14:paraId="22704FB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④稳定性：原生常绿阔叶林食物网复杂，抗干扰能力强；大量原生林替换为结构简单的次生针叶林、灌草丛，生态系统抗扰动能力下降。受开挖、开垦扰动后容易发生水土流失，甚至向石漠化演化。后期水土保持、封禁治理使重点治理片区稳定性改善，但坝区、喀斯特工程扰动片区稳定性依旧偏弱。</w:t>
      </w:r>
    </w:p>
    <w:p w14:paraId="6523FFE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⑤完整性：各类生态系统大类均得以保留，但局部片区完整性受损。原生常绿阔叶林仅零散残存；水陆过渡的河漫滩、库周消落带受工程影响发生退化；早期工程缺少生态连通设施，物质循环、物种迁徙交流受阻；现有修复多为点状治理，尚未实现流域尺度系统性修复。</w:t>
      </w:r>
    </w:p>
    <w:p w14:paraId="4189319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⑥生态服务功能：供给服务方面，水库、灌区显著提升水资源、粮食供给能力，但森林的林产品供给局部下降；调节服务方面，原生植被缩减造成局部水源涵养、土壤保持能力衰减，水库增加洪水调蓄能力；支持服务上，栖息地维持、生物繁衍的支持功能随生境破碎整体削弱。</w:t>
      </w:r>
    </w:p>
    <w:p w14:paraId="50A8015A">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陆生生态存在的短板</w:t>
      </w:r>
    </w:p>
    <w:p w14:paraId="57FC902E">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①地带性原生半湿润常绿阔叶林呈碎片化分布，面积持续萎缩，现存森林以次生针叶林、人工林为主，群落结构简单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原生生态系统占比萎缩</w:t>
      </w:r>
      <w:r>
        <w:rPr>
          <w:rFonts w:hint="default" w:ascii="Times New Roman" w:hAnsi="Times New Roman" w:cs="Times New Roman"/>
          <w:color w:val="auto"/>
          <w:highlight w:val="none"/>
          <w:lang w:eastAsia="zh-CN"/>
        </w:rPr>
        <w:t>。</w:t>
      </w:r>
    </w:p>
    <w:p w14:paraId="51C753C0">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②历史扰动区域存在水土流失、潜在石漠化风险，部分工程迹地修复成效有限</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早期工程临时渣场、料场迹地修复质量参差不齐，难以向近自然群落演替</w:t>
      </w:r>
      <w:r>
        <w:rPr>
          <w:rFonts w:hint="default" w:ascii="Times New Roman" w:hAnsi="Times New Roman" w:cs="Times New Roman"/>
          <w:color w:val="auto"/>
          <w:highlight w:val="none"/>
          <w:lang w:eastAsia="zh-CN"/>
        </w:rPr>
        <w:t>。</w:t>
      </w:r>
    </w:p>
    <w:p w14:paraId="11BD536B">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③缺少系统的陆生动物迁徙廊道，小型兽类、两栖爬行类受水库、渠系、道路阻隔，种群基因交流受到限制</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早期工程对野生动物繁殖季施工管控不足，存在繁殖期人为扰动历史问题。</w:t>
      </w:r>
    </w:p>
    <w:p w14:paraId="452912EF">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流域水生生态回顾性分析</w:t>
      </w:r>
    </w:p>
    <w:p w14:paraId="09718D25">
      <w:pPr>
        <w:keepNext w:val="0"/>
        <w:keepLines w:val="0"/>
        <w:pageBreakBefore w:val="0"/>
        <w:widowControl w:val="0"/>
        <w:kinsoku/>
        <w:wordWrap/>
        <w:overflowPunct/>
        <w:topLinePunct w:val="0"/>
        <w:autoSpaceDE/>
        <w:autoSpaceDN/>
        <w:bidi w:val="0"/>
        <w:adjustRightInd w:val="0"/>
        <w:snapToGrid w:val="0"/>
        <w:ind w:left="0"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结合历史资料及现状调查情况，以九龙河流域</w:t>
      </w:r>
      <w:r>
        <w:rPr>
          <w:rFonts w:hint="default" w:ascii="Times New Roman" w:hAnsi="Times New Roman" w:cs="Times New Roman"/>
          <w:color w:val="auto"/>
          <w:highlight w:val="none"/>
          <w:lang w:val="en-US" w:eastAsia="zh-CN"/>
        </w:rPr>
        <w:t>上已建工程作为</w:t>
      </w:r>
      <w:r>
        <w:rPr>
          <w:rFonts w:hint="default" w:ascii="Times New Roman" w:hAnsi="Times New Roman" w:cs="Times New Roman"/>
          <w:color w:val="auto"/>
          <w:highlight w:val="none"/>
        </w:rPr>
        <w:t>水生态回顾性评价对象。</w:t>
      </w:r>
    </w:p>
    <w:p w14:paraId="44FCC6C3">
      <w:pPr>
        <w:keepNext w:val="0"/>
        <w:keepLines w:val="0"/>
        <w:pageBreakBefore w:val="0"/>
        <w:widowControl w:val="0"/>
        <w:kinsoku/>
        <w:wordWrap/>
        <w:overflowPunct/>
        <w:topLinePunct w:val="0"/>
        <w:autoSpaceDE/>
        <w:autoSpaceDN/>
        <w:bidi w:val="0"/>
        <w:adjustRightInd w:val="0"/>
        <w:snapToGrid w:val="0"/>
        <w:ind w:left="0"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九龙河流域是罗平县境内水量最大，流域面积最大，水能资源和渔业资源最为丰富的河流，现在已经建成梯级电站10多座，形成电站库区10万多亩。电站的建设，使河流原有连续的河流生态系统被分隔成不连续的环境单元，造成了生态景观的破碎。研究表明，由于大坝的阻隔，完整的河流环境被分割成不同的片段，鱼类生境的片段化和破碎化导致形成大小不同的异质种群，种群间基因不能交流，使各个种群将受到不同程度的影响。种群数量较大的鱼类，群体间将出现遗传分化；种群数量较少的物种将逐步丧失遗传多样性，危及物种长期生存，导致种群灭绝的概率增加。</w:t>
      </w:r>
    </w:p>
    <w:p w14:paraId="22244D2E">
      <w:pPr>
        <w:keepNext w:val="0"/>
        <w:keepLines w:val="0"/>
        <w:pageBreakBefore w:val="0"/>
        <w:widowControl w:val="0"/>
        <w:kinsoku/>
        <w:wordWrap/>
        <w:overflowPunct/>
        <w:topLinePunct w:val="0"/>
        <w:autoSpaceDE/>
        <w:autoSpaceDN/>
        <w:bidi w:val="0"/>
        <w:adjustRightInd w:val="0"/>
        <w:snapToGrid w:val="0"/>
        <w:ind w:left="0"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根据《云南省曲靖市阿岗水库工程环境影响报告书》（2016年），2014年和2015年九龙河干流走访调查和实际采集到鱼类25种，隶属于4目8科25属。</w:t>
      </w:r>
      <w:r>
        <w:rPr>
          <w:rFonts w:hint="default" w:ascii="Times New Roman" w:hAnsi="Times New Roman" w:cs="Times New Roman"/>
          <w:color w:val="auto"/>
          <w:highlight w:val="none"/>
          <w:lang w:val="en-US" w:eastAsia="zh-CN"/>
        </w:rPr>
        <w:t>至2024年罗师灌区环评项目组</w:t>
      </w:r>
      <w:r>
        <w:rPr>
          <w:rFonts w:hint="default" w:ascii="Times New Roman" w:hAnsi="Times New Roman" w:cs="Times New Roman"/>
          <w:color w:val="auto"/>
          <w:highlight w:val="none"/>
        </w:rPr>
        <w:t>在九龙河干流及其主要支流子午河、二允河、雨波罗河、革宜河共采集到鱼类18种，隶属于5目9科17属，其中土著鱼类有13种。从以上数据可以看出，在10年时间里，九龙河鱼类丰富度</w:t>
      </w:r>
      <w:r>
        <w:rPr>
          <w:rFonts w:hint="default" w:ascii="Times New Roman" w:hAnsi="Times New Roman" w:cs="Times New Roman"/>
          <w:color w:val="auto"/>
          <w:highlight w:val="none"/>
          <w:lang w:val="en-US" w:eastAsia="zh-CN"/>
        </w:rPr>
        <w:t>呈现</w:t>
      </w:r>
      <w:r>
        <w:rPr>
          <w:rFonts w:hint="default" w:ascii="Times New Roman" w:hAnsi="Times New Roman" w:cs="Times New Roman"/>
          <w:color w:val="auto"/>
          <w:highlight w:val="none"/>
        </w:rPr>
        <w:t>下降</w:t>
      </w:r>
      <w:r>
        <w:rPr>
          <w:rFonts w:hint="default" w:ascii="Times New Roman" w:hAnsi="Times New Roman" w:cs="Times New Roman"/>
          <w:color w:val="auto"/>
          <w:highlight w:val="none"/>
          <w:lang w:val="en-US" w:eastAsia="zh-CN"/>
        </w:rPr>
        <w:t>趋势</w:t>
      </w:r>
      <w:r>
        <w:rPr>
          <w:rFonts w:hint="default" w:ascii="Times New Roman" w:hAnsi="Times New Roman" w:cs="Times New Roman"/>
          <w:color w:val="auto"/>
          <w:highlight w:val="none"/>
        </w:rPr>
        <w:t>，且外来鱼类占据了主导地位，可能的原因如下：</w:t>
      </w:r>
      <w:r>
        <w:rPr>
          <w:rFonts w:hint="default" w:ascii="Times New Roman" w:hAnsi="Times New Roman" w:cs="Times New Roman"/>
          <w:color w:val="auto"/>
          <w:highlight w:val="none"/>
          <w:lang w:val="en-US" w:eastAsia="zh-CN"/>
        </w:rPr>
        <w:t>一是</w:t>
      </w:r>
      <w:r>
        <w:rPr>
          <w:rFonts w:hint="default" w:ascii="Times New Roman" w:hAnsi="Times New Roman" w:cs="Times New Roman"/>
          <w:color w:val="auto"/>
          <w:highlight w:val="none"/>
        </w:rPr>
        <w:t>随着近年来周围村镇人口数量的增加，随之而来的水域环境污染及酷渔滥捕，导致土著鱼类分布区的缩小和物种多样性的下降；</w:t>
      </w:r>
      <w:r>
        <w:rPr>
          <w:rFonts w:hint="default" w:ascii="Times New Roman" w:hAnsi="Times New Roman" w:cs="Times New Roman"/>
          <w:color w:val="auto"/>
          <w:highlight w:val="none"/>
          <w:lang w:val="en-US" w:eastAsia="zh-CN"/>
        </w:rPr>
        <w:t>二是</w:t>
      </w:r>
      <w:r>
        <w:rPr>
          <w:rFonts w:hint="default" w:ascii="Times New Roman" w:hAnsi="Times New Roman" w:cs="Times New Roman"/>
          <w:color w:val="auto"/>
          <w:highlight w:val="none"/>
        </w:rPr>
        <w:t>电站运营后，由于水文条件的变化和阻隔影响，一些土著鱼类的分布区缩小，物种多样性下降；</w:t>
      </w:r>
      <w:r>
        <w:rPr>
          <w:rFonts w:hint="default" w:ascii="Times New Roman" w:hAnsi="Times New Roman" w:cs="Times New Roman"/>
          <w:color w:val="auto"/>
          <w:highlight w:val="none"/>
          <w:lang w:val="en-US" w:eastAsia="zh-CN"/>
        </w:rPr>
        <w:t>三是</w:t>
      </w:r>
      <w:r>
        <w:rPr>
          <w:rFonts w:hint="default" w:ascii="Times New Roman" w:hAnsi="Times New Roman" w:cs="Times New Roman"/>
          <w:color w:val="auto"/>
          <w:highlight w:val="none"/>
        </w:rPr>
        <w:t>外来鱼类严重侵占了土著鱼类生存空间和食物资源，导致土著鱼类种类下降；</w:t>
      </w:r>
      <w:r>
        <w:rPr>
          <w:rFonts w:hint="default" w:ascii="Times New Roman" w:hAnsi="Times New Roman" w:cs="Times New Roman"/>
          <w:color w:val="auto"/>
          <w:highlight w:val="none"/>
          <w:lang w:val="en-US" w:eastAsia="zh-CN"/>
        </w:rPr>
        <w:t>四是</w:t>
      </w:r>
      <w:r>
        <w:rPr>
          <w:rFonts w:hint="default" w:ascii="Times New Roman" w:hAnsi="Times New Roman" w:cs="Times New Roman"/>
          <w:color w:val="auto"/>
          <w:highlight w:val="none"/>
        </w:rPr>
        <w:t>九龙河流域所处区域岩溶发育，几乎包括了所有的地貌形态，其中有溶蚀洼地、断陷盆地、地下溶洞、暗河等。由于地表水和地下生境多样性极高，为地表生活鱼类和穴居鱼类的强烈分化提供了适宜的环境条件。</w:t>
      </w:r>
    </w:p>
    <w:p w14:paraId="565813B6">
      <w:pPr>
        <w:keepNext w:val="0"/>
        <w:keepLines w:val="0"/>
        <w:pageBreakBefore w:val="0"/>
        <w:widowControl w:val="0"/>
        <w:kinsoku/>
        <w:wordWrap/>
        <w:overflowPunct/>
        <w:topLinePunct w:val="0"/>
        <w:autoSpaceDE/>
        <w:autoSpaceDN/>
        <w:bidi w:val="0"/>
        <w:adjustRightInd w:val="0"/>
        <w:snapToGrid w:val="0"/>
        <w:ind w:left="0"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总之，九龙河流域电站建设、水域环境污染、外来鱼类入侵及</w:t>
      </w:r>
      <w:r>
        <w:rPr>
          <w:rFonts w:hint="default" w:ascii="Times New Roman" w:hAnsi="Times New Roman" w:cs="Times New Roman"/>
          <w:color w:val="auto"/>
          <w:highlight w:val="none"/>
          <w:lang w:val="en-US" w:eastAsia="zh-CN"/>
        </w:rPr>
        <w:t>人为活动干扰等因素，确实对鱼类的分布格局和物种多样性产生了一定影响，但其具体影响程度仍有待进一步验证与评估。</w:t>
      </w:r>
    </w:p>
    <w:p w14:paraId="2B5439AC">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已建水利水电工程环境影响及环保措施落实</w:t>
      </w:r>
    </w:p>
    <w:p w14:paraId="6C790ABD">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流域已建主要水利水电工程概况</w:t>
      </w:r>
    </w:p>
    <w:p w14:paraId="507F9519">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流域已建工程主要分为三类：一是骨干蓄水水库，代表工程有独木水库、阿岗水库，承担城乡供水、灌溉、防洪、生态补水任务；二是干流及支流梯级水电站，包含鲁布革、凤凰谷中型电站，以及黄泥河、九龙河、五洛河、牛街河等支流众多中小型引水式、坝后式电站，以发电为主，兼顾少量防洪；三是灌区、堤防及中小河流治理工程，包含曲靖大型灌区，南盘江干流沾曲-陆良段、多依河、黄泥河、西河、潇湘江等堤防、河道整治工程，主要发挥防洪减灾、农业灌溉功能。</w:t>
      </w:r>
    </w:p>
    <w:p w14:paraId="150B61E0">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已建工程环境保护措施落实情况</w:t>
      </w:r>
    </w:p>
    <w:p w14:paraId="5E76300C">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（1）陆生生态保护措施</w:t>
      </w:r>
    </w:p>
    <w:p w14:paraId="79B6C258">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新建阿岗水库等大中型骨干工程，按环评批复落实渣场拦挡、表土剥离、临时占地复垦复绿，料场、弃渣场执行“先挡后弃”，植被修复优先选用乡土物种；开展保护野生植物排查，对发现的保护物种采取围挡、移栽保护；配套库区周边水源涵养林、水土保持林建设，同步实施石漠化综合治理，水土保持设施均完成专项验收，大部分渣场、施工便道迹地实现植被恢复。</w:t>
      </w:r>
    </w:p>
    <w:p w14:paraId="32B5C8DB">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早期中小型电站、老水库，建设阶段水土保持设计深度不足，部分临时渣场、施工便道迹地恢复不彻底。经小水电整改、水土保持专项治理，部分裸露迹地补做植被恢复，但部分老旧渣场复绿质量一般，速生外来树种占比偏高，群落向近自然状态演替缓慢。</w:t>
      </w:r>
    </w:p>
    <w:p w14:paraId="4C488392">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后期实施的中小河流治理逐步推广生态护岸；早期堤防多采用硬质浆砌石护岸，滨岸植被破坏明显；后续依托美丽河湖、绿美河湖建设，对部分已建堤防开展滨岸补绿，提升河岸植被覆盖水平。</w:t>
      </w:r>
    </w:p>
    <w:p w14:paraId="3751138D">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总体来看，大中型新建工程陆生生态保护措施落实总体较好；老旧小型工程原有环保措施存在短板，依靠后期整改补救，整体修复质量参差不齐。</w:t>
      </w:r>
    </w:p>
    <w:p w14:paraId="313A3E47">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（2）水生生态保护措施</w:t>
      </w:r>
    </w:p>
    <w:p w14:paraId="45D45F6C">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通过小水电清理整改、水电站生态流量改造，多数保留类电站增设生态流量泄放设施，接入全省生态流量在线监管平台，按照核定最小流量下泄；部分老旧引水式电站原先无专门泄放建筑物，改造前存在坝下减水问题，经整改后得到改善。阿岗水库配套生态放水设施，保障下游河道基础水量。</w:t>
      </w:r>
    </w:p>
    <w:p w14:paraId="42B908B6">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阿岗水库配套建设鱼类增殖站，开展土著鱼类增殖放流，部分电站设置拦鱼设施。早期老水库、小水电站基本未配套过鱼、增殖放流设施，后期依靠渔业部门统一增殖放流进行弥补，但放流对象、放流规模缺乏系统性。</w:t>
      </w:r>
    </w:p>
    <w:p w14:paraId="78B837EC">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阿岗水库设置分层取水设施，减缓低温水下泄对下游鱼类繁殖的不利影响；多数早期水库无分层取水设计，存在低温水下泄遗留影响。</w:t>
      </w:r>
    </w:p>
    <w:p w14:paraId="38472662">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（3）水环境保护措施</w:t>
      </w:r>
    </w:p>
    <w:p w14:paraId="0E6794F1">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独木水库等饮用水源地完成保护区划定，实施库区污染源综合整治，关停库区周边散乱矿山，配套截污、人工湿地净化设施及村镇污水收集系统，水质实现明显改善，阿岗水库水源保护区划定工作也接近尾声。</w:t>
      </w:r>
    </w:p>
    <w:p w14:paraId="5BD9A1F2">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新建大中型枢纽电站生产废水处理后回用，生活污水不外排；部分早期小型电站生活污水仅采用简易化粪池处理，存在运维管理不到位风险。早期灌区缺少系统面源拦截设施，农业退水直接入河现象较为普遍，后期逐步配套建设生态沟渠、退水拦截设施。</w:t>
      </w:r>
    </w:p>
    <w:p w14:paraId="20570D38">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已建工程实际产生的环境影响</w:t>
      </w:r>
    </w:p>
    <w:p w14:paraId="4985DE79">
      <w:pPr>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陆生生态</w:t>
      </w:r>
    </w:p>
    <w:p w14:paraId="2F1C52B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库、灌区改善供水条件，提升农田生产力；库区周边水源涵养、水土保持治理提高局部林草覆盖率。不利影响表现为水库淹没、工程永久占地造成局部林地、灌草丛生物量不可逆损失；施工扰动引发局部水土流失，喀斯特薄土层区域恢复周期长；部分渣场、便道迹地修复不到位，线状工程加剧栖息地碎片化。整体不利影响集中在工程局部范围，未造成流域尺度植被、陆生脊椎动物物种区域性消失。</w:t>
      </w:r>
    </w:p>
    <w:p w14:paraId="021CAB61">
      <w:pPr>
        <w:numPr>
          <w:ilvl w:val="0"/>
          <w:numId w:val="12"/>
        </w:num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水生生态</w:t>
      </w:r>
    </w:p>
    <w:p w14:paraId="56E24649">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水库调蓄</w:t>
      </w:r>
      <w:r>
        <w:rPr>
          <w:rFonts w:hint="default" w:ascii="Times New Roman" w:hAnsi="Times New Roman" w:eastAsia="宋体" w:cs="Times New Roman"/>
          <w:color w:val="auto"/>
          <w:highlight w:val="none"/>
          <w:lang w:val="en-US" w:eastAsia="zh-CN"/>
        </w:rPr>
        <w:t>改变水资源时空分布</w:t>
      </w:r>
      <w:r>
        <w:rPr>
          <w:rFonts w:hint="default" w:ascii="Times New Roman" w:hAnsi="Times New Roman" w:eastAsia="宋体" w:cs="Times New Roman"/>
          <w:color w:val="auto"/>
          <w:highlight w:val="none"/>
        </w:rPr>
        <w:t>，枯水期补水改善下游水量条件；生态流量改造一定程</w:t>
      </w:r>
      <w:r>
        <w:rPr>
          <w:rFonts w:hint="default" w:ascii="Times New Roman" w:hAnsi="Times New Roman" w:cs="Times New Roman"/>
          <w:color w:val="auto"/>
          <w:highlight w:val="none"/>
          <w:lang w:eastAsia="zh-CN"/>
        </w:rPr>
        <w:t>度上</w:t>
      </w:r>
      <w:r>
        <w:rPr>
          <w:rFonts w:hint="default" w:ascii="Times New Roman" w:hAnsi="Times New Roman" w:eastAsia="宋体" w:cs="Times New Roman"/>
          <w:color w:val="auto"/>
          <w:highlight w:val="none"/>
        </w:rPr>
        <w:t>缓解坝下减脱水，增殖放流对鱼类资源</w:t>
      </w:r>
      <w:r>
        <w:rPr>
          <w:rFonts w:hint="default" w:ascii="Times New Roman" w:hAnsi="Times New Roman" w:eastAsia="宋体" w:cs="Times New Roman"/>
          <w:color w:val="auto"/>
          <w:highlight w:val="none"/>
          <w:lang w:val="en-US" w:eastAsia="zh-CN"/>
        </w:rPr>
        <w:t>进行</w:t>
      </w:r>
      <w:r>
        <w:rPr>
          <w:rFonts w:hint="default" w:ascii="Times New Roman" w:hAnsi="Times New Roman" w:eastAsia="宋体" w:cs="Times New Roman"/>
          <w:color w:val="auto"/>
          <w:highlight w:val="none"/>
        </w:rPr>
        <w:t>补充。闸坝阻隔河流连通性，流水土著鱼类栖息洄游通道受损，库区转变为静水生境，鱼类群落发生更替；部分老旧引水式电站历史存在坝下减水；部分老水库缺少分层取水，低温水下泄对下游鱼类繁殖产生不利影响；库湾局部存在富营养化风险。</w:t>
      </w:r>
    </w:p>
    <w:p w14:paraId="315D3C18">
      <w:pPr>
        <w:numPr>
          <w:ilvl w:val="0"/>
          <w:numId w:val="12"/>
        </w:numPr>
        <w:ind w:left="0" w:leftChars="0" w:firstLine="480"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水环境方面</w:t>
      </w:r>
    </w:p>
    <w:p w14:paraId="1282E63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库具备调蓄、沉降净化能力，水源地专项治理有效削减入库污染，生态补水提升河道自净能力。库区水体交换周期变长，库湾存在富营养化风险；灌区农业退水带来氮磷面源输入；部分小型工程污水设施运维不足，存在短时污染隐患。</w:t>
      </w:r>
    </w:p>
    <w:p w14:paraId="3AC62969">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已建水利水电工程历史遗留生态环境问题</w:t>
      </w:r>
    </w:p>
    <w:p w14:paraId="180264C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老旧小型工程存在先天环保短板。部分早期小水电虽完成整改，但仅满足基础底线要求，部分生态流量设施运维稳定性不足；部分老旧渣场、施工迹地植被修复质量不高，存在水土流失隐患。</w:t>
      </w:r>
    </w:p>
    <w:p w14:paraId="36BF4AE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水生生态历史欠账突出。早期水库、电站普遍缺少过鱼、分层取水设施，闸坝造成的河流阻隔问题未得到根本化解；土著流水鱼类栖息地碎片化；增殖放流工作的系统性、科学性有待提升。</w:t>
      </w:r>
    </w:p>
    <w:p w14:paraId="75B9FAF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陆生生态连通性重视不足。早期水库、渠道、堤防建设缺少陆生动物、两栖爬行类通行廊道；工程占地加剧局部栖息地破碎；部分迹地复绿大量使用外来速生树种，群落近自然演替进程缓慢。</w:t>
      </w:r>
    </w:p>
    <w:p w14:paraId="0EE8A0B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4</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灌区面源污染防控体系不完善。已建灌区面源拦截、生态沟渠配套不足，农业退水持续给支流带来氮磷污染压力。</w:t>
      </w:r>
    </w:p>
    <w:p w14:paraId="708013D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生态环境监测基础薄弱。早期工程缺少系统生态监测，陆生、水生生物长期连续观测资料匮乏；部分生态流量在线监测站点运维不到位，数据质量有待提高。</w:t>
      </w:r>
    </w:p>
    <w:p w14:paraId="0EF7BF55">
      <w:pPr>
        <w:pStyle w:val="3"/>
        <w:numPr>
          <w:ilvl w:val="1"/>
          <w:numId w:val="4"/>
        </w:numPr>
        <w:spacing w:before="374" w:after="249"/>
        <w:rPr>
          <w:rFonts w:hint="default" w:ascii="Times New Roman" w:hAnsi="Times New Roman" w:eastAsia="宋体" w:cs="Times New Roman"/>
          <w:color w:val="auto"/>
          <w:highlight w:val="none"/>
        </w:rPr>
      </w:pPr>
      <w:bookmarkStart w:id="95" w:name="_Toc12653"/>
      <w:r>
        <w:rPr>
          <w:rFonts w:hint="default" w:ascii="Times New Roman" w:hAnsi="Times New Roman" w:eastAsia="宋体" w:cs="Times New Roman"/>
          <w:color w:val="auto"/>
          <w:highlight w:val="none"/>
        </w:rPr>
        <w:t>规划区主要环境问题</w:t>
      </w:r>
      <w:bookmarkEnd w:id="95"/>
    </w:p>
    <w:p w14:paraId="45DFD3D1">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一是部分河湖水域岸线保护力度不足。河湖水域岸线保护工作有待加强，部分河流仍存在侵占河道、乱倒废土、废渣以及非法采砂等行为，部分河段开发利用与治理保护不够协调，对岸线治理保护研究不够，缺乏有效的控制措施。</w:t>
      </w:r>
    </w:p>
    <w:p w14:paraId="32B62F86">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二是部分河湖生态流量保障不足。受人类活动影响，南盘江部分河段生态流量不足，部分河湖淤塞萎缩连通不畅，河流水力联系被人为干扰，山区性河流因降水丰枯变化，生态基流保证程度不高。</w:t>
      </w:r>
    </w:p>
    <w:p w14:paraId="3FD55919">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三是水环境质量有待提升。流域内局部河道水生态恶化、现状水质与目标水质仍有差距，冯家圩断面实现脱劣，但水质还未达到水功能（Ⅲ类）要求，此外天生桥断面水质较上年有所波动。</w:t>
      </w:r>
    </w:p>
    <w:p w14:paraId="78473A0B">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四是水生态系统保护治理机制有待完善。南盘江水资源、水环境、水生态统筹治理体系尚未全面构建，山水林田湖草系统治理的联动机制尚未形成，水生态环境问题长期积累，恢复水清岸绿的水生态环境任重道远。</w:t>
      </w:r>
    </w:p>
    <w:p w14:paraId="69357447">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五是流域水土流失问题仍较突出。森林破坏引起的水土流失</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流域现有水土流失面积3236.19km</w:t>
      </w:r>
      <w:r>
        <w:rPr>
          <w:rFonts w:hint="default" w:ascii="Times New Roman" w:hAnsi="Times New Roman" w:cs="Times New Roman"/>
          <w:color w:val="auto"/>
          <w:highlight w:val="none"/>
          <w:lang w:val="en-US" w:eastAsia="zh-CN"/>
        </w:rPr>
        <w:t>²</w:t>
      </w:r>
      <w:r>
        <w:rPr>
          <w:rFonts w:hint="default" w:ascii="Times New Roman" w:hAnsi="Times New Roman" w:eastAsia="宋体" w:cs="Times New Roman"/>
          <w:color w:val="auto"/>
          <w:highlight w:val="none"/>
          <w:lang w:eastAsia="zh-CN"/>
        </w:rPr>
        <w:t>，占土地总面积的22.75%，主要分布在南盘江（曲靖境内）上游源头区、中下游干流沿岸、色依支流沿岸及转长河支流沿岸区域。水土流失带来的面源污染问题逐步凸显，水土保持监测和信息化工作有待加强。</w:t>
      </w:r>
    </w:p>
    <w:p w14:paraId="378587E4">
      <w:pPr>
        <w:pStyle w:val="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六是</w:t>
      </w:r>
      <w:r>
        <w:rPr>
          <w:rFonts w:hint="default" w:ascii="Times New Roman" w:hAnsi="Times New Roman" w:eastAsia="宋体" w:cs="Times New Roman"/>
          <w:color w:val="auto"/>
          <w:highlight w:val="none"/>
          <w:lang w:eastAsia="zh-CN"/>
        </w:rPr>
        <w:t>土地利用过度引起的土地退化</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土地垦殖过度、森林退化严重</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eastAsia="zh-CN"/>
        </w:rPr>
        <w:t>土地利用不合理导致的土地石漠化</w:t>
      </w:r>
      <w:r>
        <w:rPr>
          <w:rFonts w:hint="default" w:ascii="Times New Roman" w:hAnsi="Times New Roman" w:cs="Times New Roman"/>
          <w:color w:val="auto"/>
          <w:highlight w:val="none"/>
          <w:lang w:eastAsia="zh-CN"/>
        </w:rPr>
        <w:t>。</w:t>
      </w:r>
    </w:p>
    <w:p w14:paraId="7521A06D">
      <w:pPr>
        <w:pStyle w:val="3"/>
        <w:numPr>
          <w:ilvl w:val="1"/>
          <w:numId w:val="4"/>
        </w:numPr>
        <w:spacing w:before="374" w:after="249"/>
        <w:rPr>
          <w:rFonts w:hint="default" w:ascii="Times New Roman" w:hAnsi="Times New Roman" w:eastAsia="宋体" w:cs="Times New Roman"/>
          <w:color w:val="auto"/>
          <w:highlight w:val="none"/>
        </w:rPr>
      </w:pPr>
      <w:bookmarkStart w:id="96" w:name="_Toc27128"/>
      <w:r>
        <w:rPr>
          <w:rFonts w:hint="default" w:ascii="Times New Roman" w:hAnsi="Times New Roman" w:eastAsia="宋体" w:cs="Times New Roman"/>
          <w:color w:val="auto"/>
          <w:highlight w:val="none"/>
        </w:rPr>
        <w:t>流域环境发展趋势</w:t>
      </w:r>
      <w:bookmarkEnd w:id="96"/>
    </w:p>
    <w:p w14:paraId="5D236D7F">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水环境发展趋势</w:t>
      </w:r>
    </w:p>
    <w:p w14:paraId="0CE8B57A">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源头及上游河段地处珠江源片区，人口分布较为分散，人口密度较低，沿岸工矿企业布局少，在无规划方案实施的情况下，上游河段水质主要受流域范围内农业种植施用农药、化肥、农家肥以及农村生活散排污水带来的面源污染影响。流域中游河段地势平缓开阔，集中了麒麟区、沾益区、陆良县等重点城镇，人口集聚、城镇开发强度高，工业企业、产业园区分布较多，城镇生活与工业点源排污负荷量大；部分区域雨污分流管网建设滞后，污水收集处理设施提质增效尚有短板，存在雨污溢流、污水收集不完全等问题，入河污染负荷压力较大，潇湘江、西河等支流纳污风险突出，如长期不加系统治理，支流污染负荷持续输入干流，将造成干流水质波动反弹，水环境存在恶化风险。</w:t>
      </w:r>
    </w:p>
    <w:p w14:paraId="673F134E">
      <w:pPr>
        <w:pStyle w:val="4"/>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规划区内灌区工程的建设将增加灌溉用水，农田退水量随之增加，农田退水携带氮磷污染物汇入河道，将进一步增加沿河区域农业面源污染负荷；随着流域社会经济发展，城镇、工业和农业灌溉用水量持续增长，区域水资源开发利用程度不断提高，枯水期河道生态水量存在被挤占风险，河道径流量减少、水体纳污与自净能力下降，水文水资源条件向不利方向演变，将加大流域水环境巩固治理成果的难度</w:t>
      </w:r>
      <w:r>
        <w:rPr>
          <w:rFonts w:hint="default" w:ascii="Times New Roman" w:hAnsi="Times New Roman" w:cs="Times New Roman"/>
          <w:color w:val="auto"/>
          <w:highlight w:val="none"/>
          <w:lang w:eastAsia="zh-CN"/>
        </w:rPr>
        <w:t>。</w:t>
      </w:r>
    </w:p>
    <w:p w14:paraId="53ED24FE">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生</w:t>
      </w:r>
      <w:r>
        <w:rPr>
          <w:rFonts w:hint="default" w:ascii="Times New Roman" w:hAnsi="Times New Roman" w:eastAsia="宋体" w:cs="Times New Roman"/>
          <w:color w:val="auto"/>
          <w:highlight w:val="none"/>
        </w:rPr>
        <w:t>态环境发展趋势</w:t>
      </w:r>
    </w:p>
    <w:p w14:paraId="7F142112">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在国家生态文明建设总体方针、云南省建设全国生态文明排头兵工作部署下，曲靖市全面落实林长制、河湖长制、天然林保护、石漠化综合治理、珠江源头生态保护等政策措施。从流域整体来看，现状依靠各类保护治理工程，流域生态环境总体呈向好态势，但治理成效多体现于点状局部区域，受喀斯特生态本底脆弱、坝区开发建设扰动、历史水利工程遗留影响等因素制约，原生植被占比偏低、生态系统碎片化、部分区域水土流失风险等短板依然客观存在。若维持零方案情景、不实施本规划新增系统性工程，仅依靠现有政策与治理手段，只能维持局部点位的生态改善，难以实现流域整体性生态提质；在严格落实本规划各项工程、调度管控及生态修复措施条件下，能够统筹协调开发与保护，推动全流域生态环境系统性改善，筑牢珠江源头生态安全屏障。</w:t>
      </w:r>
    </w:p>
    <w:p w14:paraId="1C5C78DE">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从陆生生态发展趋势看，现有天然林管护、封山育林、退耕还林还草、石漠化治理持续推进，流域森林覆盖率稳步提升，重点保护野生动物栖息条件总体改善，但河谷坝区原生植被受开发扰动，喀斯特区域植被抗干扰能力弱，栖息地斑块连通性不足仍是主要短板。零方案情景下，森林覆盖</w:t>
      </w:r>
      <w:r>
        <w:rPr>
          <w:rFonts w:hint="eastAsia" w:cs="Times New Roman"/>
          <w:color w:val="auto"/>
          <w:highlight w:val="none"/>
          <w:lang w:val="en-US" w:eastAsia="zh-CN"/>
        </w:rPr>
        <w:t>率</w:t>
      </w:r>
      <w:r>
        <w:rPr>
          <w:rFonts w:hint="default" w:ascii="Times New Roman" w:hAnsi="Times New Roman" w:eastAsia="宋体" w:cs="Times New Roman"/>
          <w:color w:val="auto"/>
          <w:highlight w:val="none"/>
          <w:lang w:eastAsia="zh-CN"/>
        </w:rPr>
        <w:t>维持现有提升水平，但缺少河岸带修复、生态廊道构建等配套工程，滨岸植被退化、栖息地破碎化问题难以系统化解；实施本规划后，通过水源涵养林建设、河湖滨岸植被修复、水土保持与石漠化综合治理，工程建设严格避让生态保护红线、自然保护地，落实占地植被恢复，</w:t>
      </w:r>
      <w:r>
        <w:rPr>
          <w:rFonts w:hint="default" w:ascii="Times New Roman" w:hAnsi="Times New Roman" w:eastAsia="宋体" w:cs="Times New Roman"/>
          <w:color w:val="auto"/>
          <w:highlight w:val="green"/>
          <w:lang w:eastAsia="zh-CN"/>
        </w:rPr>
        <w:t>选用本土物种开展生态重建</w:t>
      </w:r>
      <w:r>
        <w:rPr>
          <w:rFonts w:hint="default" w:ascii="Times New Roman" w:hAnsi="Times New Roman" w:eastAsia="宋体" w:cs="Times New Roman"/>
          <w:color w:val="auto"/>
          <w:highlight w:val="none"/>
          <w:lang w:eastAsia="zh-CN"/>
        </w:rPr>
        <w:t>，可进一步优化植被群落结构，提升生态系统稳定性，改善陆生野生动物栖息与迁徙连通条件。</w:t>
      </w:r>
    </w:p>
    <w:p w14:paraId="18DEAB99">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cs="Times New Roman"/>
          <w:color w:val="auto"/>
          <w:highlight w:val="none"/>
          <w:lang w:val="en-US"/>
        </w:rPr>
      </w:pPr>
      <w:r>
        <w:rPr>
          <w:rFonts w:hint="default" w:ascii="Times New Roman" w:hAnsi="Times New Roman" w:eastAsia="宋体" w:cs="Times New Roman"/>
          <w:color w:val="auto"/>
          <w:highlight w:val="none"/>
          <w:lang w:eastAsia="zh-CN"/>
        </w:rPr>
        <w:t>从水生生态发展趋势看，</w:t>
      </w:r>
      <w:r>
        <w:rPr>
          <w:rFonts w:hint="default" w:ascii="Times New Roman" w:hAnsi="Times New Roman" w:cs="Times New Roman"/>
          <w:color w:val="auto"/>
          <w:highlight w:val="none"/>
          <w:lang w:val="en-US"/>
        </w:rPr>
        <w:t>规划区内的</w:t>
      </w:r>
      <w:r>
        <w:rPr>
          <w:rFonts w:hint="default" w:ascii="Times New Roman" w:hAnsi="Times New Roman" w:cs="Times New Roman"/>
          <w:color w:val="auto"/>
          <w:highlight w:val="none"/>
          <w:lang w:val="en-US" w:eastAsia="zh-CN"/>
        </w:rPr>
        <w:t>南盘江（曲靖市境内）</w:t>
      </w:r>
      <w:r>
        <w:rPr>
          <w:rFonts w:hint="default" w:ascii="Times New Roman" w:hAnsi="Times New Roman" w:cs="Times New Roman"/>
          <w:color w:val="auto"/>
          <w:highlight w:val="none"/>
          <w:lang w:val="en-US"/>
        </w:rPr>
        <w:t>流域历史上</w:t>
      </w:r>
      <w:r>
        <w:rPr>
          <w:rFonts w:hint="default" w:ascii="Times New Roman" w:hAnsi="Times New Roman" w:cs="Times New Roman"/>
          <w:color w:val="auto"/>
          <w:highlight w:val="none"/>
          <w:lang w:val="en-US" w:eastAsia="zh-CN"/>
        </w:rPr>
        <w:t>建设</w:t>
      </w:r>
      <w:r>
        <w:rPr>
          <w:rFonts w:hint="default" w:ascii="Times New Roman" w:hAnsi="Times New Roman" w:cs="Times New Roman"/>
          <w:color w:val="auto"/>
          <w:highlight w:val="none"/>
          <w:lang w:val="en-US"/>
        </w:rPr>
        <w:t>了众多水利水电工程，已建水利水电工程阻隔了河道上下游鱼类交流通道，使得河道连通性受到影响，同时水利水电工程的建设坝下河段水量减少，河道鱼类的生境受到一定影响，鱼类资源有所下降。此外，由于捕捞压力过大等因素的影响，导致一些土著鱼类消失或减少，个体也向小型化方向发展。一般来说，鱼类资源数量和水量、水质、捕猎等关系密切，现状各级政府对</w:t>
      </w:r>
      <w:r>
        <w:rPr>
          <w:rFonts w:hint="default" w:ascii="Times New Roman" w:hAnsi="Times New Roman" w:cs="Times New Roman"/>
          <w:color w:val="auto"/>
          <w:highlight w:val="none"/>
          <w:lang w:val="en-US" w:eastAsia="zh-CN"/>
        </w:rPr>
        <w:t>南盘江（曲靖市境内）</w:t>
      </w:r>
      <w:r>
        <w:rPr>
          <w:rFonts w:hint="default" w:ascii="Times New Roman" w:hAnsi="Times New Roman" w:cs="Times New Roman"/>
          <w:color w:val="auto"/>
          <w:highlight w:val="none"/>
          <w:lang w:val="en-US"/>
        </w:rPr>
        <w:t>流域的保护力度有所加强，在现有水质不恶化，不滥捕滥猎的情况下，流域内鱼类资源会保持相对稳定。</w:t>
      </w:r>
    </w:p>
    <w:p w14:paraId="39F68022">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若未来流域开发程度进一步提升，新增水利工程建设仍将在一定程度上改变现有河道形态与水文情势，部分尚未开发的支流河段连通性会进一步下降，生境碎片化的风险有所上升，对土著鱼类资源的保护仍会面临一定压力。同时，随着现有保护措施全面落地、保护体系不断完善，流域监管能力逐步提升，违规捕捞、污水直排等威胁水生生态的行为将得到进一步管控，能够有效遏制水生生态环境进一步退化的趋势。</w:t>
      </w:r>
    </w:p>
    <w:p w14:paraId="66700FF7">
      <w:pPr>
        <w:pStyle w:val="4"/>
        <w:bidi w:val="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针对部分已呈现退化态势的水生栖息地，通过持续开展连通性修复、生境再造、土著鱼类增殖放流等针对性修复工程，可以逐步改善土著鱼类生存条件，推动珍稀特有鱼类资源逐步恢复，实现流域水生生态系统向更稳定健康的方向发展。总体来看，流域水生生态的未来变化趋势，取决于开发利用与生态保护的平衡程度，在严格落实生态保护要求的前提下，能够实现流域水资源开发与水生生物保护的协调发展。</w:t>
      </w:r>
    </w:p>
    <w:p w14:paraId="18892F46">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社会经济发展趋势分析</w:t>
      </w:r>
    </w:p>
    <w:p w14:paraId="33B6F236">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整体呈“强中心极化、多县区支撑、结构分化”格局，麒麟区贡献近四成GDP；富源、沾益、马龙凭借煤电、新能源装机快速扩张；陆良农业、罗平旅游走差异化路径；所有区县单位GDP能耗全面下降，但能源消费总量仍在分化性扩张，绿色转型与增长并存。</w:t>
      </w:r>
    </w:p>
    <w:p w14:paraId="37FB34D7">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7个县区中麒麟区城镇化率最高，为78.62%，沾益区50.15%次之，其余5个县区均在50%以下，富源县人口最多，但城镇化率最低，是城乡融合发展潜力最大的区域，陆良县同为人口大县，但城镇化率仅为40.64%；陆良县为农业大县，第一产业占比达25%，为7个县区中最高，麒麟区、马龙区、富源县第二产业占比分别为50%、49%、46%，工业为地方社会经济发展提供主要驱动力，罗平县第三产业占比最高为48%，文旅贡献突出。富源县是区内“煤电双基地”，“富源送出、麒麟吸纳”，富源县原煤产量1741.34万t（占52.7%）、发电量167.22亿kW・h（占55.2%），净外送电力约100亿kW・h，是能源供给核心，麒麟区用电量81.82亿kW・h居首，增加14.3%，净输入约68.7亿kW・h，是最大电力消费中心。取用新水量合计14442万m³，富源4697万m³，增幅最大、沾益4294万m³，麒麟3014万m³居前三；工业重复用水率：马龙97.79%、沾益97.24%、富源95.44%已很高；陆良28.14%、罗平40.45%明显偏低，节水与回用仍有较大挖潜空间。</w:t>
      </w:r>
    </w:p>
    <w:p w14:paraId="7674BF58">
      <w:pPr>
        <w:pStyle w:val="3"/>
        <w:numPr>
          <w:ilvl w:val="1"/>
          <w:numId w:val="4"/>
        </w:numPr>
        <w:spacing w:before="374" w:after="249"/>
        <w:rPr>
          <w:rFonts w:hint="default" w:ascii="Times New Roman" w:hAnsi="Times New Roman" w:eastAsia="宋体" w:cs="Times New Roman"/>
          <w:color w:val="auto"/>
          <w:highlight w:val="none"/>
        </w:rPr>
      </w:pPr>
      <w:bookmarkStart w:id="97" w:name="_Toc12036"/>
      <w:r>
        <w:rPr>
          <w:rFonts w:hint="default" w:ascii="Times New Roman" w:hAnsi="Times New Roman" w:eastAsia="宋体" w:cs="Times New Roman"/>
          <w:color w:val="auto"/>
          <w:highlight w:val="none"/>
        </w:rPr>
        <w:t>规划环境限制性因素分析</w:t>
      </w:r>
      <w:bookmarkEnd w:id="97"/>
    </w:p>
    <w:p w14:paraId="47CD6F8D">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环境现状与环境目标的差距</w:t>
      </w:r>
    </w:p>
    <w:p w14:paraId="257C949D">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水资源</w:t>
      </w:r>
    </w:p>
    <w:p w14:paraId="552FE1E2">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南盘江（曲靖市境内）流域水资源丰富，从总量上看，水资源总量778476万m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，人均占有水资源2196m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资源开发程度为11.0%，高于全省7.3%的水资源开发利用水平。从水资源保障角度来看，南盘江（曲靖市境内）流域水资源时空分布不均，降水年内、年际变化大，径流季节性差异显著，枯水期河道来水量偏少，水资源禀赋条件存在先天短板。部分河段、水库生态流量保障压力较大，辖区内水电站生态流量下泄监管体系仍不完善，生态补水调度机制有待健全，河湖生态用水保障存在一定缺口。</w:t>
      </w:r>
    </w:p>
    <w:p w14:paraId="5C7D3880">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随着流域人口集聚、城镇化进程加快以及工农业经济持续发展，区域用水总量不断增长，生活、生产与生态用水之间矛盾逐步凸显。现状用水结构优化程度不足，农业节水潜力尚未充分释放，水资源利用效率仍有提升空间。在枯水年份水资源刚性约束进一步增强，可利用水量不足将成为限制区域产业布局、项目落地以及流域水环境承载能力提升的重要因素。</w:t>
      </w:r>
    </w:p>
    <w:p w14:paraId="0F78FC93">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水环境</w:t>
      </w:r>
    </w:p>
    <w:p w14:paraId="29C4714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水环境质量总体态势基本稳定，但水环境达标压力依然存在，潇湘江冯家圩、潇湘水库坝中、西河水库坝中等3个控制断面水质尚未实现稳定达标，水质波动反弹风险长期存在，成为制约流域水环境质量达标的关键短板。流域内江河污染综合治理、饮用水水源地保护、城乡环境综合整治工作任务艰巨，农村水环境污染问题尚未得到根本性解决，农村畜禽养殖污染、农业废弃物无序排放等面源污染问题仍不同程度存在，农村生态环境管控形势较为严峻。流域内部分水电站生态流量下泄管控、保障工作仍有待进一步落实完善，河湖生态流量保障存在短板。</w:t>
      </w:r>
    </w:p>
    <w:p w14:paraId="28875160">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伴随流域内人口规模持续增长、区域社会经济发展提速，生产生活污染物排放负荷将进一步加大，流域水环境保护压力呈持续上升趋势，上述水环境问题将成为制约流域水体满足水功能区水质目标要求的主要限制性因素。</w:t>
      </w:r>
    </w:p>
    <w:p w14:paraId="2353BC6C">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生态环境</w:t>
      </w:r>
    </w:p>
    <w:p w14:paraId="253FDEF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流域地带性半湿润常绿阔叶林原生植被碎片化严重，森林以次生针叶林、人工林为主，群落结构简单；喀斯特灌丛局部退化，生态系统次生化问题突出，提升生态系统质量的目标存在差距。</w:t>
      </w:r>
    </w:p>
    <w:p w14:paraId="45BDF45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各类资源开发与生态环境保护冲突较为显著。长期以来的开发建设活动导致了流域内部分区域自然植被相对破碎，且存在一定程度的次生化特征。部分区域发展诉求高，生态保护恢复压力大。</w:t>
      </w:r>
    </w:p>
    <w:p w14:paraId="3021DE8C">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流域干支流已建大量闸坝、电站，河流阻隔问题客观存在；早期工程普遍缺少过鱼设施，土著流水鱼类适宜生境萎缩，与维持河流连通性目标存在明显差距。</w:t>
      </w:r>
    </w:p>
    <w:p w14:paraId="2143FAB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部分早期河道治理采用硬质护岸，河漫滩、水陆过渡带生境退化，现状河湖自然岸线保有率距离规划≥89% 的管控目标尚有提升空间。</w:t>
      </w:r>
    </w:p>
    <w:p w14:paraId="48A5E96A">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社会环境</w:t>
      </w:r>
    </w:p>
    <w:p w14:paraId="262DDDE2">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社会环境现状与环境保护的目标差距表现在流域上下游发展不均衡，水资源利用问题难以解决。</w:t>
      </w:r>
    </w:p>
    <w:p w14:paraId="256B6CC0">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环境敏感目标保护要求制约</w:t>
      </w:r>
    </w:p>
    <w:p w14:paraId="30AA4AD5">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评价区内有</w:t>
      </w:r>
      <w:r>
        <w:rPr>
          <w:rFonts w:hint="default" w:ascii="Times New Roman" w:hAnsi="Times New Roman" w:cs="Times New Roman"/>
          <w:color w:val="auto"/>
          <w:highlight w:val="none"/>
          <w:lang w:val="en-US" w:eastAsia="zh-CN"/>
        </w:rPr>
        <w:t>自然保护区、</w:t>
      </w:r>
      <w:r>
        <w:rPr>
          <w:rFonts w:hint="default" w:ascii="Times New Roman" w:hAnsi="Times New Roman" w:cs="Times New Roman"/>
          <w:color w:val="auto"/>
          <w:highlight w:val="none"/>
        </w:rPr>
        <w:t>风景名胜区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森林公园、湿地公园、地质公园、沙漠公园、生态保护红线、饮用水水源保护区等类型的环境敏感区，根据现阶段识别分析，规划工程涉及珠江源省级自然保护区实验区、珠江源风景名胜区一般控制区、马龙马过河风景名胜区一般控制区、云南珠江源国家森林公园、生态保护红线和饮用水水源保护区。</w:t>
      </w:r>
    </w:p>
    <w:p w14:paraId="6EEB7875">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自然保护地整合优化后，不再涉及自然保护区，涉及云南沾益珠江源风景名胜区一般控制区、马龙马过河风景名胜区一般控制区、云南师宗南丹山风景名胜区一般控制区、云南罗平多依河－鲁布革风景名胜区一般控制区、云南马龙黄草坪森林公园一般控制区、云南罗平九龙森林公园一般控制区、云南师宗丹凤湿地公园一般控制区。</w:t>
      </w:r>
    </w:p>
    <w:p w14:paraId="33B944E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项目虽不涉及自然保护区核心区、风景名胜区核心景区等禁止开发区，但项目施工及运行可能对环境敏感区主要保护对象造成不利影响，影响其生态功能，因此需要尽可能优化工程方案，避让环境敏感区，若确实方案唯一且无法避让的，需根据相关管理要求办理许可手续，并开展针对性的保护措施和补偿。</w:t>
      </w:r>
    </w:p>
    <w:p w14:paraId="395DF4EB">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下阶段工作中需结合详细的工程设计方案，进一步分析规划水库淹没区、渠道、道路等主辅工程选址选线与上述敏感保护目标的位置关系，并将分析结果用于优化调整工程设计方案，确保规划工程避开</w:t>
      </w:r>
      <w:r>
        <w:rPr>
          <w:rFonts w:hint="default" w:ascii="Times New Roman" w:hAnsi="Times New Roman" w:cs="Times New Roman"/>
          <w:color w:val="auto"/>
          <w:highlight w:val="none"/>
          <w:lang w:val="en-US" w:eastAsia="zh-CN"/>
        </w:rPr>
        <w:t>自然保护区核心区、风景名胜区核心</w:t>
      </w:r>
      <w:r>
        <w:rPr>
          <w:rFonts w:hint="default" w:ascii="Times New Roman" w:hAnsi="Times New Roman" w:cs="Times New Roman"/>
          <w:color w:val="auto"/>
          <w:highlight w:val="none"/>
        </w:rPr>
        <w:t>景区</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自然公园</w:t>
      </w:r>
      <w:r>
        <w:rPr>
          <w:rFonts w:hint="default" w:ascii="Times New Roman" w:hAnsi="Times New Roman" w:cs="Times New Roman"/>
          <w:color w:val="auto"/>
          <w:highlight w:val="none"/>
        </w:rPr>
        <w:t>等法律法规禁止占用区域。</w:t>
      </w:r>
    </w:p>
    <w:p w14:paraId="7A885F84">
      <w:pPr>
        <w:pStyle w:val="4"/>
        <w:rPr>
          <w:rFonts w:hint="default" w:ascii="Times New Roman" w:hAnsi="Times New Roman" w:eastAsia="宋体" w:cs="Times New Roman"/>
          <w:color w:val="auto"/>
          <w:highlight w:val="none"/>
        </w:rPr>
      </w:pPr>
    </w:p>
    <w:p w14:paraId="3F71FE66">
      <w:pPr>
        <w:rPr>
          <w:rFonts w:hint="default" w:ascii="Times New Roman" w:hAnsi="Times New Roman" w:cs="Times New Roman"/>
          <w:color w:val="auto"/>
          <w:highlight w:val="none"/>
        </w:rPr>
        <w:sectPr>
          <w:pgSz w:w="11906" w:h="16838"/>
          <w:pgMar w:top="1440" w:right="1800" w:bottom="1440" w:left="1800" w:header="851" w:footer="992" w:gutter="0"/>
          <w:pgNumType w:fmt="decimal"/>
          <w:cols w:space="425" w:num="1"/>
          <w:docGrid w:type="lines" w:linePitch="312" w:charSpace="0"/>
        </w:sectPr>
      </w:pPr>
    </w:p>
    <w:p w14:paraId="2E9871C5">
      <w:pPr>
        <w:pStyle w:val="2"/>
        <w:numPr>
          <w:ilvl w:val="0"/>
          <w:numId w:val="3"/>
        </w:numPr>
        <w:spacing w:after="249"/>
        <w:rPr>
          <w:rFonts w:hint="default" w:ascii="Times New Roman" w:hAnsi="Times New Roman" w:eastAsia="宋体" w:cs="Times New Roman"/>
          <w:color w:val="auto"/>
          <w:highlight w:val="none"/>
        </w:rPr>
      </w:pPr>
      <w:bookmarkStart w:id="98" w:name="_Toc23431"/>
      <w:r>
        <w:rPr>
          <w:rFonts w:hint="default" w:ascii="Times New Roman" w:hAnsi="Times New Roman" w:eastAsia="宋体" w:cs="Times New Roman"/>
          <w:color w:val="auto"/>
          <w:highlight w:val="none"/>
        </w:rPr>
        <w:t>环境影响识别及评价指标体系构建</w:t>
      </w:r>
      <w:bookmarkEnd w:id="98"/>
    </w:p>
    <w:p w14:paraId="5993AC30">
      <w:pPr>
        <w:pStyle w:val="31"/>
        <w:keepNext/>
        <w:keepLines/>
        <w:numPr>
          <w:ilvl w:val="0"/>
          <w:numId w:val="4"/>
        </w:numPr>
        <w:spacing w:before="374" w:beforeLines="120" w:after="249" w:afterLines="80" w:line="288" w:lineRule="auto"/>
        <w:ind w:firstLineChars="0"/>
        <w:outlineLvl w:val="1"/>
        <w:rPr>
          <w:rFonts w:hint="default" w:ascii="Times New Roman" w:hAnsi="Times New Roman" w:eastAsia="宋体" w:cs="Times New Roman"/>
          <w:b/>
          <w:bCs/>
          <w:vanish/>
          <w:color w:val="auto"/>
          <w:sz w:val="32"/>
          <w:szCs w:val="32"/>
          <w:highlight w:val="none"/>
        </w:rPr>
      </w:pPr>
    </w:p>
    <w:p w14:paraId="33643DFE">
      <w:pPr>
        <w:pStyle w:val="3"/>
        <w:numPr>
          <w:ilvl w:val="1"/>
          <w:numId w:val="4"/>
        </w:numPr>
        <w:spacing w:before="374" w:after="249"/>
        <w:rPr>
          <w:rFonts w:hint="default" w:ascii="Times New Roman" w:hAnsi="Times New Roman" w:eastAsia="宋体" w:cs="Times New Roman"/>
          <w:color w:val="auto"/>
          <w:highlight w:val="none"/>
        </w:rPr>
      </w:pPr>
      <w:bookmarkStart w:id="99" w:name="_Toc19452"/>
      <w:r>
        <w:rPr>
          <w:rFonts w:hint="default" w:ascii="Times New Roman" w:hAnsi="Times New Roman" w:eastAsia="宋体" w:cs="Times New Roman"/>
          <w:color w:val="auto"/>
          <w:highlight w:val="none"/>
        </w:rPr>
        <w:t>环境影响识别</w:t>
      </w:r>
      <w:bookmarkEnd w:id="99"/>
    </w:p>
    <w:p w14:paraId="64A2927F">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eastAsiaTheme="minorEastAsia"/>
          <w:color w:val="auto"/>
          <w:highlight w:val="none"/>
          <w:lang w:val="en-US" w:eastAsia="zh-CN"/>
        </w:rPr>
        <w:t>规划体系环境影响因素分析</w:t>
      </w:r>
    </w:p>
    <w:p w14:paraId="5BAB44AF">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以习近平新时代中国特色社会主义思想为指导，深入贯彻党的二十大和二十届历次全会精神，统筹高质量发展和高水平安全，落实《中共中央办公厅 国务院办公厅关于全面推进江河保护治理的意见》要求，践行</w:t>
      </w:r>
      <w:r>
        <w:rPr>
          <w:rFonts w:hint="eastAsia" w:cs="Times New Roman" w:eastAsiaTheme="minorEastAsia"/>
          <w:color w:val="auto"/>
          <w:highlight w:val="none"/>
          <w:lang w:val="en-US" w:eastAsia="zh-CN"/>
        </w:rPr>
        <w:t>“节水优先、空间均衡、系统治理、两手发力”</w:t>
      </w:r>
      <w:r>
        <w:rPr>
          <w:rFonts w:hint="default" w:ascii="Times New Roman" w:hAnsi="Times New Roman" w:cs="Times New Roman" w:eastAsiaTheme="minorEastAsia"/>
          <w:color w:val="auto"/>
          <w:highlight w:val="none"/>
          <w:lang w:val="en-US" w:eastAsia="zh-CN"/>
        </w:rPr>
        <w:t>治水思路，</w:t>
      </w:r>
      <w:r>
        <w:rPr>
          <w:rFonts w:hint="default" w:ascii="Times New Roman" w:hAnsi="Times New Roman" w:cs="Times New Roman" w:eastAsiaTheme="minorEastAsia"/>
          <w:color w:val="auto"/>
          <w:highlight w:val="green"/>
          <w:lang w:val="en-US" w:eastAsia="zh-CN"/>
        </w:rPr>
        <w:t>坚持共抓大保护、不搞大开发，统筹高质量发展和高水平安全。</w:t>
      </w:r>
      <w:r>
        <w:rPr>
          <w:rFonts w:hint="default" w:ascii="Times New Roman" w:hAnsi="Times New Roman" w:cs="Times New Roman" w:eastAsiaTheme="minorEastAsia"/>
          <w:color w:val="auto"/>
          <w:highlight w:val="none"/>
          <w:lang w:val="en-US" w:eastAsia="zh-CN"/>
        </w:rPr>
        <w:t>规划衔接西部大开发、“一带一路”及云南省面向南亚东南亚辐射中心建设等区域重大战略，以推动水利高质量发展、提升流域水安全保障能力为主线，加快完善流域防洪减灾体系、水资源节约集约利用体系、河湖生态环境保护体系，强化流域统一规划、统一治理、统一调度、统一管理，并将生态环境保护理念贯穿于规划原则确立、总体目标设定和空间布局优化的全过程，保障流域治理与生态保护协同推进。</w:t>
      </w:r>
    </w:p>
    <w:p w14:paraId="5180125F">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从宏观和长远视角看，规划实施后：流域水土资源得到有效保护，水源涵养功能显著提升；流域供水与灌溉保障能力提高，城乡生活用水需求和粮食安全得到基本保障；水土流失重点区域得到有效治理，区域水质维持稳定并趋于改善，水生态环境逐步修复，河流珍稀特有鱼类、生物多样性及生态系统完整性得到有效保护；南盘江综合治理成效日益显现，"鱼翔浅底、水清岸绿”的水生态景观逐步重现。</w:t>
      </w:r>
    </w:p>
    <w:p w14:paraId="4841FA14">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根据南盘江（曲靖市境内）流域综合规划的总体目标和布局，规划实施将对流域、区域和河流的生态环境系统造成影响。从宏观上分析，规划对环境的主要影响是长期的、有利的，有利于保障流域防洪安全和供水安全，促进流域生态环境、河流生态系统的良性发展，形成环境友好型社会。现根据规划拟定的防洪减灾、水资源节约集约利用、水资源保护、河湖生态保护、水土保持等规划工程布局，对可能引起的有利、不利环境影响因素进行识别。</w:t>
      </w:r>
    </w:p>
    <w:p w14:paraId="5A34483E">
      <w:pPr>
        <w:pStyle w:val="4"/>
        <w:rPr>
          <w:rFonts w:hint="default" w:ascii="Times New Roman" w:hAnsi="Times New Roman" w:cs="Times New Roman" w:eastAsiaTheme="minorEastAsia"/>
          <w:color w:val="auto"/>
          <w:highlight w:val="none"/>
          <w:lang w:val="en-US" w:eastAsia="zh-CN"/>
        </w:rPr>
      </w:pPr>
    </w:p>
    <w:p w14:paraId="739DD25E">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环境影响因子</w:t>
      </w:r>
      <w:r>
        <w:rPr>
          <w:rFonts w:hint="default" w:ascii="Times New Roman" w:hAnsi="Times New Roman" w:eastAsia="宋体" w:cs="Times New Roman"/>
          <w:color w:val="auto"/>
          <w:highlight w:val="none"/>
        </w:rPr>
        <w:t>识别</w:t>
      </w:r>
    </w:p>
    <w:p w14:paraId="5DD7BCDF">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流域综合规划的实施将对生态环境、社会、经济产生广泛而深远的影响。环境影响识别应遵循整体性、关联性、层次性及突出重点的原则，在规划分析与环境现状调查评价的基础上，识别规划方案可能产生的环境影响；在此基础上，结合规划影响涉及区域的环境背景，开展规划环境影响因子识别与筛选，筛选结果见表4.1.2-1。</w:t>
      </w:r>
    </w:p>
    <w:p w14:paraId="02B1104E">
      <w:pPr>
        <w:widowControl/>
        <w:spacing w:line="360" w:lineRule="auto"/>
        <w:ind w:firstLine="480"/>
        <w:jc w:val="left"/>
        <w:textAlignment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初步分析表明，规划实施</w:t>
      </w:r>
      <w:r>
        <w:rPr>
          <w:rFonts w:hint="default" w:ascii="Times New Roman" w:hAnsi="Times New Roman" w:eastAsia="宋体" w:cs="Times New Roman"/>
          <w:color w:val="auto"/>
          <w:highlight w:val="none"/>
          <w:lang w:val="en-US" w:eastAsia="zh-CN"/>
        </w:rPr>
        <w:t>过程中</w:t>
      </w:r>
      <w:r>
        <w:rPr>
          <w:rFonts w:hint="default" w:ascii="Times New Roman" w:hAnsi="Times New Roman" w:eastAsia="宋体" w:cs="Times New Roman"/>
          <w:color w:val="auto"/>
          <w:highlight w:val="none"/>
        </w:rPr>
        <w:t>影响的主要环境要素为水文情势、土壤环境、移民等，其中影响较大的是对水位、水质、社会经济的影响；规划实施后影响的主要环境要素为水文情势、生态环境、社会环境等，影响较大的是对流量、水位、陆生水位、水生生物的影响。</w:t>
      </w:r>
    </w:p>
    <w:p w14:paraId="62DCE51C">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表4.1.2-1</w:t>
      </w:r>
      <w:r>
        <w:rPr>
          <w:rFonts w:hint="default" w:ascii="Times New Roman" w:hAnsi="Times New Roman" w:cs="Times New Roman"/>
          <w:color w:val="auto"/>
          <w:highlight w:val="none"/>
        </w:rPr>
        <w:t>规划项目影响的环境因子识别分类</w:t>
      </w:r>
    </w:p>
    <w:tbl>
      <w:tblPr>
        <w:tblStyle w:val="2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315"/>
        <w:gridCol w:w="1035"/>
        <w:gridCol w:w="3482"/>
        <w:gridCol w:w="1224"/>
        <w:gridCol w:w="1299"/>
      </w:tblGrid>
      <w:tr w14:paraId="05255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shd w:val="clear" w:color="auto" w:fill="auto"/>
            <w:vAlign w:val="center"/>
          </w:tcPr>
          <w:p w14:paraId="24EF4425">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环境要素</w:t>
            </w:r>
          </w:p>
        </w:tc>
        <w:tc>
          <w:tcPr>
            <w:tcW w:w="2083" w:type="pct"/>
            <w:shd w:val="clear" w:color="auto" w:fill="auto"/>
            <w:vAlign w:val="center"/>
          </w:tcPr>
          <w:p w14:paraId="5DDCDD4A">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环境因子</w:t>
            </w:r>
          </w:p>
        </w:tc>
        <w:tc>
          <w:tcPr>
            <w:tcW w:w="732" w:type="pct"/>
            <w:shd w:val="clear" w:color="auto" w:fill="auto"/>
            <w:vAlign w:val="center"/>
          </w:tcPr>
          <w:p w14:paraId="7165E687">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规划实施中</w:t>
            </w:r>
          </w:p>
        </w:tc>
        <w:tc>
          <w:tcPr>
            <w:tcW w:w="777" w:type="pct"/>
            <w:shd w:val="clear" w:color="auto" w:fill="auto"/>
            <w:vAlign w:val="center"/>
          </w:tcPr>
          <w:p w14:paraId="2968A566">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规划实施后</w:t>
            </w:r>
          </w:p>
        </w:tc>
      </w:tr>
      <w:tr w14:paraId="3A27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shd w:val="clear" w:color="auto" w:fill="auto"/>
            <w:vAlign w:val="center"/>
          </w:tcPr>
          <w:p w14:paraId="63197DEE">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地形、地貌</w:t>
            </w:r>
          </w:p>
        </w:tc>
        <w:tc>
          <w:tcPr>
            <w:tcW w:w="2083" w:type="pct"/>
            <w:shd w:val="clear" w:color="auto" w:fill="auto"/>
            <w:vAlign w:val="center"/>
          </w:tcPr>
          <w:p w14:paraId="70F234D6">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地形、地貌改变</w:t>
            </w:r>
          </w:p>
        </w:tc>
        <w:tc>
          <w:tcPr>
            <w:tcW w:w="732" w:type="pct"/>
            <w:shd w:val="clear" w:color="auto" w:fill="auto"/>
            <w:vAlign w:val="center"/>
          </w:tcPr>
          <w:p w14:paraId="0B95695F">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005F2F79">
            <w:pPr>
              <w:pStyle w:val="35"/>
              <w:widowControl/>
              <w:textAlignment w:val="center"/>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z w:val="13"/>
                <w:szCs w:val="13"/>
                <w:highlight w:val="none"/>
              </w:rPr>
              <w:t>/</w:t>
            </w:r>
          </w:p>
        </w:tc>
      </w:tr>
      <w:tr w14:paraId="5074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shd w:val="clear" w:color="auto" w:fill="auto"/>
            <w:vAlign w:val="center"/>
          </w:tcPr>
          <w:p w14:paraId="092ECE2F">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地质环境</w:t>
            </w:r>
          </w:p>
        </w:tc>
        <w:tc>
          <w:tcPr>
            <w:tcW w:w="2083" w:type="pct"/>
            <w:shd w:val="clear" w:color="auto" w:fill="auto"/>
            <w:vAlign w:val="center"/>
          </w:tcPr>
          <w:p w14:paraId="0ABC1BF9">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边坡稳定</w:t>
            </w:r>
          </w:p>
        </w:tc>
        <w:tc>
          <w:tcPr>
            <w:tcW w:w="732" w:type="pct"/>
            <w:shd w:val="clear" w:color="auto" w:fill="auto"/>
            <w:vAlign w:val="center"/>
          </w:tcPr>
          <w:p w14:paraId="114DEED3">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2583FDE0">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4E95B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vMerge w:val="restart"/>
            <w:shd w:val="clear" w:color="auto" w:fill="auto"/>
            <w:vAlign w:val="center"/>
          </w:tcPr>
          <w:p w14:paraId="7F305027">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水文情势</w:t>
            </w:r>
          </w:p>
        </w:tc>
        <w:tc>
          <w:tcPr>
            <w:tcW w:w="2083" w:type="pct"/>
            <w:shd w:val="clear" w:color="auto" w:fill="auto"/>
            <w:vAlign w:val="center"/>
          </w:tcPr>
          <w:p w14:paraId="645B3078">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流量</w:t>
            </w:r>
          </w:p>
        </w:tc>
        <w:tc>
          <w:tcPr>
            <w:tcW w:w="732" w:type="pct"/>
            <w:shd w:val="clear" w:color="auto" w:fill="auto"/>
            <w:vAlign w:val="center"/>
          </w:tcPr>
          <w:p w14:paraId="0DA2C044">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3A99CB84">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0DEEA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vMerge w:val="continue"/>
            <w:shd w:val="clear" w:color="auto" w:fill="auto"/>
            <w:vAlign w:val="center"/>
          </w:tcPr>
          <w:p w14:paraId="79B277F8">
            <w:pPr>
              <w:pStyle w:val="35"/>
              <w:rPr>
                <w:rFonts w:hint="default" w:ascii="Times New Roman" w:hAnsi="Times New Roman" w:cs="Times New Roman"/>
                <w:color w:val="auto"/>
                <w:highlight w:val="none"/>
              </w:rPr>
            </w:pPr>
          </w:p>
        </w:tc>
        <w:tc>
          <w:tcPr>
            <w:tcW w:w="2083" w:type="pct"/>
            <w:shd w:val="clear" w:color="auto" w:fill="auto"/>
            <w:vAlign w:val="center"/>
          </w:tcPr>
          <w:p w14:paraId="01A56136">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泥沙</w:t>
            </w:r>
          </w:p>
        </w:tc>
        <w:tc>
          <w:tcPr>
            <w:tcW w:w="732" w:type="pct"/>
            <w:shd w:val="clear" w:color="auto" w:fill="auto"/>
            <w:vAlign w:val="center"/>
          </w:tcPr>
          <w:p w14:paraId="054BA00A">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50C59151">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1D426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vMerge w:val="continue"/>
            <w:shd w:val="clear" w:color="auto" w:fill="auto"/>
            <w:vAlign w:val="center"/>
          </w:tcPr>
          <w:p w14:paraId="7643E822">
            <w:pPr>
              <w:pStyle w:val="35"/>
              <w:rPr>
                <w:rFonts w:hint="default" w:ascii="Times New Roman" w:hAnsi="Times New Roman" w:cs="Times New Roman"/>
                <w:color w:val="auto"/>
                <w:highlight w:val="none"/>
              </w:rPr>
            </w:pPr>
          </w:p>
        </w:tc>
        <w:tc>
          <w:tcPr>
            <w:tcW w:w="2083" w:type="pct"/>
            <w:shd w:val="clear" w:color="auto" w:fill="auto"/>
            <w:vAlign w:val="center"/>
          </w:tcPr>
          <w:p w14:paraId="790385B8">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水位</w:t>
            </w:r>
          </w:p>
        </w:tc>
        <w:tc>
          <w:tcPr>
            <w:tcW w:w="732" w:type="pct"/>
            <w:shd w:val="clear" w:color="auto" w:fill="auto"/>
            <w:vAlign w:val="center"/>
          </w:tcPr>
          <w:p w14:paraId="66697A26">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06E7339E">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031BB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restart"/>
            <w:shd w:val="clear" w:color="auto" w:fill="auto"/>
            <w:vAlign w:val="center"/>
          </w:tcPr>
          <w:p w14:paraId="5347E182">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地表水环境</w:t>
            </w:r>
          </w:p>
        </w:tc>
        <w:tc>
          <w:tcPr>
            <w:tcW w:w="618" w:type="pct"/>
            <w:shd w:val="clear" w:color="auto" w:fill="auto"/>
            <w:vAlign w:val="center"/>
          </w:tcPr>
          <w:p w14:paraId="0F2EF93C">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水温</w:t>
            </w:r>
          </w:p>
        </w:tc>
        <w:tc>
          <w:tcPr>
            <w:tcW w:w="2083" w:type="pct"/>
            <w:shd w:val="clear" w:color="auto" w:fill="auto"/>
            <w:vAlign w:val="center"/>
          </w:tcPr>
          <w:p w14:paraId="62092C8D">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水温结构</w:t>
            </w:r>
          </w:p>
        </w:tc>
        <w:tc>
          <w:tcPr>
            <w:tcW w:w="732" w:type="pct"/>
            <w:shd w:val="clear" w:color="auto" w:fill="auto"/>
            <w:vAlign w:val="center"/>
          </w:tcPr>
          <w:p w14:paraId="27DE8029">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44B1BF13">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3E77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32" w:hRule="atLeast"/>
        </w:trPr>
        <w:tc>
          <w:tcPr>
            <w:tcW w:w="787" w:type="pct"/>
            <w:vMerge w:val="continue"/>
            <w:shd w:val="clear" w:color="auto" w:fill="auto"/>
            <w:vAlign w:val="center"/>
          </w:tcPr>
          <w:p w14:paraId="542C53A1">
            <w:pPr>
              <w:pStyle w:val="35"/>
              <w:rPr>
                <w:rFonts w:hint="default" w:ascii="Times New Roman" w:hAnsi="Times New Roman" w:cs="Times New Roman"/>
                <w:color w:val="auto"/>
                <w:highlight w:val="none"/>
              </w:rPr>
            </w:pPr>
          </w:p>
        </w:tc>
        <w:tc>
          <w:tcPr>
            <w:tcW w:w="618" w:type="pct"/>
            <w:vMerge w:val="restart"/>
            <w:shd w:val="clear" w:color="auto" w:fill="auto"/>
            <w:vAlign w:val="center"/>
          </w:tcPr>
          <w:p w14:paraId="137684A1">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水质</w:t>
            </w:r>
          </w:p>
        </w:tc>
        <w:tc>
          <w:tcPr>
            <w:tcW w:w="2083" w:type="pct"/>
            <w:shd w:val="clear" w:color="auto" w:fill="auto"/>
            <w:vAlign w:val="center"/>
          </w:tcPr>
          <w:p w14:paraId="01FCDDED">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BOD</w:t>
            </w:r>
            <w:r>
              <w:rPr>
                <w:rFonts w:hint="default" w:ascii="Times New Roman" w:hAnsi="Times New Roman" w:cs="Times New Roman"/>
                <w:color w:val="auto"/>
                <w:highlight w:val="none"/>
                <w:vertAlign w:val="subscript"/>
              </w:rPr>
              <w:t>5</w:t>
            </w:r>
            <w:r>
              <w:rPr>
                <w:rFonts w:hint="default" w:ascii="Times New Roman" w:hAnsi="Times New Roman" w:cs="Times New Roman"/>
                <w:color w:val="auto"/>
                <w:highlight w:val="none"/>
              </w:rPr>
              <w:t>、COD、氨氮</w:t>
            </w:r>
          </w:p>
        </w:tc>
        <w:tc>
          <w:tcPr>
            <w:tcW w:w="732" w:type="pct"/>
            <w:shd w:val="clear" w:color="auto" w:fill="auto"/>
            <w:vAlign w:val="center"/>
          </w:tcPr>
          <w:p w14:paraId="28CD22B8">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3B69EFEF">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59BF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8" w:hRule="atLeast"/>
        </w:trPr>
        <w:tc>
          <w:tcPr>
            <w:tcW w:w="787" w:type="pct"/>
            <w:vMerge w:val="continue"/>
            <w:shd w:val="clear" w:color="auto" w:fill="auto"/>
            <w:vAlign w:val="center"/>
          </w:tcPr>
          <w:p w14:paraId="6121FC83">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620DF962">
            <w:pPr>
              <w:pStyle w:val="35"/>
              <w:rPr>
                <w:rFonts w:hint="default" w:ascii="Times New Roman" w:hAnsi="Times New Roman" w:cs="Times New Roman"/>
                <w:color w:val="auto"/>
                <w:highlight w:val="none"/>
              </w:rPr>
            </w:pPr>
          </w:p>
        </w:tc>
        <w:tc>
          <w:tcPr>
            <w:tcW w:w="2083" w:type="pct"/>
            <w:shd w:val="clear" w:color="auto" w:fill="auto"/>
            <w:vAlign w:val="center"/>
          </w:tcPr>
          <w:p w14:paraId="48243F3D">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pH、SS、石油类</w:t>
            </w:r>
          </w:p>
        </w:tc>
        <w:tc>
          <w:tcPr>
            <w:tcW w:w="732" w:type="pct"/>
            <w:shd w:val="clear" w:color="auto" w:fill="auto"/>
            <w:vAlign w:val="center"/>
          </w:tcPr>
          <w:p w14:paraId="73EF1CEF">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23F7BCB8">
            <w:pPr>
              <w:pStyle w:val="35"/>
              <w:widowControl/>
              <w:textAlignment w:val="center"/>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z w:val="13"/>
                <w:szCs w:val="13"/>
                <w:highlight w:val="none"/>
              </w:rPr>
              <w:t>/</w:t>
            </w:r>
          </w:p>
        </w:tc>
      </w:tr>
      <w:tr w14:paraId="60CD3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680" w:hRule="atLeast"/>
        </w:trPr>
        <w:tc>
          <w:tcPr>
            <w:tcW w:w="787" w:type="pct"/>
            <w:vMerge w:val="restart"/>
            <w:shd w:val="clear" w:color="auto" w:fill="auto"/>
            <w:vAlign w:val="center"/>
          </w:tcPr>
          <w:p w14:paraId="41B0E080">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地下水环境</w:t>
            </w:r>
          </w:p>
        </w:tc>
        <w:tc>
          <w:tcPr>
            <w:tcW w:w="618" w:type="pct"/>
            <w:shd w:val="clear" w:color="auto" w:fill="auto"/>
            <w:vAlign w:val="center"/>
          </w:tcPr>
          <w:p w14:paraId="46F9E715">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水质</w:t>
            </w:r>
          </w:p>
        </w:tc>
        <w:tc>
          <w:tcPr>
            <w:tcW w:w="2083" w:type="pct"/>
            <w:shd w:val="clear" w:color="auto" w:fill="auto"/>
            <w:vAlign w:val="center"/>
          </w:tcPr>
          <w:p w14:paraId="7692AA96">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色、嗅和味、浑浊度、肉眼可见物、pH、总硬度、溶解性总固体、硫酸盐、氯化物、铁、锰、铜、锌、铝、挥发性酚类、耗氧量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锰法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、氨氮、硫化物、钠、总大肠菌群、菌落总数、硝酸盐、氰化物、氟化物、汞、砷、硒、镉、铅、三氯甲烷、四氯化碳、苯、甲苯、总α放射性、总β放射性、阴离子表面活性剂、亚硝酸盐、碘化物、铬（六价）</w:t>
            </w:r>
          </w:p>
        </w:tc>
        <w:tc>
          <w:tcPr>
            <w:tcW w:w="732" w:type="pct"/>
            <w:shd w:val="clear" w:color="auto" w:fill="auto"/>
            <w:vAlign w:val="center"/>
          </w:tcPr>
          <w:p w14:paraId="0EA2F0FE">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3569F0C6">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130AD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continue"/>
            <w:shd w:val="clear" w:color="auto" w:fill="auto"/>
            <w:vAlign w:val="center"/>
          </w:tcPr>
          <w:p w14:paraId="4DB368EB">
            <w:pPr>
              <w:pStyle w:val="35"/>
              <w:rPr>
                <w:rFonts w:hint="default" w:ascii="Times New Roman" w:hAnsi="Times New Roman" w:cs="Times New Roman"/>
                <w:color w:val="auto"/>
                <w:highlight w:val="none"/>
              </w:rPr>
            </w:pPr>
          </w:p>
        </w:tc>
        <w:tc>
          <w:tcPr>
            <w:tcW w:w="618" w:type="pct"/>
            <w:shd w:val="clear" w:color="auto" w:fill="auto"/>
            <w:vAlign w:val="center"/>
          </w:tcPr>
          <w:p w14:paraId="50399517">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水文</w:t>
            </w:r>
          </w:p>
        </w:tc>
        <w:tc>
          <w:tcPr>
            <w:tcW w:w="2083" w:type="pct"/>
            <w:shd w:val="clear" w:color="auto" w:fill="auto"/>
            <w:vAlign w:val="center"/>
          </w:tcPr>
          <w:p w14:paraId="51808060">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水位</w:t>
            </w:r>
          </w:p>
        </w:tc>
        <w:tc>
          <w:tcPr>
            <w:tcW w:w="732" w:type="pct"/>
            <w:shd w:val="clear" w:color="auto" w:fill="auto"/>
            <w:vAlign w:val="center"/>
          </w:tcPr>
          <w:p w14:paraId="67B1B7F5">
            <w:pPr>
              <w:pStyle w:val="35"/>
              <w:widowControl/>
              <w:textAlignment w:val="center"/>
              <w:rPr>
                <w:rFonts w:hint="default" w:ascii="Times New Roman" w:hAnsi="Times New Roman" w:eastAsia="宋体" w:cs="Times New Roman"/>
                <w:color w:val="auto"/>
                <w:sz w:val="13"/>
                <w:szCs w:val="13"/>
                <w:highlight w:val="none"/>
              </w:rPr>
            </w:pPr>
          </w:p>
        </w:tc>
        <w:tc>
          <w:tcPr>
            <w:tcW w:w="777" w:type="pct"/>
            <w:shd w:val="clear" w:color="auto" w:fill="auto"/>
            <w:vAlign w:val="center"/>
          </w:tcPr>
          <w:p w14:paraId="00B0172F">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32A1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shd w:val="clear" w:color="auto" w:fill="auto"/>
            <w:vAlign w:val="center"/>
          </w:tcPr>
          <w:p w14:paraId="5125A3A2">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大气环境</w:t>
            </w:r>
          </w:p>
        </w:tc>
        <w:tc>
          <w:tcPr>
            <w:tcW w:w="2083" w:type="pct"/>
            <w:shd w:val="clear" w:color="auto" w:fill="auto"/>
            <w:vAlign w:val="center"/>
          </w:tcPr>
          <w:p w14:paraId="02B5091F">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扬尘、燃油废气</w:t>
            </w:r>
          </w:p>
        </w:tc>
        <w:tc>
          <w:tcPr>
            <w:tcW w:w="732" w:type="pct"/>
            <w:shd w:val="clear" w:color="auto" w:fill="auto"/>
            <w:vAlign w:val="center"/>
          </w:tcPr>
          <w:p w14:paraId="5AA34E56">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322771EF">
            <w:pPr>
              <w:pStyle w:val="35"/>
              <w:widowControl/>
              <w:textAlignment w:val="center"/>
              <w:rPr>
                <w:rFonts w:hint="default" w:ascii="Times New Roman" w:hAnsi="Times New Roman" w:eastAsia="宋体" w:cs="Times New Roman"/>
                <w:color w:val="auto"/>
                <w:sz w:val="13"/>
                <w:szCs w:val="13"/>
                <w:highlight w:val="none"/>
              </w:rPr>
            </w:pPr>
          </w:p>
        </w:tc>
      </w:tr>
      <w:tr w14:paraId="4F77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restart"/>
            <w:shd w:val="clear" w:color="auto" w:fill="auto"/>
            <w:vAlign w:val="center"/>
          </w:tcPr>
          <w:p w14:paraId="6DF9094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生态环境</w:t>
            </w:r>
          </w:p>
        </w:tc>
        <w:tc>
          <w:tcPr>
            <w:tcW w:w="618" w:type="pct"/>
            <w:vMerge w:val="restart"/>
            <w:shd w:val="clear" w:color="auto" w:fill="auto"/>
            <w:vAlign w:val="center"/>
          </w:tcPr>
          <w:p w14:paraId="3C4614F7">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陆生植物</w:t>
            </w:r>
          </w:p>
        </w:tc>
        <w:tc>
          <w:tcPr>
            <w:tcW w:w="2083" w:type="pct"/>
            <w:shd w:val="clear" w:color="auto" w:fill="auto"/>
            <w:vAlign w:val="center"/>
          </w:tcPr>
          <w:p w14:paraId="3A892730">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区系组成</w:t>
            </w:r>
          </w:p>
        </w:tc>
        <w:tc>
          <w:tcPr>
            <w:tcW w:w="732" w:type="pct"/>
            <w:shd w:val="clear" w:color="auto" w:fill="auto"/>
            <w:vAlign w:val="center"/>
          </w:tcPr>
          <w:p w14:paraId="3269FA25">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21D5BA7F">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479E8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continue"/>
            <w:shd w:val="clear" w:color="auto" w:fill="auto"/>
            <w:vAlign w:val="center"/>
          </w:tcPr>
          <w:p w14:paraId="1209AB4B">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766721D1">
            <w:pPr>
              <w:pStyle w:val="35"/>
              <w:rPr>
                <w:rFonts w:hint="default" w:ascii="Times New Roman" w:hAnsi="Times New Roman" w:cs="Times New Roman"/>
                <w:color w:val="auto"/>
                <w:highlight w:val="none"/>
              </w:rPr>
            </w:pPr>
          </w:p>
        </w:tc>
        <w:tc>
          <w:tcPr>
            <w:tcW w:w="2083" w:type="pct"/>
            <w:shd w:val="clear" w:color="auto" w:fill="auto"/>
            <w:vAlign w:val="center"/>
          </w:tcPr>
          <w:p w14:paraId="7C8FE918">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覆盖度</w:t>
            </w:r>
          </w:p>
        </w:tc>
        <w:tc>
          <w:tcPr>
            <w:tcW w:w="732" w:type="pct"/>
            <w:shd w:val="clear" w:color="auto" w:fill="auto"/>
            <w:vAlign w:val="center"/>
          </w:tcPr>
          <w:p w14:paraId="7260C8D5">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4F456D7A">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4B898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continue"/>
            <w:shd w:val="clear" w:color="auto" w:fill="auto"/>
            <w:vAlign w:val="center"/>
          </w:tcPr>
          <w:p w14:paraId="226C61D6">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01094A63">
            <w:pPr>
              <w:pStyle w:val="35"/>
              <w:rPr>
                <w:rFonts w:hint="default" w:ascii="Times New Roman" w:hAnsi="Times New Roman" w:cs="Times New Roman"/>
                <w:color w:val="auto"/>
                <w:highlight w:val="none"/>
              </w:rPr>
            </w:pPr>
          </w:p>
        </w:tc>
        <w:tc>
          <w:tcPr>
            <w:tcW w:w="2083" w:type="pct"/>
            <w:shd w:val="clear" w:color="auto" w:fill="auto"/>
            <w:vAlign w:val="center"/>
          </w:tcPr>
          <w:p w14:paraId="0F012133">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珍稀植物</w:t>
            </w:r>
          </w:p>
        </w:tc>
        <w:tc>
          <w:tcPr>
            <w:tcW w:w="732" w:type="pct"/>
            <w:shd w:val="clear" w:color="auto" w:fill="auto"/>
            <w:vAlign w:val="center"/>
          </w:tcPr>
          <w:p w14:paraId="43802800">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4672957E">
            <w:pPr>
              <w:pStyle w:val="35"/>
              <w:widowControl/>
              <w:textAlignment w:val="center"/>
              <w:rPr>
                <w:rFonts w:hint="default" w:ascii="Times New Roman" w:hAnsi="Times New Roman" w:eastAsia="宋体" w:cs="Times New Roman"/>
                <w:color w:val="auto"/>
                <w:sz w:val="13"/>
                <w:szCs w:val="13"/>
                <w:highlight w:val="none"/>
              </w:rPr>
            </w:pPr>
          </w:p>
        </w:tc>
      </w:tr>
      <w:tr w14:paraId="79241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continue"/>
            <w:shd w:val="clear" w:color="auto" w:fill="auto"/>
            <w:vAlign w:val="center"/>
          </w:tcPr>
          <w:p w14:paraId="3654F6E1">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601CABC9">
            <w:pPr>
              <w:pStyle w:val="35"/>
              <w:rPr>
                <w:rFonts w:hint="default" w:ascii="Times New Roman" w:hAnsi="Times New Roman" w:cs="Times New Roman"/>
                <w:color w:val="auto"/>
                <w:highlight w:val="none"/>
              </w:rPr>
            </w:pPr>
          </w:p>
        </w:tc>
        <w:tc>
          <w:tcPr>
            <w:tcW w:w="2083" w:type="pct"/>
            <w:shd w:val="clear" w:color="auto" w:fill="auto"/>
            <w:vAlign w:val="center"/>
          </w:tcPr>
          <w:p w14:paraId="1ED1A187">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生境变化</w:t>
            </w:r>
          </w:p>
        </w:tc>
        <w:tc>
          <w:tcPr>
            <w:tcW w:w="732" w:type="pct"/>
            <w:shd w:val="clear" w:color="auto" w:fill="auto"/>
            <w:vAlign w:val="center"/>
          </w:tcPr>
          <w:p w14:paraId="05B8EB40">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1C676BDC">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0065C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continue"/>
            <w:shd w:val="clear" w:color="auto" w:fill="auto"/>
            <w:vAlign w:val="center"/>
          </w:tcPr>
          <w:p w14:paraId="7BDFCD32">
            <w:pPr>
              <w:pStyle w:val="35"/>
              <w:rPr>
                <w:rFonts w:hint="default" w:ascii="Times New Roman" w:hAnsi="Times New Roman" w:cs="Times New Roman"/>
                <w:color w:val="auto"/>
                <w:highlight w:val="none"/>
              </w:rPr>
            </w:pPr>
          </w:p>
        </w:tc>
        <w:tc>
          <w:tcPr>
            <w:tcW w:w="618" w:type="pct"/>
            <w:shd w:val="clear" w:color="auto" w:fill="auto"/>
            <w:vAlign w:val="center"/>
          </w:tcPr>
          <w:p w14:paraId="4D8546CC">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陆生动物</w:t>
            </w:r>
          </w:p>
        </w:tc>
        <w:tc>
          <w:tcPr>
            <w:tcW w:w="2083" w:type="pct"/>
            <w:shd w:val="clear" w:color="auto" w:fill="auto"/>
            <w:vAlign w:val="center"/>
          </w:tcPr>
          <w:p w14:paraId="2ADCE250">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栖息地、分布密度</w:t>
            </w:r>
          </w:p>
        </w:tc>
        <w:tc>
          <w:tcPr>
            <w:tcW w:w="732" w:type="pct"/>
            <w:shd w:val="clear" w:color="auto" w:fill="auto"/>
            <w:vAlign w:val="center"/>
          </w:tcPr>
          <w:p w14:paraId="4D99C61D">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021BC8B2">
            <w:pPr>
              <w:pStyle w:val="35"/>
              <w:widowControl/>
              <w:textAlignment w:val="center"/>
              <w:rPr>
                <w:rFonts w:hint="default" w:ascii="Times New Roman" w:hAnsi="Times New Roman" w:eastAsia="宋体" w:cs="Times New Roman"/>
                <w:color w:val="auto"/>
                <w:sz w:val="13"/>
                <w:szCs w:val="13"/>
                <w:highlight w:val="none"/>
              </w:rPr>
            </w:pPr>
          </w:p>
        </w:tc>
      </w:tr>
      <w:tr w14:paraId="435B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continue"/>
            <w:shd w:val="clear" w:color="auto" w:fill="auto"/>
            <w:vAlign w:val="center"/>
          </w:tcPr>
          <w:p w14:paraId="55F91F26">
            <w:pPr>
              <w:pStyle w:val="35"/>
              <w:rPr>
                <w:rFonts w:hint="default" w:ascii="Times New Roman" w:hAnsi="Times New Roman" w:cs="Times New Roman"/>
                <w:color w:val="auto"/>
                <w:highlight w:val="none"/>
              </w:rPr>
            </w:pPr>
          </w:p>
        </w:tc>
        <w:tc>
          <w:tcPr>
            <w:tcW w:w="618" w:type="pct"/>
            <w:vMerge w:val="restart"/>
            <w:shd w:val="clear" w:color="auto" w:fill="auto"/>
            <w:vAlign w:val="center"/>
          </w:tcPr>
          <w:p w14:paraId="493FEF60">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水生生物</w:t>
            </w:r>
          </w:p>
        </w:tc>
        <w:tc>
          <w:tcPr>
            <w:tcW w:w="2083" w:type="pct"/>
            <w:shd w:val="clear" w:color="auto" w:fill="auto"/>
            <w:vAlign w:val="center"/>
          </w:tcPr>
          <w:p w14:paraId="1750E194">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水生植物、浮游动物、底栖动物</w:t>
            </w:r>
          </w:p>
        </w:tc>
        <w:tc>
          <w:tcPr>
            <w:tcW w:w="732" w:type="pct"/>
            <w:shd w:val="clear" w:color="auto" w:fill="auto"/>
            <w:vAlign w:val="center"/>
          </w:tcPr>
          <w:p w14:paraId="4942E64A">
            <w:pPr>
              <w:pStyle w:val="35"/>
              <w:widowControl/>
              <w:textAlignment w:val="center"/>
              <w:rPr>
                <w:rFonts w:hint="default" w:ascii="Times New Roman" w:hAnsi="Times New Roman" w:eastAsia="宋体" w:cs="Times New Roman"/>
                <w:color w:val="auto"/>
                <w:sz w:val="13"/>
                <w:szCs w:val="13"/>
                <w:highlight w:val="none"/>
              </w:rPr>
            </w:pPr>
          </w:p>
        </w:tc>
        <w:tc>
          <w:tcPr>
            <w:tcW w:w="777" w:type="pct"/>
            <w:shd w:val="clear" w:color="auto" w:fill="auto"/>
            <w:vAlign w:val="center"/>
          </w:tcPr>
          <w:p w14:paraId="55FADBD2">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3C43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continue"/>
            <w:shd w:val="clear" w:color="auto" w:fill="auto"/>
            <w:vAlign w:val="center"/>
          </w:tcPr>
          <w:p w14:paraId="6EE1015A">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29E0587D">
            <w:pPr>
              <w:pStyle w:val="35"/>
              <w:rPr>
                <w:rFonts w:hint="default" w:ascii="Times New Roman" w:hAnsi="Times New Roman" w:cs="Times New Roman"/>
                <w:color w:val="auto"/>
                <w:highlight w:val="none"/>
              </w:rPr>
            </w:pPr>
          </w:p>
        </w:tc>
        <w:tc>
          <w:tcPr>
            <w:tcW w:w="2083" w:type="pct"/>
            <w:shd w:val="clear" w:color="auto" w:fill="auto"/>
            <w:vAlign w:val="center"/>
          </w:tcPr>
          <w:p w14:paraId="25603E93">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鱼类生境</w:t>
            </w:r>
          </w:p>
        </w:tc>
        <w:tc>
          <w:tcPr>
            <w:tcW w:w="732" w:type="pct"/>
            <w:shd w:val="clear" w:color="auto" w:fill="auto"/>
            <w:vAlign w:val="center"/>
          </w:tcPr>
          <w:p w14:paraId="2AE5F365">
            <w:pPr>
              <w:pStyle w:val="35"/>
              <w:widowControl/>
              <w:textAlignment w:val="center"/>
              <w:rPr>
                <w:rFonts w:hint="default" w:ascii="Times New Roman" w:hAnsi="Times New Roman" w:eastAsia="宋体" w:cs="Times New Roman"/>
                <w:color w:val="auto"/>
                <w:sz w:val="13"/>
                <w:szCs w:val="13"/>
                <w:highlight w:val="none"/>
              </w:rPr>
            </w:pP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4F9F4FF5">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041B1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787" w:type="pct"/>
            <w:vMerge w:val="continue"/>
            <w:shd w:val="clear" w:color="auto" w:fill="auto"/>
            <w:vAlign w:val="center"/>
          </w:tcPr>
          <w:p w14:paraId="1962361F">
            <w:pPr>
              <w:pStyle w:val="35"/>
              <w:rPr>
                <w:rFonts w:hint="default" w:ascii="Times New Roman" w:hAnsi="Times New Roman" w:cs="Times New Roman"/>
                <w:color w:val="auto"/>
                <w:highlight w:val="none"/>
              </w:rPr>
            </w:pPr>
          </w:p>
        </w:tc>
        <w:tc>
          <w:tcPr>
            <w:tcW w:w="2702" w:type="pct"/>
            <w:gridSpan w:val="2"/>
            <w:shd w:val="clear" w:color="auto" w:fill="auto"/>
            <w:vAlign w:val="center"/>
          </w:tcPr>
          <w:p w14:paraId="112BE64C">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水土流失</w:t>
            </w:r>
          </w:p>
        </w:tc>
        <w:tc>
          <w:tcPr>
            <w:tcW w:w="732" w:type="pct"/>
            <w:shd w:val="clear" w:color="auto" w:fill="auto"/>
            <w:vAlign w:val="center"/>
          </w:tcPr>
          <w:p w14:paraId="61AB1FAA">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4D32F52E">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39F7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vMerge w:val="restart"/>
            <w:shd w:val="clear" w:color="auto" w:fill="auto"/>
            <w:vAlign w:val="center"/>
          </w:tcPr>
          <w:p w14:paraId="7DA8319E">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土壤环境</w:t>
            </w:r>
          </w:p>
        </w:tc>
        <w:tc>
          <w:tcPr>
            <w:tcW w:w="2083" w:type="pct"/>
            <w:shd w:val="clear" w:color="auto" w:fill="auto"/>
            <w:vAlign w:val="center"/>
          </w:tcPr>
          <w:p w14:paraId="436C2C40">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土地资源</w:t>
            </w:r>
          </w:p>
        </w:tc>
        <w:tc>
          <w:tcPr>
            <w:tcW w:w="732" w:type="pct"/>
            <w:shd w:val="clear" w:color="auto" w:fill="auto"/>
            <w:vAlign w:val="center"/>
          </w:tcPr>
          <w:p w14:paraId="5B717534">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7FCD1403">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4FF4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vMerge w:val="continue"/>
            <w:shd w:val="clear" w:color="auto" w:fill="auto"/>
            <w:vAlign w:val="center"/>
          </w:tcPr>
          <w:p w14:paraId="7698C118">
            <w:pPr>
              <w:pStyle w:val="35"/>
              <w:rPr>
                <w:rFonts w:hint="default" w:ascii="Times New Roman" w:hAnsi="Times New Roman" w:cs="Times New Roman"/>
                <w:color w:val="auto"/>
                <w:highlight w:val="none"/>
              </w:rPr>
            </w:pPr>
          </w:p>
        </w:tc>
        <w:tc>
          <w:tcPr>
            <w:tcW w:w="2083" w:type="pct"/>
            <w:shd w:val="clear" w:color="auto" w:fill="auto"/>
            <w:vAlign w:val="center"/>
          </w:tcPr>
          <w:p w14:paraId="7D747EE6">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土壤环境</w:t>
            </w:r>
          </w:p>
        </w:tc>
        <w:tc>
          <w:tcPr>
            <w:tcW w:w="732" w:type="pct"/>
            <w:shd w:val="clear" w:color="auto" w:fill="auto"/>
            <w:vAlign w:val="center"/>
          </w:tcPr>
          <w:p w14:paraId="048CF0E0">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64C82728">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3F600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8" w:hRule="atLeast"/>
        </w:trPr>
        <w:tc>
          <w:tcPr>
            <w:tcW w:w="1406" w:type="pct"/>
            <w:gridSpan w:val="2"/>
            <w:shd w:val="clear" w:color="auto" w:fill="auto"/>
            <w:vAlign w:val="center"/>
          </w:tcPr>
          <w:p w14:paraId="02DF9485">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移民</w:t>
            </w:r>
          </w:p>
        </w:tc>
        <w:tc>
          <w:tcPr>
            <w:tcW w:w="2083" w:type="pct"/>
            <w:shd w:val="clear" w:color="auto" w:fill="auto"/>
            <w:vAlign w:val="center"/>
          </w:tcPr>
          <w:p w14:paraId="04B05A3F">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生产生活条件</w:t>
            </w:r>
          </w:p>
        </w:tc>
        <w:tc>
          <w:tcPr>
            <w:tcW w:w="732" w:type="pct"/>
            <w:shd w:val="clear" w:color="auto" w:fill="auto"/>
            <w:vAlign w:val="center"/>
          </w:tcPr>
          <w:p w14:paraId="4882876F">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140BAF23">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4F8A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restart"/>
            <w:shd w:val="clear" w:color="auto" w:fill="auto"/>
            <w:vAlign w:val="center"/>
          </w:tcPr>
          <w:p w14:paraId="515D4E03">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社会环境</w:t>
            </w:r>
          </w:p>
        </w:tc>
        <w:tc>
          <w:tcPr>
            <w:tcW w:w="618" w:type="pct"/>
            <w:vMerge w:val="restart"/>
            <w:shd w:val="clear" w:color="auto" w:fill="auto"/>
            <w:vAlign w:val="center"/>
          </w:tcPr>
          <w:p w14:paraId="06E7347E">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社会经济</w:t>
            </w:r>
          </w:p>
        </w:tc>
        <w:tc>
          <w:tcPr>
            <w:tcW w:w="2083" w:type="pct"/>
            <w:shd w:val="clear" w:color="auto" w:fill="auto"/>
            <w:vAlign w:val="center"/>
          </w:tcPr>
          <w:p w14:paraId="4828A298">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就业机会</w:t>
            </w:r>
          </w:p>
        </w:tc>
        <w:tc>
          <w:tcPr>
            <w:tcW w:w="732" w:type="pct"/>
            <w:shd w:val="clear" w:color="auto" w:fill="auto"/>
            <w:vAlign w:val="center"/>
          </w:tcPr>
          <w:p w14:paraId="1302B73D">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7F9FCFAC">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59F0C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continue"/>
            <w:shd w:val="clear" w:color="auto" w:fill="auto"/>
            <w:vAlign w:val="center"/>
          </w:tcPr>
          <w:p w14:paraId="69BF606F">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5762952B">
            <w:pPr>
              <w:pStyle w:val="35"/>
              <w:rPr>
                <w:rFonts w:hint="default" w:ascii="Times New Roman" w:hAnsi="Times New Roman" w:cs="Times New Roman"/>
                <w:color w:val="auto"/>
                <w:highlight w:val="none"/>
              </w:rPr>
            </w:pPr>
          </w:p>
        </w:tc>
        <w:tc>
          <w:tcPr>
            <w:tcW w:w="2083" w:type="pct"/>
            <w:shd w:val="clear" w:color="auto" w:fill="auto"/>
            <w:vAlign w:val="center"/>
          </w:tcPr>
          <w:p w14:paraId="76F5F165">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土地资源</w:t>
            </w:r>
          </w:p>
        </w:tc>
        <w:tc>
          <w:tcPr>
            <w:tcW w:w="732" w:type="pct"/>
            <w:shd w:val="clear" w:color="auto" w:fill="auto"/>
            <w:vAlign w:val="center"/>
          </w:tcPr>
          <w:p w14:paraId="7AE9B6D7">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51522E13">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7E881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continue"/>
            <w:shd w:val="clear" w:color="auto" w:fill="auto"/>
            <w:vAlign w:val="center"/>
          </w:tcPr>
          <w:p w14:paraId="32BA1DD0">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30B60249">
            <w:pPr>
              <w:pStyle w:val="35"/>
              <w:rPr>
                <w:rFonts w:hint="default" w:ascii="Times New Roman" w:hAnsi="Times New Roman" w:cs="Times New Roman"/>
                <w:color w:val="auto"/>
                <w:highlight w:val="none"/>
              </w:rPr>
            </w:pPr>
          </w:p>
        </w:tc>
        <w:tc>
          <w:tcPr>
            <w:tcW w:w="2083" w:type="pct"/>
            <w:shd w:val="clear" w:color="auto" w:fill="auto"/>
            <w:vAlign w:val="center"/>
          </w:tcPr>
          <w:p w14:paraId="511EA130">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农业生产</w:t>
            </w:r>
          </w:p>
        </w:tc>
        <w:tc>
          <w:tcPr>
            <w:tcW w:w="732" w:type="pct"/>
            <w:shd w:val="clear" w:color="auto" w:fill="auto"/>
            <w:vAlign w:val="center"/>
          </w:tcPr>
          <w:p w14:paraId="70182D0F">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7D8EF67A">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041D3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continue"/>
            <w:shd w:val="clear" w:color="auto" w:fill="auto"/>
            <w:vAlign w:val="center"/>
          </w:tcPr>
          <w:p w14:paraId="456EF989">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49FC14D9">
            <w:pPr>
              <w:pStyle w:val="35"/>
              <w:rPr>
                <w:rFonts w:hint="default" w:ascii="Times New Roman" w:hAnsi="Times New Roman" w:cs="Times New Roman"/>
                <w:color w:val="auto"/>
                <w:highlight w:val="none"/>
              </w:rPr>
            </w:pPr>
          </w:p>
        </w:tc>
        <w:tc>
          <w:tcPr>
            <w:tcW w:w="2083" w:type="pct"/>
            <w:shd w:val="clear" w:color="auto" w:fill="auto"/>
            <w:vAlign w:val="center"/>
          </w:tcPr>
          <w:p w14:paraId="4E3E8BBF">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经济收入</w:t>
            </w:r>
          </w:p>
        </w:tc>
        <w:tc>
          <w:tcPr>
            <w:tcW w:w="732" w:type="pct"/>
            <w:shd w:val="clear" w:color="auto" w:fill="auto"/>
            <w:vAlign w:val="center"/>
          </w:tcPr>
          <w:p w14:paraId="0A2C255D">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4E128E33">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1DAEC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continue"/>
            <w:shd w:val="clear" w:color="auto" w:fill="auto"/>
            <w:vAlign w:val="center"/>
          </w:tcPr>
          <w:p w14:paraId="1CD9594F">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406DB1A3">
            <w:pPr>
              <w:pStyle w:val="35"/>
              <w:rPr>
                <w:rFonts w:hint="default" w:ascii="Times New Roman" w:hAnsi="Times New Roman" w:cs="Times New Roman"/>
                <w:color w:val="auto"/>
                <w:highlight w:val="none"/>
              </w:rPr>
            </w:pPr>
          </w:p>
        </w:tc>
        <w:tc>
          <w:tcPr>
            <w:tcW w:w="2083" w:type="pct"/>
            <w:shd w:val="clear" w:color="auto" w:fill="auto"/>
            <w:vAlign w:val="center"/>
          </w:tcPr>
          <w:p w14:paraId="4D4A3A66">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能源结构</w:t>
            </w:r>
          </w:p>
        </w:tc>
        <w:tc>
          <w:tcPr>
            <w:tcW w:w="732" w:type="pct"/>
            <w:shd w:val="clear" w:color="auto" w:fill="auto"/>
            <w:vAlign w:val="center"/>
          </w:tcPr>
          <w:p w14:paraId="7AF84BD5">
            <w:pPr>
              <w:pStyle w:val="35"/>
              <w:widowControl/>
              <w:textAlignment w:val="center"/>
              <w:rPr>
                <w:rFonts w:hint="default" w:ascii="Times New Roman" w:hAnsi="Times New Roman" w:eastAsia="宋体" w:cs="Times New Roman"/>
                <w:color w:val="auto"/>
                <w:sz w:val="13"/>
                <w:szCs w:val="13"/>
                <w:highlight w:val="none"/>
              </w:rPr>
            </w:pPr>
          </w:p>
        </w:tc>
        <w:tc>
          <w:tcPr>
            <w:tcW w:w="777" w:type="pct"/>
            <w:shd w:val="clear" w:color="auto" w:fill="auto"/>
            <w:vAlign w:val="center"/>
          </w:tcPr>
          <w:p w14:paraId="6975908D">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784E8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continue"/>
            <w:shd w:val="clear" w:color="auto" w:fill="auto"/>
            <w:vAlign w:val="center"/>
          </w:tcPr>
          <w:p w14:paraId="08EBE970">
            <w:pPr>
              <w:pStyle w:val="35"/>
              <w:rPr>
                <w:rFonts w:hint="default" w:ascii="Times New Roman" w:hAnsi="Times New Roman" w:cs="Times New Roman"/>
                <w:color w:val="auto"/>
                <w:highlight w:val="none"/>
              </w:rPr>
            </w:pPr>
          </w:p>
        </w:tc>
        <w:tc>
          <w:tcPr>
            <w:tcW w:w="618" w:type="pct"/>
            <w:vMerge w:val="restart"/>
            <w:shd w:val="clear" w:color="auto" w:fill="auto"/>
            <w:vAlign w:val="center"/>
          </w:tcPr>
          <w:p w14:paraId="5A0DFC2C">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资源利用</w:t>
            </w:r>
          </w:p>
        </w:tc>
        <w:tc>
          <w:tcPr>
            <w:tcW w:w="2083" w:type="pct"/>
            <w:shd w:val="clear" w:color="auto" w:fill="auto"/>
            <w:vAlign w:val="center"/>
          </w:tcPr>
          <w:p w14:paraId="1AE9A148">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水资源</w:t>
            </w:r>
          </w:p>
        </w:tc>
        <w:tc>
          <w:tcPr>
            <w:tcW w:w="732" w:type="pct"/>
            <w:shd w:val="clear" w:color="auto" w:fill="auto"/>
            <w:vAlign w:val="center"/>
          </w:tcPr>
          <w:p w14:paraId="5DE26D5A">
            <w:pPr>
              <w:pStyle w:val="35"/>
              <w:widowControl/>
              <w:textAlignment w:val="center"/>
              <w:rPr>
                <w:rFonts w:hint="default" w:ascii="Times New Roman" w:hAnsi="Times New Roman" w:eastAsia="宋体" w:cs="Times New Roman"/>
                <w:color w:val="auto"/>
                <w:sz w:val="13"/>
                <w:szCs w:val="13"/>
                <w:highlight w:val="none"/>
              </w:rPr>
            </w:pPr>
          </w:p>
        </w:tc>
        <w:tc>
          <w:tcPr>
            <w:tcW w:w="777" w:type="pct"/>
            <w:shd w:val="clear" w:color="auto" w:fill="auto"/>
            <w:vAlign w:val="center"/>
          </w:tcPr>
          <w:p w14:paraId="1407027F">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31609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continue"/>
            <w:shd w:val="clear" w:color="auto" w:fill="auto"/>
            <w:vAlign w:val="center"/>
          </w:tcPr>
          <w:p w14:paraId="51BBFB02">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56B5E231">
            <w:pPr>
              <w:pStyle w:val="35"/>
              <w:rPr>
                <w:rFonts w:hint="default" w:ascii="Times New Roman" w:hAnsi="Times New Roman" w:cs="Times New Roman"/>
                <w:color w:val="auto"/>
                <w:highlight w:val="none"/>
              </w:rPr>
            </w:pPr>
          </w:p>
        </w:tc>
        <w:tc>
          <w:tcPr>
            <w:tcW w:w="2083" w:type="pct"/>
            <w:shd w:val="clear" w:color="auto" w:fill="auto"/>
            <w:vAlign w:val="center"/>
          </w:tcPr>
          <w:p w14:paraId="644634D1">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旅游</w:t>
            </w:r>
          </w:p>
        </w:tc>
        <w:tc>
          <w:tcPr>
            <w:tcW w:w="732" w:type="pct"/>
            <w:shd w:val="clear" w:color="auto" w:fill="auto"/>
            <w:vAlign w:val="center"/>
          </w:tcPr>
          <w:p w14:paraId="071D4998">
            <w:pPr>
              <w:pStyle w:val="35"/>
              <w:widowControl/>
              <w:textAlignment w:val="center"/>
              <w:rPr>
                <w:rFonts w:hint="default" w:ascii="Times New Roman" w:hAnsi="Times New Roman" w:eastAsia="宋体" w:cs="Times New Roman"/>
                <w:color w:val="auto"/>
                <w:sz w:val="13"/>
                <w:szCs w:val="13"/>
                <w:highlight w:val="none"/>
              </w:rPr>
            </w:pPr>
          </w:p>
        </w:tc>
        <w:tc>
          <w:tcPr>
            <w:tcW w:w="777" w:type="pct"/>
            <w:shd w:val="clear" w:color="auto" w:fill="auto"/>
            <w:vAlign w:val="center"/>
          </w:tcPr>
          <w:p w14:paraId="666BEA0C">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1F9EE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continue"/>
            <w:shd w:val="clear" w:color="auto" w:fill="auto"/>
            <w:vAlign w:val="center"/>
          </w:tcPr>
          <w:p w14:paraId="3FDBC962">
            <w:pPr>
              <w:pStyle w:val="35"/>
              <w:rPr>
                <w:rFonts w:hint="default" w:ascii="Times New Roman" w:hAnsi="Times New Roman" w:cs="Times New Roman"/>
                <w:color w:val="auto"/>
                <w:highlight w:val="none"/>
              </w:rPr>
            </w:pPr>
          </w:p>
        </w:tc>
        <w:tc>
          <w:tcPr>
            <w:tcW w:w="618" w:type="pct"/>
            <w:shd w:val="clear" w:color="auto" w:fill="auto"/>
            <w:vAlign w:val="center"/>
          </w:tcPr>
          <w:p w14:paraId="3967E8B4">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人群健康</w:t>
            </w:r>
          </w:p>
        </w:tc>
        <w:tc>
          <w:tcPr>
            <w:tcW w:w="2083" w:type="pct"/>
            <w:shd w:val="clear" w:color="auto" w:fill="auto"/>
            <w:vAlign w:val="center"/>
          </w:tcPr>
          <w:p w14:paraId="2F0B72A5">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地方病、传染病</w:t>
            </w:r>
          </w:p>
        </w:tc>
        <w:tc>
          <w:tcPr>
            <w:tcW w:w="732" w:type="pct"/>
            <w:shd w:val="clear" w:color="auto" w:fill="auto"/>
            <w:vAlign w:val="center"/>
          </w:tcPr>
          <w:p w14:paraId="1E4EF0FE">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128E07FD">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30998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continue"/>
            <w:shd w:val="clear" w:color="auto" w:fill="auto"/>
            <w:vAlign w:val="center"/>
          </w:tcPr>
          <w:p w14:paraId="623D73B2">
            <w:pPr>
              <w:pStyle w:val="35"/>
              <w:rPr>
                <w:rFonts w:hint="default" w:ascii="Times New Roman" w:hAnsi="Times New Roman" w:cs="Times New Roman"/>
                <w:color w:val="auto"/>
                <w:highlight w:val="none"/>
              </w:rPr>
            </w:pPr>
          </w:p>
        </w:tc>
        <w:tc>
          <w:tcPr>
            <w:tcW w:w="618" w:type="pct"/>
            <w:vMerge w:val="restart"/>
            <w:shd w:val="clear" w:color="auto" w:fill="auto"/>
            <w:vAlign w:val="center"/>
          </w:tcPr>
          <w:p w14:paraId="7DEC33F0">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基础设施</w:t>
            </w:r>
          </w:p>
        </w:tc>
        <w:tc>
          <w:tcPr>
            <w:tcW w:w="2083" w:type="pct"/>
            <w:shd w:val="clear" w:color="auto" w:fill="auto"/>
            <w:vAlign w:val="center"/>
          </w:tcPr>
          <w:p w14:paraId="5BD9FB6D">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交通</w:t>
            </w:r>
          </w:p>
        </w:tc>
        <w:tc>
          <w:tcPr>
            <w:tcW w:w="732" w:type="pct"/>
            <w:shd w:val="clear" w:color="auto" w:fill="auto"/>
            <w:vAlign w:val="center"/>
          </w:tcPr>
          <w:p w14:paraId="3D9F8435">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2DE07FC6">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r w14:paraId="7BBE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03" w:hRule="atLeast"/>
        </w:trPr>
        <w:tc>
          <w:tcPr>
            <w:tcW w:w="787" w:type="pct"/>
            <w:vMerge w:val="continue"/>
            <w:shd w:val="clear" w:color="auto" w:fill="auto"/>
            <w:vAlign w:val="center"/>
          </w:tcPr>
          <w:p w14:paraId="29D548D4">
            <w:pPr>
              <w:pStyle w:val="35"/>
              <w:rPr>
                <w:rFonts w:hint="default" w:ascii="Times New Roman" w:hAnsi="Times New Roman" w:cs="Times New Roman"/>
                <w:color w:val="auto"/>
                <w:highlight w:val="none"/>
              </w:rPr>
            </w:pPr>
          </w:p>
        </w:tc>
        <w:tc>
          <w:tcPr>
            <w:tcW w:w="618" w:type="pct"/>
            <w:vMerge w:val="continue"/>
            <w:shd w:val="clear" w:color="auto" w:fill="auto"/>
            <w:vAlign w:val="center"/>
          </w:tcPr>
          <w:p w14:paraId="5E473A2C">
            <w:pPr>
              <w:pStyle w:val="35"/>
              <w:rPr>
                <w:rFonts w:hint="default" w:ascii="Times New Roman" w:hAnsi="Times New Roman" w:cs="Times New Roman"/>
                <w:color w:val="auto"/>
                <w:highlight w:val="none"/>
              </w:rPr>
            </w:pPr>
          </w:p>
        </w:tc>
        <w:tc>
          <w:tcPr>
            <w:tcW w:w="2083" w:type="pct"/>
            <w:shd w:val="clear" w:color="auto" w:fill="auto"/>
            <w:vAlign w:val="center"/>
          </w:tcPr>
          <w:p w14:paraId="1E8A741F">
            <w:pPr>
              <w:pStyle w:val="35"/>
              <w:widowControl/>
              <w:textAlignment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移民点建设</w:t>
            </w:r>
          </w:p>
        </w:tc>
        <w:tc>
          <w:tcPr>
            <w:tcW w:w="732" w:type="pct"/>
            <w:shd w:val="clear" w:color="auto" w:fill="auto"/>
            <w:vAlign w:val="center"/>
          </w:tcPr>
          <w:p w14:paraId="7353361F">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c>
          <w:tcPr>
            <w:tcW w:w="777" w:type="pct"/>
            <w:shd w:val="clear" w:color="auto" w:fill="auto"/>
            <w:vAlign w:val="center"/>
          </w:tcPr>
          <w:p w14:paraId="348324FC">
            <w:pPr>
              <w:pStyle w:val="35"/>
              <w:widowControl/>
              <w:textAlignment w:val="center"/>
              <w:rPr>
                <w:rFonts w:hint="default" w:ascii="Times New Roman" w:hAnsi="Times New Roman" w:eastAsia="宋体" w:cs="Times New Roman"/>
                <w:color w:val="auto"/>
                <w:sz w:val="13"/>
                <w:szCs w:val="13"/>
                <w:highlight w:val="none"/>
                <w:lang w:eastAsia="zh-CN"/>
              </w:rPr>
            </w:pPr>
            <w:r>
              <w:rPr>
                <w:rFonts w:hint="default" w:ascii="Times New Roman" w:hAnsi="Times New Roman" w:eastAsia="宋体" w:cs="Times New Roman"/>
                <w:color w:val="auto"/>
                <w:sz w:val="13"/>
                <w:szCs w:val="13"/>
                <w:highlight w:val="none"/>
              </w:rPr>
              <w:t>＋</w:t>
            </w:r>
            <w:r>
              <w:rPr>
                <w:rFonts w:hint="default" w:ascii="Times New Roman" w:hAnsi="Times New Roman" w:eastAsia="宋体" w:cs="Times New Roman"/>
                <w:color w:val="auto"/>
                <w:sz w:val="13"/>
                <w:szCs w:val="13"/>
                <w:highlight w:val="none"/>
                <w:lang w:eastAsia="zh-CN"/>
              </w:rPr>
              <w:t>■</w:t>
            </w:r>
          </w:p>
        </w:tc>
      </w:tr>
    </w:tbl>
    <w:p w14:paraId="2606B2D1">
      <w:pPr>
        <w:pStyle w:val="4"/>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注：“</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sz w:val="15"/>
          <w:szCs w:val="15"/>
          <w:highlight w:val="none"/>
          <w:lang w:eastAsia="zh-CN"/>
        </w:rPr>
        <w:t>□</w:t>
      </w:r>
      <w:r>
        <w:rPr>
          <w:rFonts w:hint="default" w:ascii="Times New Roman" w:hAnsi="Times New Roman" w:eastAsia="宋体" w:cs="Times New Roman"/>
          <w:color w:val="auto"/>
          <w:highlight w:val="none"/>
        </w:rPr>
        <w:t>”</w:t>
      </w:r>
      <w:r>
        <w:rPr>
          <w:rFonts w:hint="default" w:ascii="Times New Roman" w:hAnsi="Times New Roman" w:cs="Times New Roman"/>
          <w:color w:val="auto"/>
          <w:sz w:val="21"/>
          <w:szCs w:val="21"/>
          <w:highlight w:val="none"/>
        </w:rPr>
        <w:t>分别表示重要评价因子、一般评价因子；“+</w:t>
      </w:r>
      <w:r>
        <w:rPr>
          <w:rFonts w:hint="default" w:ascii="Times New Roman" w:hAnsi="Times New Roman" w:cs="Times New Roman"/>
          <w:color w:val="auto"/>
          <w:sz w:val="21"/>
          <w:szCs w:val="21"/>
          <w:highlight w:val="none"/>
          <w:lang w:eastAsia="zh-CN"/>
        </w:rPr>
        <w:t>”“－”“</w:t>
      </w:r>
      <w:r>
        <w:rPr>
          <w:rFonts w:hint="default" w:ascii="Times New Roman" w:hAnsi="Times New Roman" w:cs="Times New Roman"/>
          <w:color w:val="auto"/>
          <w:sz w:val="21"/>
          <w:szCs w:val="21"/>
          <w:highlight w:val="none"/>
        </w:rPr>
        <w:t>±”分别表示有利影响、不利影响、既有有利影响也有不利影响。</w:t>
      </w:r>
    </w:p>
    <w:p w14:paraId="32A131C0">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环境影响范围识别</w:t>
      </w:r>
    </w:p>
    <w:p w14:paraId="1B0932A4">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（1）水资源</w:t>
      </w:r>
    </w:p>
    <w:p w14:paraId="7672AA23">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资源配置以水资源承载力为刚性约束上限，在全面调查现状用水实情与系统评估用水水平的基础上，预测支撑高质量发展所需的合理用水规模与结构，提出规划水平年水资源合理配置的规划意见。配置方案将改变流域、区域水资源利用程度与社会经济发展格局，产生以曲靖市南盘江流域为主的大范围间接影响。同时，防洪减灾规划通过河道整治、堤防达标与洪水调度改变洪水资源利用条件与径流时空分布；水资源节约集约利用规划通过总量强度双控、节水规划减少河道取水等，有利于退还河道内生态水量；水土保持规划通过水源涵养与减沙减淤改善河流的径流调节能力；跨流域引调水工程将在水源区、输水沿线与受水区同时改变水资源格局。</w:t>
      </w:r>
    </w:p>
    <w:p w14:paraId="2D37556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（2）土地资源</w:t>
      </w:r>
    </w:p>
    <w:p w14:paraId="79BA96F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规划对土地资源的影响主要表现为土地利用结构与布局变化：灌溉供水增加导致灌区规模变化；水库扩建、灌区渠系、引调水线路、防洪工程等产生临时用地和永久用地；水土保持规划改变土地利用结构的变化，河湖生态修复规划改变岸线利用方式。影响范围主要为区域内受水利工程建设征占地影响的范围，包括水库淹没区、弃渣场、生产生活区及移民安置区等。</w:t>
      </w:r>
    </w:p>
    <w:p w14:paraId="0ABB6BB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（3）水环境</w:t>
      </w:r>
    </w:p>
    <w:p w14:paraId="6839D7F4">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次规划重大水利工程包含新建罗师灌区工程、富源灌区工程、沾马灌区工程、曲靖市牛栏江德泽水库引水济曲工程、陆良县引水入陆工程、云南省南盘江（珠江源头）生态保护修复工程和响水坝水库扩建工程。在工程施工过程中，水利工程的围堰填筑与拆除、土石方开挖等活动会扰动水体、增加水体悬浮物；混凝土养护废水、含油污水与施工人员生活污水若处置不当亦会污染水体。水利工程运行期对水质的影响较小，但水库蓄水后流速减缓存在对水质的影响；调节性能较强的水库存在水温分层及下泄低温水影响；灌区工程新增农灌退水存在面源污染风险；跨流域引调水工程对水源区纳污能力及受水区退水增加的影响。规划中水资源保护规划、河湖生态保护规划通过入河排污口整治、内源治理与面源削减，将使河流水质总体改善，支撑水功能区水质目标实现。</w:t>
      </w:r>
    </w:p>
    <w:p w14:paraId="3BF0528C">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因此，水环境的影响范围主要为规划工程项目所在的曲靖市境内的南盘江流域干流及西河、潇湘江、板桥河、阎芳河等支流。</w:t>
      </w:r>
    </w:p>
    <w:p w14:paraId="7B4774A0">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（4）生态环境</w:t>
      </w:r>
    </w:p>
    <w:p w14:paraId="16A52D9A">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陆生生态：规划灌区工程、扩建水源工程、引调水工程等规划项目的实施将占用土地资源，占地范围内的植物植被、动物等将受到直接影响，影响动植物生境，从而在一定程度上改变规划区内动植物分布，影响生态系统的完整性。工程建设土石方施工扰动土地，造成工程占地区域内的水土流失。产生影响范围主要为规划项目工程区及周边区域。</w:t>
      </w:r>
    </w:p>
    <w:p w14:paraId="7B658108">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生生态：扩建水库、新建取水坝、灌区工程、引调水工程的建设实施，改变了河流天然状况，减脱水河段对鱼类"三场”与洄游通道产生影响；水资源保护、河湖生态保护与水土保持规划通过水质改善、水系连通、生境修复等对水生生物生境产生有利影响。因此，水生生态的影响范围主要为曲靖市范围内南盘江流域干流及各级支流。</w:t>
      </w:r>
    </w:p>
    <w:p w14:paraId="61B03F43">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（5）社会环境</w:t>
      </w:r>
    </w:p>
    <w:p w14:paraId="52389D86">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实施有利于流域范围内防洪标准提升、新增和改善灌溉面积、城乡供水保障人口增加、农村饮水安全提升、水生态环境与人居环境改善、水土流失治理带动农业生产条件改善、区域水资源支撑能力增强。水库淹没、工程征占地导致的移民安置、施工期交通干扰、施工噪声与扬尘、弃渣等会产生负面影响。</w:t>
      </w:r>
    </w:p>
    <w:p w14:paraId="3C7B567B">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由于社会影响的广泛性、区域性，社会环境评价范围主要涉及沾益区、麒麟区、富源县、陆良县、师宗县、罗平县、马龙区7个县（区）。</w:t>
      </w:r>
    </w:p>
    <w:p w14:paraId="385DD491">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（6）环境敏感区</w:t>
      </w:r>
    </w:p>
    <w:p w14:paraId="75AE7932">
      <w:pPr>
        <w:pStyle w:val="4"/>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环境敏感区主要包括规划范围涉及的自然保护地、水源保护区、湿地公园、风景名胜区、森林公园、生态保护红线等环境敏感区。规划工程的实施，工程征占地、水库淹没、河流阻隔等，可能对部分环境敏感区造成一定影响。</w:t>
      </w:r>
    </w:p>
    <w:p w14:paraId="580341E3">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环境影响时间跨度识别</w:t>
      </w:r>
    </w:p>
    <w:p w14:paraId="3CB29F68">
      <w:pPr>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南盘江（曲靖市境内）流域综合</w:t>
      </w:r>
      <w:r>
        <w:rPr>
          <w:rFonts w:hint="default" w:ascii="Times New Roman" w:hAnsi="Times New Roman" w:eastAsia="宋体" w:cs="Times New Roman"/>
          <w:color w:val="auto"/>
          <w:highlight w:val="none"/>
        </w:rPr>
        <w:t>规划以202</w:t>
      </w: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rPr>
        <w:t>年为基准年，以2035年为规划水平年</w:t>
      </w:r>
      <w:r>
        <w:rPr>
          <w:rFonts w:hint="default" w:ascii="Times New Roman" w:hAnsi="Times New Roman" w:eastAsia="宋体" w:cs="Times New Roman"/>
          <w:color w:val="auto"/>
          <w:highlight w:val="none"/>
          <w:lang w:eastAsia="zh-CN"/>
        </w:rPr>
        <w:t>，展望</w:t>
      </w:r>
      <w:r>
        <w:rPr>
          <w:rFonts w:hint="default" w:ascii="Times New Roman" w:hAnsi="Times New Roman" w:eastAsia="宋体" w:cs="Times New Roman"/>
          <w:color w:val="auto"/>
          <w:highlight w:val="none"/>
          <w:lang w:val="en-US" w:eastAsia="zh-CN"/>
        </w:rPr>
        <w:t>至2050年</w:t>
      </w:r>
      <w:r>
        <w:rPr>
          <w:rFonts w:hint="default" w:ascii="Times New Roman" w:hAnsi="Times New Roman" w:eastAsia="宋体" w:cs="Times New Roman"/>
          <w:color w:val="auto"/>
          <w:highlight w:val="none"/>
        </w:rPr>
        <w:t>。规划各专项措施对环境要素的作用方式</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影响程度、影响时间</w:t>
      </w:r>
      <w:r>
        <w:rPr>
          <w:rFonts w:hint="default" w:ascii="Times New Roman" w:hAnsi="Times New Roman" w:eastAsia="宋体" w:cs="Times New Roman"/>
          <w:color w:val="auto"/>
          <w:highlight w:val="none"/>
        </w:rPr>
        <w:t>存在明显差异：部分影响在规划实施过程中或实施后较短时间</w:t>
      </w:r>
      <w:r>
        <w:rPr>
          <w:rFonts w:hint="default" w:ascii="Times New Roman" w:hAnsi="Times New Roman" w:eastAsia="宋体" w:cs="Times New Roman"/>
          <w:color w:val="auto"/>
          <w:highlight w:val="none"/>
          <w:lang w:val="en-US" w:eastAsia="zh-CN"/>
        </w:rPr>
        <w:t>内出现，随工程结束后</w:t>
      </w:r>
      <w:r>
        <w:rPr>
          <w:rFonts w:hint="default" w:ascii="Times New Roman" w:hAnsi="Times New Roman" w:eastAsia="宋体" w:cs="Times New Roman"/>
          <w:color w:val="auto"/>
          <w:highlight w:val="none"/>
        </w:rPr>
        <w:t>逐步减弱乃至消失；部分影响则随工程运行和规划措施的持续推进而长期存在，具有累积性</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不可逆性</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因此，</w:t>
      </w:r>
      <w:r>
        <w:rPr>
          <w:rFonts w:hint="default" w:ascii="Times New Roman" w:hAnsi="Times New Roman" w:eastAsia="宋体" w:cs="Times New Roman"/>
          <w:color w:val="auto"/>
          <w:highlight w:val="none"/>
        </w:rPr>
        <w:t>将规划环境影响按时间跨度划分为短期影响与长期影响两个层次进行识别。短期影响主要指规划施工</w:t>
      </w:r>
      <w:r>
        <w:rPr>
          <w:rFonts w:hint="default" w:ascii="Times New Roman" w:hAnsi="Times New Roman" w:eastAsia="宋体" w:cs="Times New Roman"/>
          <w:color w:val="auto"/>
          <w:highlight w:val="none"/>
          <w:lang w:val="en-US" w:eastAsia="zh-CN"/>
        </w:rPr>
        <w:t>期</w:t>
      </w:r>
      <w:r>
        <w:rPr>
          <w:rFonts w:hint="default" w:ascii="Times New Roman" w:hAnsi="Times New Roman" w:eastAsia="宋体" w:cs="Times New Roman"/>
          <w:color w:val="auto"/>
          <w:highlight w:val="none"/>
        </w:rPr>
        <w:t>及实施后较短时间内显现的环境影响，一般随施工活动结束或生态系统自我调节</w:t>
      </w:r>
      <w:r>
        <w:rPr>
          <w:rFonts w:hint="default" w:ascii="Times New Roman" w:hAnsi="Times New Roman" w:eastAsia="宋体" w:cs="Times New Roman"/>
          <w:color w:val="auto"/>
          <w:highlight w:val="none"/>
          <w:lang w:val="en-US" w:eastAsia="zh-CN"/>
        </w:rPr>
        <w:t>作用下</w:t>
      </w:r>
      <w:r>
        <w:rPr>
          <w:rFonts w:hint="default" w:ascii="Times New Roman" w:hAnsi="Times New Roman" w:eastAsia="宋体" w:cs="Times New Roman"/>
          <w:color w:val="auto"/>
          <w:highlight w:val="none"/>
        </w:rPr>
        <w:t>逐渐减弱直至消失。</w:t>
      </w:r>
      <w:r>
        <w:rPr>
          <w:rFonts w:hint="default" w:ascii="Times New Roman" w:hAnsi="Times New Roman" w:eastAsia="宋体" w:cs="Times New Roman"/>
          <w:color w:val="auto"/>
          <w:highlight w:val="none"/>
          <w:lang w:val="en-US" w:eastAsia="zh-CN"/>
        </w:rPr>
        <w:t>长期影响主要指规划措施或工程设施投入运行后持续存在、影响深远的环境影响，通常具有累积性、不可逆性，并将贯穿规划水平年至展望年的全过程。</w:t>
      </w:r>
    </w:p>
    <w:p w14:paraId="3F0BE2EA">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（1）水资源</w:t>
      </w:r>
    </w:p>
    <w:p w14:paraId="085A460C">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规划通过水资源合理配置，将引起流域及区域水资源开发利用程度、经济社会用水结构的变化；水库</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取水坝</w:t>
      </w:r>
      <w:r>
        <w:rPr>
          <w:rFonts w:hint="default" w:ascii="Times New Roman" w:hAnsi="Times New Roman" w:eastAsia="宋体" w:cs="Times New Roman"/>
          <w:color w:val="auto"/>
          <w:highlight w:val="none"/>
        </w:rPr>
        <w:t>等水源工程建成运行后，将改变干、支流天然水文情势。</w:t>
      </w:r>
      <w:r>
        <w:rPr>
          <w:rFonts w:hint="default" w:ascii="Times New Roman" w:hAnsi="Times New Roman" w:eastAsia="宋体" w:cs="Times New Roman"/>
          <w:color w:val="auto"/>
          <w:highlight w:val="none"/>
          <w:lang w:val="en-US" w:eastAsia="zh-CN"/>
        </w:rPr>
        <w:t>其</w:t>
      </w:r>
      <w:r>
        <w:rPr>
          <w:rFonts w:hint="default" w:ascii="Times New Roman" w:hAnsi="Times New Roman" w:eastAsia="宋体" w:cs="Times New Roman"/>
          <w:color w:val="auto"/>
          <w:highlight w:val="none"/>
        </w:rPr>
        <w:t>变化伴随工程运行长期存在，</w:t>
      </w:r>
      <w:r>
        <w:rPr>
          <w:rFonts w:hint="default" w:ascii="Times New Roman" w:hAnsi="Times New Roman" w:eastAsia="宋体" w:cs="Times New Roman"/>
          <w:color w:val="auto"/>
          <w:highlight w:val="none"/>
          <w:lang w:val="en-US" w:eastAsia="zh-CN"/>
        </w:rPr>
        <w:t>属于</w:t>
      </w:r>
      <w:r>
        <w:rPr>
          <w:rFonts w:hint="default" w:ascii="Times New Roman" w:hAnsi="Times New Roman" w:eastAsia="宋体" w:cs="Times New Roman"/>
          <w:color w:val="auto"/>
          <w:highlight w:val="none"/>
        </w:rPr>
        <w:t>长期影响。</w:t>
      </w:r>
    </w:p>
    <w:p w14:paraId="22BAB6D6">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（2）土地资源</w:t>
      </w:r>
    </w:p>
    <w:p w14:paraId="6D69D672">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水库扩建、灌区建设等工程将产生淹没和永久占地，直接改变区域土地利用结构与土地资源的数量、质量格局。此类占地具有不可逆性，对区域土地资源的影响为长期影响。</w:t>
      </w:r>
    </w:p>
    <w:p w14:paraId="7A3B9BF2">
      <w:pPr>
        <w:spacing w:line="360" w:lineRule="auto"/>
        <w:ind w:firstLine="480"/>
        <w:rPr>
          <w:rFonts w:hint="default" w:ascii="Times New Roman" w:hAnsi="Times New Roman" w:eastAsia="宋体" w:cs="Times New Roman"/>
          <w:color w:val="auto"/>
          <w:szCs w:val="24"/>
          <w:highlight w:val="none"/>
        </w:rPr>
      </w:pPr>
      <w:r>
        <w:rPr>
          <w:rFonts w:hint="default" w:ascii="Times New Roman" w:hAnsi="Times New Roman" w:eastAsia="宋体" w:cs="Times New Roman"/>
          <w:color w:val="auto"/>
          <w:highlight w:val="none"/>
        </w:rPr>
        <w:t>（3）水环境</w:t>
      </w:r>
    </w:p>
    <w:p w14:paraId="5BD214FD">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库扩建、取水坝等工程建成运行后，河流水文情势、水质、水温等将较天然状况产生一定差异，在工程运行期内长期存在。同时，水资源保护规划将水量保障与水质保护纳入规划体系并持续实施，对维护流域水质具有长期有利影响。</w:t>
      </w:r>
    </w:p>
    <w:p w14:paraId="24043197">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（4）生态</w:t>
      </w:r>
      <w:r>
        <w:rPr>
          <w:rFonts w:hint="default" w:ascii="Times New Roman" w:hAnsi="Times New Roman" w:cs="Times New Roman"/>
          <w:color w:val="auto"/>
          <w:highlight w:val="none"/>
          <w:lang w:val="en-US" w:eastAsia="zh-CN"/>
        </w:rPr>
        <w:t>环境</w:t>
      </w:r>
    </w:p>
    <w:p w14:paraId="05AB989E">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 xml:space="preserve">陆生生态：防洪堤防、山洪沟治理等工程改变了河流天然形态，对河流形态及岸边的生境产生长期影响；水库扩建淹没及土地利用类型改变，将使部分陆生生物栖息地减少或破碎化，其影响具有长期性。施工活动对陆生生物造成的惊扰与临时占压，属短期影响。 </w:t>
      </w:r>
    </w:p>
    <w:p w14:paraId="0B50D87B">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水生生态：大坝阻隔及河流水文情势改变，对水生生物（特别是鱼类）洄游通道与栖息环境产生长期影响；水生态保护与修复规划通过栖息地修复、连通性恢复等措施，对水生生物资源恢复具有长期有利影响。施工期涉水扰动对水生生物的影响是短期影响。</w:t>
      </w:r>
    </w:p>
    <w:p w14:paraId="3134F0CC">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（5）社会环境</w:t>
      </w:r>
    </w:p>
    <w:p w14:paraId="5FD1E8A6">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规划实施后防洪、供水、灌溉等综合效益显著，将促进区域经济结构优化与社会持续发展。社会影响具有广泛性</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区域性</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对区域社会经济的影响</w:t>
      </w:r>
      <w:r>
        <w:rPr>
          <w:rFonts w:hint="default" w:ascii="Times New Roman" w:hAnsi="Times New Roman" w:eastAsia="宋体" w:cs="Times New Roman"/>
          <w:color w:val="auto"/>
          <w:highlight w:val="none"/>
          <w:lang w:val="en-US" w:eastAsia="zh-CN"/>
        </w:rPr>
        <w:t>是</w:t>
      </w:r>
      <w:r>
        <w:rPr>
          <w:rFonts w:hint="default" w:ascii="Times New Roman" w:hAnsi="Times New Roman" w:eastAsia="宋体" w:cs="Times New Roman"/>
          <w:color w:val="auto"/>
          <w:highlight w:val="none"/>
        </w:rPr>
        <w:t>长期有利影响。</w:t>
      </w:r>
    </w:p>
    <w:p w14:paraId="2413B536">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（6）环境敏感区</w:t>
      </w:r>
    </w:p>
    <w:p w14:paraId="0AD9A697">
      <w:pPr>
        <w:spacing w:line="360" w:lineRule="auto"/>
        <w:ind w:firstLine="48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河湖生态保护规划</w:t>
      </w:r>
      <w:r>
        <w:rPr>
          <w:rFonts w:hint="default" w:ascii="Times New Roman" w:hAnsi="Times New Roman" w:eastAsia="宋体" w:cs="Times New Roman"/>
          <w:color w:val="auto"/>
          <w:highlight w:val="none"/>
        </w:rPr>
        <w:t>在识别流域各类环境敏感区</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提出加强自然保护区等环境敏感区监督管理的措施，对环境敏感区具有长期有利影响。其余各专项规划对环境敏感区的直接影响主要集中于施工期，一般属短期影响，通过严格落实避让、减缓与修复措施</w:t>
      </w:r>
      <w:r>
        <w:rPr>
          <w:rFonts w:hint="default" w:ascii="Times New Roman" w:hAnsi="Times New Roman" w:eastAsia="宋体" w:cs="Times New Roman"/>
          <w:color w:val="auto"/>
          <w:highlight w:val="none"/>
          <w:lang w:val="en-US" w:eastAsia="zh-CN"/>
        </w:rPr>
        <w:t>可以</w:t>
      </w:r>
      <w:r>
        <w:rPr>
          <w:rFonts w:hint="default" w:ascii="Times New Roman" w:hAnsi="Times New Roman" w:eastAsia="宋体" w:cs="Times New Roman"/>
          <w:color w:val="auto"/>
          <w:highlight w:val="none"/>
        </w:rPr>
        <w:t>得到有效控制。</w:t>
      </w:r>
    </w:p>
    <w:p w14:paraId="7483D80F">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表4.1.4-1</w:t>
      </w:r>
      <w:r>
        <w:rPr>
          <w:rFonts w:hint="default" w:ascii="Times New Roman" w:hAnsi="Times New Roman" w:cs="Times New Roman"/>
          <w:color w:val="auto"/>
          <w:highlight w:val="none"/>
        </w:rPr>
        <w:t>规划环境影响时间跨度识别矩阵</w:t>
      </w:r>
    </w:p>
    <w:tbl>
      <w:tblPr>
        <w:tblStyle w:val="2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28" w:type="dxa"/>
          <w:bottom w:w="0" w:type="dxa"/>
          <w:right w:w="28" w:type="dxa"/>
        </w:tblCellMar>
      </w:tblPr>
      <w:tblGrid>
        <w:gridCol w:w="595"/>
        <w:gridCol w:w="595"/>
        <w:gridCol w:w="598"/>
        <w:gridCol w:w="595"/>
        <w:gridCol w:w="596"/>
        <w:gridCol w:w="596"/>
        <w:gridCol w:w="596"/>
        <w:gridCol w:w="596"/>
        <w:gridCol w:w="596"/>
        <w:gridCol w:w="607"/>
        <w:gridCol w:w="596"/>
        <w:gridCol w:w="596"/>
        <w:gridCol w:w="599"/>
        <w:gridCol w:w="596"/>
      </w:tblGrid>
      <w:tr w14:paraId="1F1B1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restart"/>
            <w:shd w:val="clear" w:color="auto" w:fill="auto"/>
            <w:vAlign w:val="center"/>
          </w:tcPr>
          <w:p w14:paraId="7A6FED2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系统</w:t>
            </w:r>
          </w:p>
        </w:tc>
        <w:tc>
          <w:tcPr>
            <w:tcW w:w="714" w:type="pct"/>
            <w:gridSpan w:val="2"/>
            <w:vMerge w:val="restart"/>
            <w:shd w:val="clear" w:color="auto" w:fill="auto"/>
            <w:vAlign w:val="center"/>
          </w:tcPr>
          <w:p w14:paraId="0C8639BF">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环境要素</w:t>
            </w:r>
          </w:p>
        </w:tc>
        <w:tc>
          <w:tcPr>
            <w:tcW w:w="356" w:type="pct"/>
            <w:vMerge w:val="restart"/>
            <w:shd w:val="clear" w:color="auto" w:fill="auto"/>
            <w:vAlign w:val="center"/>
          </w:tcPr>
          <w:p w14:paraId="088B720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防洪减灾规划</w:t>
            </w:r>
          </w:p>
        </w:tc>
        <w:tc>
          <w:tcPr>
            <w:tcW w:w="2143" w:type="pct"/>
            <w:gridSpan w:val="6"/>
            <w:shd w:val="clear" w:color="auto" w:fill="auto"/>
            <w:vAlign w:val="center"/>
          </w:tcPr>
          <w:p w14:paraId="6746546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水资源节约集约利用规划</w:t>
            </w:r>
          </w:p>
        </w:tc>
        <w:tc>
          <w:tcPr>
            <w:tcW w:w="356" w:type="pct"/>
            <w:vMerge w:val="restart"/>
            <w:shd w:val="clear" w:color="auto" w:fill="auto"/>
            <w:vAlign w:val="center"/>
          </w:tcPr>
          <w:p w14:paraId="7E20624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水资源保护规划</w:t>
            </w:r>
          </w:p>
        </w:tc>
        <w:tc>
          <w:tcPr>
            <w:tcW w:w="714" w:type="pct"/>
            <w:gridSpan w:val="2"/>
            <w:shd w:val="clear" w:color="auto" w:fill="auto"/>
            <w:vAlign w:val="center"/>
          </w:tcPr>
          <w:p w14:paraId="2B8B0E0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河湖生态保护规划</w:t>
            </w:r>
          </w:p>
        </w:tc>
        <w:tc>
          <w:tcPr>
            <w:tcW w:w="356" w:type="pct"/>
            <w:vMerge w:val="restart"/>
            <w:shd w:val="clear" w:color="auto" w:fill="auto"/>
            <w:vAlign w:val="center"/>
          </w:tcPr>
          <w:p w14:paraId="0D015FF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流域综合管理</w:t>
            </w:r>
          </w:p>
        </w:tc>
      </w:tr>
      <w:tr w14:paraId="1965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860" w:hRule="atLeast"/>
        </w:trPr>
        <w:tc>
          <w:tcPr>
            <w:tcW w:w="356" w:type="pct"/>
            <w:vMerge w:val="continue"/>
            <w:shd w:val="clear" w:color="auto" w:fill="auto"/>
            <w:vAlign w:val="center"/>
          </w:tcPr>
          <w:p w14:paraId="1E92E79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714" w:type="pct"/>
            <w:gridSpan w:val="2"/>
            <w:vMerge w:val="continue"/>
            <w:shd w:val="clear" w:color="auto" w:fill="auto"/>
            <w:vAlign w:val="center"/>
          </w:tcPr>
          <w:p w14:paraId="7861E69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vMerge w:val="continue"/>
            <w:shd w:val="clear" w:color="auto" w:fill="auto"/>
            <w:vAlign w:val="center"/>
          </w:tcPr>
          <w:p w14:paraId="1C3CFA4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1D4C31D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水资源配置</w:t>
            </w:r>
          </w:p>
        </w:tc>
        <w:tc>
          <w:tcPr>
            <w:tcW w:w="356" w:type="pct"/>
            <w:shd w:val="clear" w:color="auto" w:fill="auto"/>
            <w:vAlign w:val="center"/>
          </w:tcPr>
          <w:p w14:paraId="19ABCE7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节约用水规划</w:t>
            </w:r>
          </w:p>
        </w:tc>
        <w:tc>
          <w:tcPr>
            <w:tcW w:w="356" w:type="pct"/>
            <w:shd w:val="clear" w:color="auto" w:fill="auto"/>
            <w:vAlign w:val="center"/>
          </w:tcPr>
          <w:p w14:paraId="2DC30F1D">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城乡供水规划</w:t>
            </w:r>
          </w:p>
        </w:tc>
        <w:tc>
          <w:tcPr>
            <w:tcW w:w="356" w:type="pct"/>
            <w:shd w:val="clear" w:color="auto" w:fill="auto"/>
            <w:vAlign w:val="center"/>
          </w:tcPr>
          <w:p w14:paraId="2F9C01D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灌溉规划</w:t>
            </w:r>
          </w:p>
        </w:tc>
        <w:tc>
          <w:tcPr>
            <w:tcW w:w="356" w:type="pct"/>
            <w:shd w:val="clear" w:color="auto" w:fill="auto"/>
            <w:vAlign w:val="center"/>
          </w:tcPr>
          <w:p w14:paraId="1575D86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跨流域引调水规划</w:t>
            </w:r>
          </w:p>
        </w:tc>
        <w:tc>
          <w:tcPr>
            <w:tcW w:w="359" w:type="pct"/>
            <w:shd w:val="clear" w:color="auto" w:fill="auto"/>
            <w:vAlign w:val="center"/>
          </w:tcPr>
          <w:p w14:paraId="3425F2A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水力发电规划</w:t>
            </w:r>
          </w:p>
        </w:tc>
        <w:tc>
          <w:tcPr>
            <w:tcW w:w="356" w:type="pct"/>
            <w:vMerge w:val="continue"/>
            <w:shd w:val="clear" w:color="auto" w:fill="auto"/>
            <w:vAlign w:val="center"/>
          </w:tcPr>
          <w:p w14:paraId="5B0FD46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5F1A2FB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河湖生态保护规划</w:t>
            </w:r>
          </w:p>
        </w:tc>
        <w:tc>
          <w:tcPr>
            <w:tcW w:w="357" w:type="pct"/>
            <w:shd w:val="clear" w:color="auto" w:fill="auto"/>
            <w:vAlign w:val="center"/>
          </w:tcPr>
          <w:p w14:paraId="6DE0988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水土保持规划</w:t>
            </w:r>
          </w:p>
        </w:tc>
        <w:tc>
          <w:tcPr>
            <w:tcW w:w="356" w:type="pct"/>
            <w:vMerge w:val="continue"/>
            <w:shd w:val="clear" w:color="auto" w:fill="auto"/>
            <w:vAlign w:val="center"/>
          </w:tcPr>
          <w:p w14:paraId="238928D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r>
      <w:tr w14:paraId="7E1E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restart"/>
            <w:shd w:val="clear" w:color="auto" w:fill="auto"/>
            <w:vAlign w:val="center"/>
          </w:tcPr>
          <w:p w14:paraId="08039AC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资源系统</w:t>
            </w:r>
          </w:p>
        </w:tc>
        <w:tc>
          <w:tcPr>
            <w:tcW w:w="356" w:type="pct"/>
            <w:vMerge w:val="restart"/>
            <w:shd w:val="clear" w:color="auto" w:fill="auto"/>
            <w:vAlign w:val="center"/>
          </w:tcPr>
          <w:p w14:paraId="3CE612E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水文水资源</w:t>
            </w:r>
          </w:p>
        </w:tc>
        <w:tc>
          <w:tcPr>
            <w:tcW w:w="357" w:type="pct"/>
            <w:shd w:val="clear" w:color="auto" w:fill="auto"/>
            <w:vAlign w:val="center"/>
          </w:tcPr>
          <w:p w14:paraId="43CA1B0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水文情势</w:t>
            </w:r>
          </w:p>
        </w:tc>
        <w:tc>
          <w:tcPr>
            <w:tcW w:w="356" w:type="pct"/>
            <w:shd w:val="clear" w:color="auto" w:fill="auto"/>
            <w:vAlign w:val="center"/>
          </w:tcPr>
          <w:p w14:paraId="3A841FB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69DA582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283EC06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5E26447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1AA083C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0010294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vAlign w:val="center"/>
          </w:tcPr>
          <w:p w14:paraId="21E979D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6C9710A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714FE35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noWrap/>
            <w:vAlign w:val="center"/>
          </w:tcPr>
          <w:p w14:paraId="3E81CD7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7C51034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r>
      <w:tr w14:paraId="232A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18" w:hRule="atLeast"/>
        </w:trPr>
        <w:tc>
          <w:tcPr>
            <w:tcW w:w="356" w:type="pct"/>
            <w:vMerge w:val="continue"/>
            <w:shd w:val="clear" w:color="auto" w:fill="auto"/>
            <w:vAlign w:val="center"/>
          </w:tcPr>
          <w:p w14:paraId="19DB6ED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vMerge w:val="continue"/>
            <w:shd w:val="clear" w:color="auto" w:fill="auto"/>
            <w:vAlign w:val="center"/>
          </w:tcPr>
          <w:p w14:paraId="59780A6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vAlign w:val="center"/>
          </w:tcPr>
          <w:p w14:paraId="2F62B22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w:t>
            </w:r>
          </w:p>
        </w:tc>
        <w:tc>
          <w:tcPr>
            <w:tcW w:w="356" w:type="pct"/>
            <w:shd w:val="clear" w:color="auto" w:fill="auto"/>
            <w:vAlign w:val="center"/>
          </w:tcPr>
          <w:p w14:paraId="060519A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33B91C0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6922BEF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6B4992A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691A918D">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6BFC783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vAlign w:val="center"/>
          </w:tcPr>
          <w:p w14:paraId="52248B9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5A0DC83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6FF0F99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noWrap/>
            <w:vAlign w:val="center"/>
          </w:tcPr>
          <w:p w14:paraId="731E556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5AF9C8E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18C7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continue"/>
            <w:shd w:val="clear" w:color="auto" w:fill="auto"/>
            <w:vAlign w:val="center"/>
          </w:tcPr>
          <w:p w14:paraId="520575BD">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2A9AD4F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土地</w:t>
            </w:r>
          </w:p>
        </w:tc>
        <w:tc>
          <w:tcPr>
            <w:tcW w:w="357" w:type="pct"/>
            <w:shd w:val="clear" w:color="auto" w:fill="auto"/>
            <w:vAlign w:val="center"/>
          </w:tcPr>
          <w:p w14:paraId="029B5AD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土地利用</w:t>
            </w:r>
          </w:p>
        </w:tc>
        <w:tc>
          <w:tcPr>
            <w:tcW w:w="356" w:type="pct"/>
            <w:shd w:val="clear" w:color="auto" w:fill="auto"/>
            <w:vAlign w:val="center"/>
          </w:tcPr>
          <w:p w14:paraId="7A3401B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40337AF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3BACADE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2E430D0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258D272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7D7757A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vAlign w:val="center"/>
          </w:tcPr>
          <w:p w14:paraId="2FD8A4A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7D443C0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21B7BB3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7" w:type="pct"/>
            <w:shd w:val="clear" w:color="auto" w:fill="auto"/>
            <w:noWrap/>
            <w:vAlign w:val="center"/>
          </w:tcPr>
          <w:p w14:paraId="6F1AAE3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0EB1963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r>
      <w:tr w14:paraId="6578E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restart"/>
            <w:shd w:val="clear" w:color="auto" w:fill="auto"/>
            <w:vAlign w:val="center"/>
          </w:tcPr>
          <w:p w14:paraId="792A4ED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环境系统</w:t>
            </w:r>
          </w:p>
        </w:tc>
        <w:tc>
          <w:tcPr>
            <w:tcW w:w="356" w:type="pct"/>
            <w:vMerge w:val="restart"/>
            <w:shd w:val="clear" w:color="auto" w:fill="auto"/>
            <w:vAlign w:val="center"/>
          </w:tcPr>
          <w:p w14:paraId="523FECF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水环境</w:t>
            </w:r>
          </w:p>
        </w:tc>
        <w:tc>
          <w:tcPr>
            <w:tcW w:w="357" w:type="pct"/>
            <w:shd w:val="clear" w:color="auto" w:fill="auto"/>
            <w:vAlign w:val="center"/>
          </w:tcPr>
          <w:p w14:paraId="333BCFA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水温</w:t>
            </w:r>
          </w:p>
        </w:tc>
        <w:tc>
          <w:tcPr>
            <w:tcW w:w="356" w:type="pct"/>
            <w:shd w:val="clear" w:color="auto" w:fill="auto"/>
            <w:vAlign w:val="center"/>
          </w:tcPr>
          <w:p w14:paraId="2B2F144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5C83FD4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03D1834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1B6F719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30B69C0F">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2FB1FFB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vAlign w:val="center"/>
          </w:tcPr>
          <w:p w14:paraId="741D44F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4B2A12BD">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2B6A328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noWrap/>
            <w:vAlign w:val="center"/>
          </w:tcPr>
          <w:p w14:paraId="12C15E2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593ABBCF">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r>
      <w:tr w14:paraId="1502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continue"/>
            <w:shd w:val="clear" w:color="auto" w:fill="auto"/>
            <w:vAlign w:val="center"/>
          </w:tcPr>
          <w:p w14:paraId="16314DC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vMerge w:val="continue"/>
            <w:shd w:val="clear" w:color="auto" w:fill="auto"/>
            <w:vAlign w:val="center"/>
          </w:tcPr>
          <w:p w14:paraId="7B9E9C0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vAlign w:val="center"/>
          </w:tcPr>
          <w:p w14:paraId="227BC8D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水质</w:t>
            </w:r>
          </w:p>
        </w:tc>
        <w:tc>
          <w:tcPr>
            <w:tcW w:w="356" w:type="pct"/>
            <w:shd w:val="clear" w:color="auto" w:fill="auto"/>
            <w:vAlign w:val="center"/>
          </w:tcPr>
          <w:p w14:paraId="08345E2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5D9E714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28F609E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05F099B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16F12D6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1760363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vAlign w:val="center"/>
          </w:tcPr>
          <w:p w14:paraId="7D9ECA1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38AD22A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41C4E4E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7" w:type="pct"/>
            <w:shd w:val="clear" w:color="auto" w:fill="auto"/>
            <w:vAlign w:val="center"/>
          </w:tcPr>
          <w:p w14:paraId="3715DA4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6D301FD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25E3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continue"/>
            <w:shd w:val="clear" w:color="auto" w:fill="auto"/>
            <w:vAlign w:val="center"/>
          </w:tcPr>
          <w:p w14:paraId="6C3A860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vMerge w:val="restart"/>
            <w:shd w:val="clear" w:color="auto" w:fill="auto"/>
            <w:vAlign w:val="center"/>
          </w:tcPr>
          <w:p w14:paraId="0468B82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w:t>
            </w:r>
          </w:p>
        </w:tc>
        <w:tc>
          <w:tcPr>
            <w:tcW w:w="357" w:type="pct"/>
            <w:shd w:val="clear" w:color="auto" w:fill="auto"/>
            <w:vAlign w:val="center"/>
          </w:tcPr>
          <w:p w14:paraId="0BD7D13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河流形态</w:t>
            </w:r>
          </w:p>
        </w:tc>
        <w:tc>
          <w:tcPr>
            <w:tcW w:w="356" w:type="pct"/>
            <w:shd w:val="clear" w:color="auto" w:fill="auto"/>
            <w:vAlign w:val="center"/>
          </w:tcPr>
          <w:p w14:paraId="0A5566A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65807AA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009AE9D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093F9BF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44218ED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2F63BB7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vAlign w:val="center"/>
          </w:tcPr>
          <w:p w14:paraId="1F84EEA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2680B24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1B56601F">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noWrap/>
            <w:vAlign w:val="center"/>
          </w:tcPr>
          <w:p w14:paraId="6F037BF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3412BB3F">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r>
      <w:tr w14:paraId="079F7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continue"/>
            <w:shd w:val="clear" w:color="auto" w:fill="auto"/>
            <w:vAlign w:val="center"/>
          </w:tcPr>
          <w:p w14:paraId="59D98B7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vMerge w:val="continue"/>
            <w:shd w:val="clear" w:color="auto" w:fill="auto"/>
            <w:vAlign w:val="center"/>
          </w:tcPr>
          <w:p w14:paraId="47DDED3F">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vAlign w:val="center"/>
          </w:tcPr>
          <w:p w14:paraId="54F8484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陆生生态</w:t>
            </w:r>
          </w:p>
        </w:tc>
        <w:tc>
          <w:tcPr>
            <w:tcW w:w="356" w:type="pct"/>
            <w:shd w:val="clear" w:color="auto" w:fill="auto"/>
            <w:vAlign w:val="center"/>
          </w:tcPr>
          <w:p w14:paraId="64C4236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4346CEB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5019A60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2A350D5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09A5ADC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6EAAEA8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vAlign w:val="center"/>
          </w:tcPr>
          <w:p w14:paraId="4CCADBA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4BC158D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055E4CF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7" w:type="pct"/>
            <w:shd w:val="clear" w:color="auto" w:fill="auto"/>
            <w:vAlign w:val="center"/>
          </w:tcPr>
          <w:p w14:paraId="49D9F68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5AB8621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7B28B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continue"/>
            <w:shd w:val="clear" w:color="auto" w:fill="auto"/>
            <w:vAlign w:val="center"/>
          </w:tcPr>
          <w:p w14:paraId="1E8D8D6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vMerge w:val="continue"/>
            <w:shd w:val="clear" w:color="auto" w:fill="auto"/>
            <w:vAlign w:val="center"/>
          </w:tcPr>
          <w:p w14:paraId="4DCA630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vAlign w:val="center"/>
          </w:tcPr>
          <w:p w14:paraId="45121F2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水生生态</w:t>
            </w:r>
          </w:p>
        </w:tc>
        <w:tc>
          <w:tcPr>
            <w:tcW w:w="356" w:type="pct"/>
            <w:shd w:val="clear" w:color="auto" w:fill="auto"/>
            <w:vAlign w:val="center"/>
          </w:tcPr>
          <w:p w14:paraId="1C61304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243D037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422CB90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5344DF7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1C443A5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2ACFB8BF">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noWrap/>
            <w:vAlign w:val="center"/>
          </w:tcPr>
          <w:p w14:paraId="29AB7DF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2D807A3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484A0BC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7" w:type="pct"/>
            <w:shd w:val="clear" w:color="auto" w:fill="auto"/>
            <w:vAlign w:val="center"/>
          </w:tcPr>
          <w:p w14:paraId="2BD14AD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4770146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5B1B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continue"/>
            <w:shd w:val="clear" w:color="auto" w:fill="auto"/>
            <w:vAlign w:val="center"/>
          </w:tcPr>
          <w:p w14:paraId="447C100F">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vMerge w:val="continue"/>
            <w:shd w:val="clear" w:color="auto" w:fill="auto"/>
            <w:vAlign w:val="center"/>
          </w:tcPr>
          <w:p w14:paraId="0DF1343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vAlign w:val="center"/>
          </w:tcPr>
          <w:p w14:paraId="5221805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水土流失</w:t>
            </w:r>
          </w:p>
        </w:tc>
        <w:tc>
          <w:tcPr>
            <w:tcW w:w="356" w:type="pct"/>
            <w:shd w:val="clear" w:color="auto" w:fill="auto"/>
            <w:vAlign w:val="center"/>
          </w:tcPr>
          <w:p w14:paraId="70228AE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07331CB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073687A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3B99D39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314B87D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7D46F76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9" w:type="pct"/>
            <w:shd w:val="clear" w:color="auto" w:fill="auto"/>
            <w:vAlign w:val="center"/>
          </w:tcPr>
          <w:p w14:paraId="4CCCEF2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0557E9F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66558FE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noWrap/>
            <w:vAlign w:val="center"/>
          </w:tcPr>
          <w:p w14:paraId="0FDE82B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7C70614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r>
      <w:tr w14:paraId="7D49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18" w:hRule="atLeast"/>
        </w:trPr>
        <w:tc>
          <w:tcPr>
            <w:tcW w:w="356" w:type="pct"/>
            <w:vMerge w:val="continue"/>
            <w:shd w:val="clear" w:color="auto" w:fill="auto"/>
            <w:vAlign w:val="center"/>
          </w:tcPr>
          <w:p w14:paraId="3C540CF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5BB1AFD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社会</w:t>
            </w:r>
          </w:p>
        </w:tc>
        <w:tc>
          <w:tcPr>
            <w:tcW w:w="357" w:type="pct"/>
            <w:shd w:val="clear" w:color="auto" w:fill="auto"/>
            <w:vAlign w:val="center"/>
          </w:tcPr>
          <w:p w14:paraId="64944D0D">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社会经济</w:t>
            </w:r>
          </w:p>
        </w:tc>
        <w:tc>
          <w:tcPr>
            <w:tcW w:w="356" w:type="pct"/>
            <w:shd w:val="clear" w:color="auto" w:fill="auto"/>
            <w:vAlign w:val="center"/>
          </w:tcPr>
          <w:p w14:paraId="4C03A08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0CFB7E7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3395E7C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352C059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714E0C8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2AA5E86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vAlign w:val="center"/>
          </w:tcPr>
          <w:p w14:paraId="628CD6B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290952D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3F95821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7" w:type="pct"/>
            <w:shd w:val="clear" w:color="auto" w:fill="auto"/>
            <w:vAlign w:val="center"/>
          </w:tcPr>
          <w:p w14:paraId="7891B30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5074A3C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2805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continue"/>
            <w:shd w:val="clear" w:color="auto" w:fill="auto"/>
            <w:vAlign w:val="center"/>
          </w:tcPr>
          <w:p w14:paraId="52DBDBD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07B97BA2">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w:t>
            </w:r>
          </w:p>
        </w:tc>
        <w:tc>
          <w:tcPr>
            <w:tcW w:w="357" w:type="pct"/>
            <w:shd w:val="clear" w:color="auto" w:fill="auto"/>
            <w:vAlign w:val="center"/>
          </w:tcPr>
          <w:p w14:paraId="0967E0D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移民安置</w:t>
            </w:r>
          </w:p>
        </w:tc>
        <w:tc>
          <w:tcPr>
            <w:tcW w:w="356" w:type="pct"/>
            <w:shd w:val="clear" w:color="auto" w:fill="auto"/>
            <w:vAlign w:val="center"/>
          </w:tcPr>
          <w:p w14:paraId="3902231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370F837B">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7F84849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60B25BC3">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599F2FD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26ADA04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9" w:type="pct"/>
            <w:shd w:val="clear" w:color="auto" w:fill="auto"/>
            <w:vAlign w:val="center"/>
          </w:tcPr>
          <w:p w14:paraId="49C1E6A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2ABCE656">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19FAE8D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noWrap/>
            <w:vAlign w:val="center"/>
          </w:tcPr>
          <w:p w14:paraId="317ADF80">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1BC9DAD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r>
      <w:tr w14:paraId="684A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continue"/>
            <w:shd w:val="clear" w:color="auto" w:fill="auto"/>
            <w:vAlign w:val="center"/>
          </w:tcPr>
          <w:p w14:paraId="2996683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74993FC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vAlign w:val="center"/>
          </w:tcPr>
          <w:p w14:paraId="6549F4C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人群健康</w:t>
            </w:r>
          </w:p>
        </w:tc>
        <w:tc>
          <w:tcPr>
            <w:tcW w:w="356" w:type="pct"/>
            <w:shd w:val="clear" w:color="auto" w:fill="auto"/>
            <w:vAlign w:val="center"/>
          </w:tcPr>
          <w:p w14:paraId="52EDE08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18CB743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76DE83BF">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4FF812F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746DCCD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2E52809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9" w:type="pct"/>
            <w:shd w:val="clear" w:color="auto" w:fill="auto"/>
            <w:vAlign w:val="center"/>
          </w:tcPr>
          <w:p w14:paraId="1DBE853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20A967A4">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35C9215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7" w:type="pct"/>
            <w:shd w:val="clear" w:color="auto" w:fill="auto"/>
            <w:noWrap/>
            <w:vAlign w:val="center"/>
          </w:tcPr>
          <w:p w14:paraId="75EB690D">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6D9A565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r>
      <w:tr w14:paraId="6EBF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303" w:hRule="atLeast"/>
        </w:trPr>
        <w:tc>
          <w:tcPr>
            <w:tcW w:w="356" w:type="pct"/>
            <w:vMerge w:val="continue"/>
            <w:shd w:val="clear" w:color="auto" w:fill="auto"/>
            <w:vAlign w:val="center"/>
          </w:tcPr>
          <w:p w14:paraId="37D16009">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714" w:type="pct"/>
            <w:gridSpan w:val="2"/>
            <w:shd w:val="clear" w:color="auto" w:fill="auto"/>
            <w:vAlign w:val="center"/>
          </w:tcPr>
          <w:p w14:paraId="04A5B28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环境敏感区</w:t>
            </w:r>
          </w:p>
        </w:tc>
        <w:tc>
          <w:tcPr>
            <w:tcW w:w="356" w:type="pct"/>
            <w:shd w:val="clear" w:color="auto" w:fill="auto"/>
            <w:vAlign w:val="center"/>
          </w:tcPr>
          <w:p w14:paraId="400642AE">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0DA7B62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noWrap/>
            <w:vAlign w:val="center"/>
          </w:tcPr>
          <w:p w14:paraId="61C21697">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p>
        </w:tc>
        <w:tc>
          <w:tcPr>
            <w:tcW w:w="356" w:type="pct"/>
            <w:shd w:val="clear" w:color="auto" w:fill="auto"/>
            <w:vAlign w:val="center"/>
          </w:tcPr>
          <w:p w14:paraId="5F73332D">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7048302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67DE235A">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9" w:type="pct"/>
            <w:shd w:val="clear" w:color="auto" w:fill="auto"/>
            <w:vAlign w:val="center"/>
          </w:tcPr>
          <w:p w14:paraId="7F15BF41">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vAlign w:val="center"/>
          </w:tcPr>
          <w:p w14:paraId="1BDFD6DC">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29553785">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7" w:type="pct"/>
            <w:shd w:val="clear" w:color="auto" w:fill="auto"/>
            <w:vAlign w:val="center"/>
          </w:tcPr>
          <w:p w14:paraId="6FFD4268">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6" w:type="pct"/>
            <w:shd w:val="clear" w:color="auto" w:fill="auto"/>
            <w:noWrap/>
            <w:vAlign w:val="center"/>
          </w:tcPr>
          <w:p w14:paraId="5A5B1E6D">
            <w:pPr>
              <w:pStyle w:val="30"/>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bl>
    <w:p w14:paraId="027E703F">
      <w:pPr>
        <w:ind w:left="207" w:leftChars="1" w:hanging="205" w:hangingChars="114"/>
        <w:jc w:val="left"/>
        <w:rPr>
          <w:rFonts w:hint="default" w:ascii="Times New Roman" w:hAnsi="Times New Roman" w:cs="Times New Roman" w:eastAsiaTheme="minorEastAsia"/>
          <w:color w:val="auto"/>
          <w:sz w:val="18"/>
          <w:szCs w:val="18"/>
          <w:highlight w:val="none"/>
        </w:rPr>
      </w:pPr>
      <w:r>
        <w:rPr>
          <w:rFonts w:hint="default" w:ascii="Times New Roman" w:hAnsi="Times New Roman" w:cs="Times New Roman" w:eastAsiaTheme="minorEastAsia"/>
          <w:color w:val="auto"/>
          <w:sz w:val="18"/>
          <w:szCs w:val="18"/>
          <w:highlight w:val="none"/>
        </w:rPr>
        <w:t>注：“</w:t>
      </w:r>
      <w:r>
        <w:rPr>
          <w:rFonts w:hint="default" w:ascii="Times New Roman" w:hAnsi="Times New Roman" w:cs="Times New Roman" w:eastAsiaTheme="minorEastAsia"/>
          <w:color w:val="auto"/>
          <w:kern w:val="0"/>
          <w:sz w:val="18"/>
          <w:szCs w:val="18"/>
          <w:highlight w:val="none"/>
        </w:rPr>
        <w:t xml:space="preserve"> ○</w:t>
      </w:r>
      <w:r>
        <w:rPr>
          <w:rFonts w:hint="default" w:ascii="Times New Roman" w:hAnsi="Times New Roman" w:cs="Times New Roman" w:eastAsiaTheme="minorEastAsia"/>
          <w:color w:val="auto"/>
          <w:sz w:val="18"/>
          <w:szCs w:val="18"/>
          <w:highlight w:val="none"/>
        </w:rPr>
        <w:t>”表示短期影响；“</w:t>
      </w:r>
      <w:r>
        <w:rPr>
          <w:rFonts w:hint="default" w:ascii="Times New Roman" w:hAnsi="Times New Roman" w:cs="Times New Roman" w:eastAsiaTheme="minorEastAsia"/>
          <w:color w:val="auto"/>
          <w:kern w:val="0"/>
          <w:sz w:val="18"/>
          <w:szCs w:val="18"/>
          <w:highlight w:val="none"/>
        </w:rPr>
        <w:t xml:space="preserve"> ●</w:t>
      </w:r>
      <w:r>
        <w:rPr>
          <w:rFonts w:hint="default" w:ascii="Times New Roman" w:hAnsi="Times New Roman" w:cs="Times New Roman" w:eastAsiaTheme="minorEastAsia"/>
          <w:color w:val="auto"/>
          <w:sz w:val="18"/>
          <w:szCs w:val="18"/>
          <w:highlight w:val="none"/>
        </w:rPr>
        <w:t xml:space="preserve">”表示长期影响。 </w:t>
      </w:r>
    </w:p>
    <w:p w14:paraId="35F64D3E">
      <w:pPr>
        <w:pStyle w:val="4"/>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识别结果表明，水资源节约集约利用规划</w:t>
      </w:r>
      <w:r>
        <w:rPr>
          <w:rFonts w:hint="default" w:ascii="Times New Roman" w:hAnsi="Times New Roman" w:eastAsia="宋体" w:cs="Times New Roman"/>
          <w:color w:val="auto"/>
          <w:highlight w:val="none"/>
          <w:lang w:val="en-US" w:eastAsia="zh-CN"/>
        </w:rPr>
        <w:t>中的水资源配置、城乡供水规划、灌溉规划、跨流域引调水规划、水力发电规划、水资源保护规划、河湖生态保护规划、</w:t>
      </w:r>
      <w:r>
        <w:rPr>
          <w:rFonts w:hint="default" w:ascii="Times New Roman" w:hAnsi="Times New Roman" w:cs="Times New Roman"/>
          <w:color w:val="auto"/>
          <w:highlight w:val="none"/>
          <w:lang w:val="en-US" w:eastAsia="zh-CN"/>
        </w:rPr>
        <w:t>流域综合管理</w:t>
      </w:r>
      <w:r>
        <w:rPr>
          <w:rFonts w:hint="default" w:ascii="Times New Roman" w:hAnsi="Times New Roman" w:eastAsia="宋体" w:cs="Times New Roman"/>
          <w:color w:val="auto"/>
          <w:highlight w:val="none"/>
        </w:rPr>
        <w:t>等影响要素时间较长；规划实施后其综合累积影响往往表现长期性。</w:t>
      </w:r>
    </w:p>
    <w:p w14:paraId="7C0927B8">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环境影响识别结果</w:t>
      </w:r>
    </w:p>
    <w:p w14:paraId="1F7031E2">
      <w:pPr>
        <w:spacing w:line="460" w:lineRule="exact"/>
        <w:ind w:firstLine="480"/>
        <w:jc w:val="left"/>
        <w:rPr>
          <w:rFonts w:hint="default" w:ascii="Times New Roman" w:hAnsi="Times New Roman" w:cs="Times New Roman" w:eastAsiaTheme="minorEastAsia"/>
          <w:color w:val="auto"/>
          <w:highlight w:val="none"/>
        </w:rPr>
      </w:pPr>
      <w:bookmarkStart w:id="100" w:name="OLE_LINK77"/>
      <w:r>
        <w:rPr>
          <w:rFonts w:hint="default" w:ascii="Times New Roman" w:hAnsi="Times New Roman" w:cs="Times New Roman" w:eastAsiaTheme="minorEastAsia"/>
          <w:color w:val="auto"/>
          <w:highlight w:val="none"/>
        </w:rPr>
        <w:t>根据环境影响识别、环境影响性质与程度识别结果，将规划可能产生的环境影响的累积性、长期性、区域性叠加分析，本规划环境影响识别结果见表</w:t>
      </w:r>
      <w:r>
        <w:rPr>
          <w:rFonts w:hint="default" w:ascii="Times New Roman" w:hAnsi="Times New Roman" w:cs="Times New Roman" w:eastAsiaTheme="minorEastAsia"/>
          <w:color w:val="auto"/>
          <w:highlight w:val="none"/>
          <w:lang w:val="en-US" w:eastAsia="zh-CN"/>
        </w:rPr>
        <w:t>4.1.5-1</w:t>
      </w:r>
      <w:r>
        <w:rPr>
          <w:rFonts w:hint="default" w:ascii="Times New Roman" w:hAnsi="Times New Roman" w:cs="Times New Roman" w:eastAsiaTheme="minorEastAsia"/>
          <w:color w:val="auto"/>
          <w:highlight w:val="none"/>
        </w:rPr>
        <w:t>。</w:t>
      </w:r>
    </w:p>
    <w:p w14:paraId="281A96D4">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预测评价因子确定</w:t>
      </w:r>
    </w:p>
    <w:p w14:paraId="613D6FA3">
      <w:pPr>
        <w:spacing w:line="360" w:lineRule="auto"/>
        <w:ind w:firstLine="48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次规划环境影响评价以规划实施对各环境要素的直接影响程度，以及可能引发的重大环境问题为依据，确定评价工作等级与评价重点。经系统开展环境影响识别，将水文情势、水环境、陆生生态、水生生态、土地资源及社会经济确定为重点评价环境要素。土壤环境虽受规划实施影响，但影响程度相对有限，且可通过相应措施得到减缓，列为一般评价环境要素。施工期可能产生的社会环境影响（含移民安置）及人群健康影响，其影响具有局部性、暂时性和可恢复性，且存在较大不确定性，本阶段同样纳入一般评价环境要素。上述要素进一步具体的定量影响分析，将在后续建设项目环境影响评价阶段进一步深化落实。</w:t>
      </w:r>
    </w:p>
    <w:p w14:paraId="2B782963">
      <w:pPr>
        <w:spacing w:line="460" w:lineRule="exact"/>
        <w:ind w:firstLine="480"/>
        <w:jc w:val="left"/>
        <w:rPr>
          <w:rFonts w:hint="default" w:ascii="Times New Roman" w:hAnsi="Times New Roman" w:cs="Times New Roman" w:eastAsiaTheme="minorEastAsia"/>
          <w:color w:val="auto"/>
          <w:highlight w:val="none"/>
        </w:rPr>
        <w:sectPr>
          <w:pgSz w:w="11906" w:h="16838"/>
          <w:pgMar w:top="1440" w:right="1800" w:bottom="1440" w:left="1800" w:header="851" w:footer="992" w:gutter="0"/>
          <w:pgNumType w:fmt="decimal"/>
          <w:cols w:space="425" w:num="1"/>
          <w:docGrid w:type="lines" w:linePitch="312" w:charSpace="0"/>
        </w:sectPr>
      </w:pPr>
    </w:p>
    <w:p w14:paraId="3F97E263">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表4.1.5-1南盘江（曲靖市境内）</w:t>
      </w:r>
      <w:r>
        <w:rPr>
          <w:rFonts w:hint="default" w:ascii="Times New Roman" w:hAnsi="Times New Roman" w:cs="Times New Roman"/>
          <w:color w:val="auto"/>
          <w:highlight w:val="none"/>
        </w:rPr>
        <w:t>流域综合规划环境影响识别一览表</w:t>
      </w:r>
    </w:p>
    <w:bookmarkEnd w:id="100"/>
    <w:tbl>
      <w:tblPr>
        <w:tblStyle w:val="22"/>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28" w:type="dxa"/>
          <w:bottom w:w="0" w:type="dxa"/>
          <w:right w:w="28" w:type="dxa"/>
        </w:tblCellMar>
      </w:tblPr>
      <w:tblGrid>
        <w:gridCol w:w="960"/>
        <w:gridCol w:w="1337"/>
        <w:gridCol w:w="806"/>
        <w:gridCol w:w="702"/>
        <w:gridCol w:w="618"/>
        <w:gridCol w:w="776"/>
        <w:gridCol w:w="793"/>
        <w:gridCol w:w="776"/>
        <w:gridCol w:w="779"/>
        <w:gridCol w:w="776"/>
        <w:gridCol w:w="776"/>
        <w:gridCol w:w="776"/>
        <w:gridCol w:w="791"/>
        <w:gridCol w:w="776"/>
        <w:gridCol w:w="779"/>
        <w:gridCol w:w="1004"/>
        <w:gridCol w:w="783"/>
      </w:tblGrid>
      <w:tr w14:paraId="6D513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819"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E316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环境因素规划类型及主要目标</w:t>
            </w:r>
          </w:p>
        </w:tc>
        <w:tc>
          <w:tcPr>
            <w:tcW w:w="131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2F8E5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水文水环境</w:t>
            </w:r>
          </w:p>
        </w:tc>
        <w:tc>
          <w:tcPr>
            <w:tcW w:w="5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5FCE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地下水环境</w:t>
            </w:r>
          </w:p>
        </w:tc>
        <w:tc>
          <w:tcPr>
            <w:tcW w:w="111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1D500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生态环境</w:t>
            </w:r>
          </w:p>
        </w:tc>
        <w:tc>
          <w:tcPr>
            <w:tcW w:w="55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03C5A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土壤环境</w:t>
            </w:r>
          </w:p>
        </w:tc>
        <w:tc>
          <w:tcPr>
            <w:tcW w:w="63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6F9B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社会环境</w:t>
            </w:r>
          </w:p>
        </w:tc>
      </w:tr>
      <w:tr w14:paraId="2B3FD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819"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AC5C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9431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水文</w:t>
            </w:r>
            <w:r>
              <w:rPr>
                <w:rFonts w:hint="default" w:ascii="Times New Roman" w:hAnsi="Times New Roman" w:cs="Times New Roman"/>
                <w:color w:val="auto"/>
                <w:highlight w:val="none"/>
                <w:lang w:val="en-US" w:eastAsia="zh-CN"/>
              </w:rPr>
              <w:br w:type="textWrapping"/>
            </w:r>
            <w:r>
              <w:rPr>
                <w:rFonts w:hint="default" w:ascii="Times New Roman" w:hAnsi="Times New Roman" w:cs="Times New Roman"/>
                <w:color w:val="auto"/>
                <w:highlight w:val="none"/>
                <w:lang w:val="en-US" w:eastAsia="zh-CN"/>
              </w:rPr>
              <w:t>情势</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FFCD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水资源利用</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C672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水质</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3AB0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水温</w:t>
            </w: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5B60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环境容量</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7704F">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水质</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5A3A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水位</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D2DFF">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陆生生物</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04BA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水生生物</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09BC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水土流失</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FED8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环境敏感区</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42DD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质量</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FEEF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结构</w:t>
            </w: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3A29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社会经济</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D15E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文物及矿产</w:t>
            </w:r>
          </w:p>
        </w:tc>
      </w:tr>
      <w:tr w14:paraId="68AB4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85F3E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水资源节约集约利用规划</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8C18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水资源配置</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C3FD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C64B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851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7F86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C8A9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9491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9F6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979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145C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CA3D4">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CD2C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5846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F06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7D28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5E3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r>
      <w:tr w14:paraId="67694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4191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28CB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节约用水规划</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CA9A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9C60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CAB6F">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CD27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FE46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80B44">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48844">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9D1A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546B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E6C3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8FED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9059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2AEC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73A6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ABB9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r>
      <w:tr w14:paraId="175188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E0D1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F9A4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城乡供水规划</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1103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AF0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7625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D53A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112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3C76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1F96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25FA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F30D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85DD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B0DB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DD97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4324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E6B3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9FE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r>
      <w:tr w14:paraId="5F75E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3103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DCD2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灌溉规划</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9CF6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6FD9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7C21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601B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CC6E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3DC03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F627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32734">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FB24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401F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007B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0770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2B08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77D4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063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52C5F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E0A1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C39F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跨流域引调水规划</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AE7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C5C04">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34CE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E09B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D68F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936C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BF4D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400A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2FB5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B6C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DA30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08F4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B304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10B24">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E9B6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50C52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44BD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CA97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水力发电规划</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E945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A0B5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F82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0589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15B9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3D6C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45F2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FB694">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A4F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506A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FB6D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515C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E4A2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3280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374B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487D0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8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C1A6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水资源保护规划</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B7A9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1B1A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8DD0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4286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0ED8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300B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12A1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01C7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2F88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2A8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12AD4">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0FB3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4CB1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4BC3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4AF6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r>
      <w:tr w14:paraId="0DC12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A331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河湖生态保护规划</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E7EA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河湖生态保护规划</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03E6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E328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BC31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6436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D524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3470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0442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657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EC7F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2E52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4206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8FD2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950A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9A7F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025DF">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r>
      <w:tr w14:paraId="513EE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E5CA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ED68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水土保持规划</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4433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9533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934F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3FDF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F8C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DCBE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4251F">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A470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0FF4F">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2B35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1B72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C91F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96BA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1CBA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5614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r>
      <w:tr w14:paraId="0D1C7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8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50309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流域综合管理</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1D74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B630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129A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B548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5E0C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4D17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531C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BBAA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2B40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A1A0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0F13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0AB14">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C60E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C4B5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EA9B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r>
      <w:tr w14:paraId="503C3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340" w:hRule="atLeast"/>
        </w:trPr>
        <w:tc>
          <w:tcPr>
            <w:tcW w:w="3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1B76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影响性质与程度</w:t>
            </w: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686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累积性</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C7F0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B705F">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5AAF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8795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A688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B524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3599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5D4F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8BE4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430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FB0C2">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9E2C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0F21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169D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B8C5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2A363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977D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4038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长期性</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50AF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8C63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376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F20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3DCF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90682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7A82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1F79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49A1B">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6688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351C7">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2925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8527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23740F">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74B3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r w14:paraId="3B450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340" w:hRule="atLeast"/>
        </w:trPr>
        <w:tc>
          <w:tcPr>
            <w:tcW w:w="3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15179">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0E62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区域性</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88DDE">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5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C900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1B9A0">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F866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F5AF8">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CDC4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85D7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3F033">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6CDD1">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4EC5F">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76E2C">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2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F7245">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97D2D">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p>
        </w:tc>
        <w:tc>
          <w:tcPr>
            <w:tcW w:w="3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97616">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c>
          <w:tcPr>
            <w:tcW w:w="2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1829A">
            <w:pPr>
              <w:pStyle w:val="30"/>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w:t>
            </w:r>
          </w:p>
        </w:tc>
      </w:tr>
    </w:tbl>
    <w:p w14:paraId="41E789D0">
      <w:pPr>
        <w:pStyle w:val="4"/>
        <w:rPr>
          <w:rFonts w:hint="default" w:ascii="Times New Roman" w:hAnsi="Times New Roman" w:cs="Times New Roman"/>
          <w:color w:val="auto"/>
          <w:highlight w:val="none"/>
        </w:rPr>
        <w:sectPr>
          <w:pgSz w:w="16838" w:h="11906" w:orient="landscape"/>
          <w:pgMar w:top="1800" w:right="1440" w:bottom="1800" w:left="1440" w:header="851" w:footer="992" w:gutter="0"/>
          <w:pgNumType w:fmt="decimal"/>
          <w:cols w:space="425" w:num="1"/>
          <w:docGrid w:type="lines" w:linePitch="312" w:charSpace="0"/>
        </w:sectPr>
      </w:pPr>
    </w:p>
    <w:p w14:paraId="32630C30">
      <w:pPr>
        <w:pStyle w:val="3"/>
        <w:numPr>
          <w:ilvl w:val="1"/>
          <w:numId w:val="4"/>
        </w:numPr>
        <w:spacing w:before="374" w:after="249"/>
        <w:rPr>
          <w:rFonts w:hint="default" w:ascii="Times New Roman" w:hAnsi="Times New Roman" w:eastAsia="宋体" w:cs="Times New Roman"/>
          <w:color w:val="auto"/>
          <w:highlight w:val="none"/>
        </w:rPr>
      </w:pPr>
      <w:bookmarkStart w:id="101" w:name="_Toc7630"/>
      <w:r>
        <w:rPr>
          <w:rFonts w:hint="default" w:ascii="Times New Roman" w:hAnsi="Times New Roman" w:eastAsia="宋体" w:cs="Times New Roman"/>
          <w:color w:val="auto"/>
          <w:highlight w:val="none"/>
        </w:rPr>
        <w:t>生态环境保护定位</w:t>
      </w:r>
      <w:bookmarkEnd w:id="101"/>
    </w:p>
    <w:p w14:paraId="67E686EB">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规划区生态资源丰富，环境质量好。规划区水资源量为77.2亿m³，水资源开发利用率约11.1%。根据规划区生态环境现状，结合“三条红线”管控目标要求，确定规划区的生态环境保护定位。</w:t>
      </w:r>
    </w:p>
    <w:p w14:paraId="1CF7C249">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（1）强化水源涵养，保障区域供水安全</w:t>
      </w:r>
    </w:p>
    <w:p w14:paraId="26A8E7F7">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南盘江为珠江干流，承担区域水资源供给、农业灌溉及生态补水等关键功能。应划定并严格管控饮用水水源保护区，加强水源涵养林建设与面源污染控制，维护流域自然水文循环过程，确保饮用水水源地水质稳定达标、区域供水安全可控。</w:t>
      </w:r>
    </w:p>
    <w:p w14:paraId="0C878426">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（2）深化水污染防治，持续改善水环境质量</w:t>
      </w:r>
    </w:p>
    <w:p w14:paraId="2E8D958A">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以水功能区划为统领，系统推进流域污染综合治理。完善污水收集管网，提高污水收集率与处理率；强化农业面源污染防治，补齐农村生活污水处理设施短板；严格工业污染源达标排放，加快推进流域产业结构调整与布局优化升级。确保规划区地表水考核断面水质稳定达标，持续削减 COD、氨氮、总磷等主要水污染物排放总量。</w:t>
      </w:r>
    </w:p>
    <w:p w14:paraId="1A12260D">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（3）严格用水强度约束，提升水资源利用效率</w:t>
      </w:r>
    </w:p>
    <w:p w14:paraId="69A51EE1">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健全用水总量与用水强度双控指标体系，强化用水效率控制红线管理，严格落实用水定额与计划用水管理。统筹生产、生活、生态用水配置，推进节水型社会建设，实现水资源的科学开发与高效利用。</w:t>
      </w:r>
    </w:p>
    <w:p w14:paraId="4CF087E6">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（4）推进水生态保护修复，恢复河湖生态功能</w:t>
      </w:r>
    </w:p>
    <w:p w14:paraId="7DD34105">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南盘江（曲靖市境内）流域坚持保护与治理并举，保障重点河湖生态流量，实施河湖生态系统保护与修复工程，逐步恢复水生生物种群资源与河流自然形态，全面提升规划区水生态质量与生态系统稳定性。</w:t>
      </w:r>
    </w:p>
    <w:p w14:paraId="59791686">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（5）落实空间管控要求，筑牢区域生态安全屏障</w:t>
      </w:r>
    </w:p>
    <w:p w14:paraId="6806CE82">
      <w:pPr>
        <w:pStyle w:val="4"/>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以国土空间规划为基础，严格落实生态保护红线、永久基本农田保护红线和城镇开发边界，从严管控建设活动对自然生态空间的占用，建立健全生态环境分区管控体系。流域地处云南高原东部，地貌以山地、丘陵为主，是区域水土保持、石漠化防治与水源涵养的关键地带。需系统推进水土流失综合治理与植被恢复，增强生态系统固土保水功能，维护流域生态安全。</w:t>
      </w:r>
    </w:p>
    <w:p w14:paraId="4CB75973">
      <w:pPr>
        <w:pStyle w:val="3"/>
        <w:numPr>
          <w:ilvl w:val="1"/>
          <w:numId w:val="4"/>
        </w:numPr>
        <w:spacing w:before="374" w:after="249"/>
        <w:rPr>
          <w:rFonts w:hint="default" w:ascii="Times New Roman" w:hAnsi="Times New Roman" w:eastAsia="宋体" w:cs="Times New Roman"/>
          <w:color w:val="auto"/>
          <w:highlight w:val="none"/>
        </w:rPr>
      </w:pPr>
      <w:bookmarkStart w:id="102" w:name="_Toc28467"/>
      <w:r>
        <w:rPr>
          <w:rFonts w:hint="default" w:ascii="Times New Roman" w:hAnsi="Times New Roman" w:eastAsia="宋体" w:cs="Times New Roman"/>
          <w:color w:val="auto"/>
          <w:highlight w:val="none"/>
        </w:rPr>
        <w:t>环境影响评价指标体系</w:t>
      </w:r>
      <w:bookmarkEnd w:id="102"/>
    </w:p>
    <w:p w14:paraId="67FAD44B">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评价指标</w:t>
      </w:r>
    </w:p>
    <w:p w14:paraId="1B486C45">
      <w:pPr>
        <w:spacing w:line="360" w:lineRule="auto"/>
        <w:ind w:firstLine="480"/>
        <w:rPr>
          <w:rFonts w:hint="default" w:ascii="Times New Roman" w:hAnsi="Times New Roman" w:cs="Times New Roman" w:eastAsiaTheme="minorEastAsia"/>
          <w:color w:val="auto"/>
          <w:highlight w:val="none"/>
          <w:lang w:val="en-US" w:eastAsia="zh-CN"/>
        </w:rPr>
      </w:pPr>
      <w:r>
        <w:rPr>
          <w:rFonts w:hint="default" w:ascii="Times New Roman" w:hAnsi="Times New Roman" w:eastAsia="宋体" w:cs="Times New Roman"/>
          <w:color w:val="auto"/>
          <w:highlight w:val="none"/>
          <w:lang w:val="en-US" w:eastAsia="zh-CN"/>
        </w:rPr>
        <w:t>为准确分析、预测和评价综合规划实施对流域生态环境产生的影响，《南盘江（曲靖市境内）流域综合规划》环境影响评价以流域环境功能区划为依据，以环境影响识别成果、规划涉及的环境敏感问题及主要制约因素为基础，按照相关环评技术导则要求，衔接生态保护红线、环境质量底线、资源利用上线"三线</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管控要求，建立南盘江流域生态保护、环境质量与资源利用三方面的环境影响评价指标体系。</w:t>
      </w:r>
      <w:r>
        <w:rPr>
          <w:rFonts w:hint="default" w:ascii="Times New Roman" w:hAnsi="Times New Roman" w:cs="Times New Roman" w:eastAsiaTheme="minorEastAsia"/>
          <w:color w:val="auto"/>
          <w:highlight w:val="none"/>
        </w:rPr>
        <w:t>详见表</w:t>
      </w:r>
      <w:r>
        <w:rPr>
          <w:rFonts w:hint="default" w:ascii="Times New Roman" w:hAnsi="Times New Roman" w:cs="Times New Roman" w:eastAsiaTheme="minorEastAsia"/>
          <w:color w:val="auto"/>
          <w:highlight w:val="none"/>
          <w:lang w:val="en-US" w:eastAsia="zh-CN"/>
        </w:rPr>
        <w:t>4.3-1。</w:t>
      </w:r>
    </w:p>
    <w:p w14:paraId="09DEF0EB">
      <w:pPr>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 xml:space="preserve">表4.3.1-1 </w:t>
      </w:r>
      <w:r>
        <w:rPr>
          <w:rFonts w:hint="default" w:ascii="Times New Roman" w:hAnsi="Times New Roman" w:cs="Times New Roman"/>
          <w:color w:val="auto"/>
          <w:highlight w:val="none"/>
        </w:rPr>
        <w:t>评价指标体系表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28" w:type="dxa"/>
          <w:bottom w:w="0" w:type="dxa"/>
          <w:right w:w="28" w:type="dxa"/>
        </w:tblCellMar>
      </w:tblPr>
      <w:tblGrid>
        <w:gridCol w:w="664"/>
        <w:gridCol w:w="662"/>
        <w:gridCol w:w="2288"/>
        <w:gridCol w:w="2425"/>
        <w:gridCol w:w="2323"/>
      </w:tblGrid>
      <w:tr w14:paraId="750BD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160" w:type="pct"/>
            <w:gridSpan w:val="3"/>
            <w:shd w:val="clear" w:color="auto" w:fill="auto"/>
            <w:vAlign w:val="center"/>
          </w:tcPr>
          <w:p w14:paraId="7678CEB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环境要素</w:t>
            </w:r>
          </w:p>
        </w:tc>
        <w:tc>
          <w:tcPr>
            <w:tcW w:w="1450" w:type="pct"/>
            <w:shd w:val="clear" w:color="auto" w:fill="auto"/>
            <w:vAlign w:val="center"/>
          </w:tcPr>
          <w:p w14:paraId="6E3723D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评价指标</w:t>
            </w:r>
          </w:p>
        </w:tc>
        <w:tc>
          <w:tcPr>
            <w:tcW w:w="1389" w:type="pct"/>
            <w:shd w:val="clear" w:color="auto" w:fill="auto"/>
            <w:vAlign w:val="center"/>
          </w:tcPr>
          <w:p w14:paraId="4E4C34B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环境目标</w:t>
            </w:r>
          </w:p>
        </w:tc>
      </w:tr>
      <w:tr w14:paraId="7375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restart"/>
            <w:shd w:val="clear" w:color="auto" w:fill="auto"/>
            <w:noWrap/>
            <w:vAlign w:val="center"/>
          </w:tcPr>
          <w:p w14:paraId="146A21E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水文水资源</w:t>
            </w:r>
          </w:p>
        </w:tc>
        <w:tc>
          <w:tcPr>
            <w:tcW w:w="1763" w:type="pct"/>
            <w:gridSpan w:val="2"/>
            <w:vMerge w:val="restart"/>
            <w:shd w:val="clear" w:color="auto" w:fill="auto"/>
            <w:noWrap/>
            <w:vAlign w:val="center"/>
          </w:tcPr>
          <w:p w14:paraId="4AF8699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w:t>
            </w:r>
          </w:p>
        </w:tc>
        <w:tc>
          <w:tcPr>
            <w:tcW w:w="1450" w:type="pct"/>
            <w:shd w:val="clear" w:color="auto" w:fill="auto"/>
            <w:vAlign w:val="center"/>
          </w:tcPr>
          <w:p w14:paraId="4DE2F72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流域用水总量控制</w:t>
            </w:r>
          </w:p>
        </w:tc>
        <w:tc>
          <w:tcPr>
            <w:tcW w:w="1389" w:type="pct"/>
            <w:shd w:val="clear" w:color="auto" w:fill="auto"/>
            <w:vAlign w:val="center"/>
          </w:tcPr>
          <w:p w14:paraId="563F369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流域用水总量≤17.25 亿 m³</w:t>
            </w:r>
          </w:p>
        </w:tc>
      </w:tr>
      <w:tr w14:paraId="6D7D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noWrap/>
            <w:vAlign w:val="center"/>
          </w:tcPr>
          <w:p w14:paraId="1CC57D09">
            <w:pPr>
              <w:pStyle w:val="30"/>
              <w:bidi w:val="0"/>
              <w:jc w:val="center"/>
              <w:rPr>
                <w:rFonts w:hint="default" w:ascii="Times New Roman" w:hAnsi="Times New Roman" w:cs="Times New Roman"/>
                <w:color w:val="auto"/>
                <w:highlight w:val="none"/>
                <w:lang w:val="en-US" w:eastAsia="zh-CN"/>
              </w:rPr>
            </w:pPr>
          </w:p>
        </w:tc>
        <w:tc>
          <w:tcPr>
            <w:tcW w:w="1763" w:type="pct"/>
            <w:gridSpan w:val="2"/>
            <w:vMerge w:val="continue"/>
            <w:shd w:val="clear" w:color="auto" w:fill="auto"/>
            <w:noWrap/>
            <w:vAlign w:val="center"/>
          </w:tcPr>
          <w:p w14:paraId="79602641">
            <w:pPr>
              <w:pStyle w:val="30"/>
              <w:bidi w:val="0"/>
              <w:jc w:val="center"/>
              <w:rPr>
                <w:rFonts w:hint="default" w:ascii="Times New Roman" w:hAnsi="Times New Roman" w:cs="Times New Roman"/>
                <w:color w:val="auto"/>
                <w:highlight w:val="none"/>
                <w:lang w:val="en-US" w:eastAsia="zh-CN"/>
              </w:rPr>
            </w:pPr>
          </w:p>
        </w:tc>
        <w:tc>
          <w:tcPr>
            <w:tcW w:w="1450" w:type="pct"/>
            <w:shd w:val="clear" w:color="auto" w:fill="auto"/>
            <w:vAlign w:val="center"/>
          </w:tcPr>
          <w:p w14:paraId="192D5F49">
            <w:pPr>
              <w:pStyle w:val="3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水资源开发利用程度，水资源开发利用率</w:t>
            </w:r>
          </w:p>
        </w:tc>
        <w:tc>
          <w:tcPr>
            <w:tcW w:w="1389" w:type="pct"/>
            <w:shd w:val="clear" w:color="auto" w:fill="auto"/>
            <w:vAlign w:val="center"/>
          </w:tcPr>
          <w:p w14:paraId="16E6EFF5">
            <w:pPr>
              <w:pStyle w:val="30"/>
              <w:bidi w:val="0"/>
              <w:jc w:val="cente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不突破区域水资源承载上限（≤40%）</w:t>
            </w:r>
          </w:p>
        </w:tc>
      </w:tr>
      <w:tr w14:paraId="466E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noWrap/>
            <w:vAlign w:val="center"/>
          </w:tcPr>
          <w:p w14:paraId="5C4DDA09">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noWrap/>
            <w:vAlign w:val="center"/>
          </w:tcPr>
          <w:p w14:paraId="514DA788">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733BF0A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用水效率与用水总量指标</w:t>
            </w:r>
          </w:p>
        </w:tc>
        <w:tc>
          <w:tcPr>
            <w:tcW w:w="1389" w:type="pct"/>
            <w:vMerge w:val="restart"/>
            <w:shd w:val="clear" w:color="auto" w:fill="auto"/>
            <w:vAlign w:val="center"/>
          </w:tcPr>
          <w:p w14:paraId="0AA3F10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保护流域水资源量，促进水资源可持续利用，水利工程保障生态流量正常下泄</w:t>
            </w:r>
          </w:p>
        </w:tc>
      </w:tr>
      <w:tr w14:paraId="54719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noWrap/>
            <w:vAlign w:val="center"/>
          </w:tcPr>
          <w:p w14:paraId="1484D6B2">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noWrap/>
            <w:vAlign w:val="center"/>
          </w:tcPr>
          <w:p w14:paraId="7956A467">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3347F53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各行业用、耗水量</w:t>
            </w:r>
          </w:p>
        </w:tc>
        <w:tc>
          <w:tcPr>
            <w:tcW w:w="1389" w:type="pct"/>
            <w:vMerge w:val="continue"/>
            <w:shd w:val="clear" w:color="auto" w:fill="auto"/>
            <w:vAlign w:val="center"/>
          </w:tcPr>
          <w:p w14:paraId="3291DA87">
            <w:pPr>
              <w:pStyle w:val="30"/>
              <w:bidi w:val="0"/>
              <w:jc w:val="center"/>
              <w:rPr>
                <w:rFonts w:hint="default" w:ascii="Times New Roman" w:hAnsi="Times New Roman" w:cs="Times New Roman"/>
                <w:color w:val="auto"/>
                <w:highlight w:val="none"/>
              </w:rPr>
            </w:pPr>
          </w:p>
        </w:tc>
      </w:tr>
      <w:tr w14:paraId="5EBF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noWrap/>
            <w:vAlign w:val="center"/>
          </w:tcPr>
          <w:p w14:paraId="0EF24BBC">
            <w:pPr>
              <w:pStyle w:val="30"/>
              <w:bidi w:val="0"/>
              <w:jc w:val="center"/>
              <w:rPr>
                <w:rFonts w:hint="default" w:ascii="Times New Roman" w:hAnsi="Times New Roman" w:cs="Times New Roman"/>
                <w:color w:val="auto"/>
                <w:highlight w:val="none"/>
              </w:rPr>
            </w:pPr>
          </w:p>
        </w:tc>
        <w:tc>
          <w:tcPr>
            <w:tcW w:w="1763" w:type="pct"/>
            <w:gridSpan w:val="2"/>
            <w:vMerge w:val="restart"/>
            <w:shd w:val="clear" w:color="auto" w:fill="auto"/>
            <w:vAlign w:val="center"/>
          </w:tcPr>
          <w:p w14:paraId="3319085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水文情势</w:t>
            </w:r>
          </w:p>
        </w:tc>
        <w:tc>
          <w:tcPr>
            <w:tcW w:w="1450" w:type="pct"/>
            <w:shd w:val="clear" w:color="auto" w:fill="auto"/>
            <w:vAlign w:val="center"/>
          </w:tcPr>
          <w:p w14:paraId="6D4EA7C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径流</w:t>
            </w:r>
          </w:p>
        </w:tc>
        <w:tc>
          <w:tcPr>
            <w:tcW w:w="1389" w:type="pct"/>
            <w:vMerge w:val="continue"/>
            <w:shd w:val="clear" w:color="auto" w:fill="auto"/>
            <w:vAlign w:val="center"/>
          </w:tcPr>
          <w:p w14:paraId="571AA9E4">
            <w:pPr>
              <w:pStyle w:val="30"/>
              <w:bidi w:val="0"/>
              <w:jc w:val="center"/>
              <w:rPr>
                <w:rFonts w:hint="default" w:ascii="Times New Roman" w:hAnsi="Times New Roman" w:cs="Times New Roman"/>
                <w:color w:val="auto"/>
                <w:highlight w:val="none"/>
              </w:rPr>
            </w:pPr>
          </w:p>
        </w:tc>
      </w:tr>
      <w:tr w14:paraId="371A6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noWrap/>
            <w:vAlign w:val="center"/>
          </w:tcPr>
          <w:p w14:paraId="6D10508A">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758A204E">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2BBF60F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典型断面流量变化过程</w:t>
            </w:r>
          </w:p>
        </w:tc>
        <w:tc>
          <w:tcPr>
            <w:tcW w:w="1389" w:type="pct"/>
            <w:vMerge w:val="continue"/>
            <w:shd w:val="clear" w:color="auto" w:fill="auto"/>
            <w:vAlign w:val="center"/>
          </w:tcPr>
          <w:p w14:paraId="54E2EDE8">
            <w:pPr>
              <w:pStyle w:val="30"/>
              <w:bidi w:val="0"/>
              <w:jc w:val="center"/>
              <w:rPr>
                <w:rFonts w:hint="default" w:ascii="Times New Roman" w:hAnsi="Times New Roman" w:cs="Times New Roman"/>
                <w:color w:val="auto"/>
                <w:highlight w:val="none"/>
              </w:rPr>
            </w:pPr>
          </w:p>
        </w:tc>
      </w:tr>
      <w:tr w14:paraId="1619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noWrap/>
            <w:vAlign w:val="center"/>
          </w:tcPr>
          <w:p w14:paraId="5768EF95">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5EB464BA">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516A2DC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控制断面生态流量保障目标达标情况</w:t>
            </w:r>
          </w:p>
        </w:tc>
        <w:tc>
          <w:tcPr>
            <w:tcW w:w="1389" w:type="pct"/>
            <w:shd w:val="clear" w:color="auto" w:fill="auto"/>
            <w:vAlign w:val="center"/>
          </w:tcPr>
          <w:p w14:paraId="667421B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100%</w:t>
            </w:r>
          </w:p>
        </w:tc>
      </w:tr>
      <w:tr w14:paraId="09F5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restart"/>
            <w:shd w:val="clear" w:color="auto" w:fill="auto"/>
            <w:vAlign w:val="center"/>
          </w:tcPr>
          <w:p w14:paraId="3F1DC30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水环境</w:t>
            </w:r>
          </w:p>
        </w:tc>
        <w:tc>
          <w:tcPr>
            <w:tcW w:w="1763" w:type="pct"/>
            <w:gridSpan w:val="2"/>
            <w:vMerge w:val="restart"/>
            <w:shd w:val="clear" w:color="auto" w:fill="auto"/>
            <w:vAlign w:val="center"/>
          </w:tcPr>
          <w:p w14:paraId="0E678B9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水温</w:t>
            </w:r>
          </w:p>
        </w:tc>
        <w:tc>
          <w:tcPr>
            <w:tcW w:w="1450" w:type="pct"/>
            <w:shd w:val="clear" w:color="auto" w:fill="auto"/>
            <w:vAlign w:val="center"/>
          </w:tcPr>
          <w:p w14:paraId="2025CBB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扩建水库水温结构</w:t>
            </w:r>
          </w:p>
        </w:tc>
        <w:tc>
          <w:tcPr>
            <w:tcW w:w="1389" w:type="pct"/>
            <w:vMerge w:val="restart"/>
            <w:shd w:val="clear" w:color="auto" w:fill="auto"/>
            <w:vAlign w:val="center"/>
          </w:tcPr>
          <w:p w14:paraId="1A90EC4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减缓低温水下泄的影响，满足鱼类及水生生物生存要求，满足灌溉用水要求</w:t>
            </w:r>
          </w:p>
        </w:tc>
      </w:tr>
      <w:tr w14:paraId="0B29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796FBEC8">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43237614">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11CD46E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水温沿程变化</w:t>
            </w:r>
          </w:p>
        </w:tc>
        <w:tc>
          <w:tcPr>
            <w:tcW w:w="1389" w:type="pct"/>
            <w:vMerge w:val="continue"/>
            <w:shd w:val="clear" w:color="auto" w:fill="auto"/>
            <w:vAlign w:val="center"/>
          </w:tcPr>
          <w:p w14:paraId="43FDED5F">
            <w:pPr>
              <w:pStyle w:val="30"/>
              <w:bidi w:val="0"/>
              <w:jc w:val="center"/>
              <w:rPr>
                <w:rFonts w:hint="default" w:ascii="Times New Roman" w:hAnsi="Times New Roman" w:cs="Times New Roman"/>
                <w:color w:val="auto"/>
                <w:highlight w:val="none"/>
              </w:rPr>
            </w:pPr>
          </w:p>
        </w:tc>
      </w:tr>
      <w:tr w14:paraId="4A02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217F2B3B">
            <w:pPr>
              <w:pStyle w:val="30"/>
              <w:bidi w:val="0"/>
              <w:jc w:val="center"/>
              <w:rPr>
                <w:rFonts w:hint="default" w:ascii="Times New Roman" w:hAnsi="Times New Roman" w:cs="Times New Roman"/>
                <w:color w:val="auto"/>
                <w:highlight w:val="none"/>
              </w:rPr>
            </w:pPr>
          </w:p>
        </w:tc>
        <w:tc>
          <w:tcPr>
            <w:tcW w:w="1763" w:type="pct"/>
            <w:gridSpan w:val="2"/>
            <w:vMerge w:val="restart"/>
            <w:shd w:val="clear" w:color="auto" w:fill="auto"/>
            <w:vAlign w:val="center"/>
          </w:tcPr>
          <w:p w14:paraId="3389AA5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水质</w:t>
            </w:r>
          </w:p>
        </w:tc>
        <w:tc>
          <w:tcPr>
            <w:tcW w:w="1450" w:type="pct"/>
            <w:shd w:val="clear" w:color="auto" w:fill="auto"/>
            <w:vAlign w:val="center"/>
          </w:tcPr>
          <w:p w14:paraId="639D54B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集中式饮用水水源地水质达标率</w:t>
            </w:r>
          </w:p>
        </w:tc>
        <w:tc>
          <w:tcPr>
            <w:tcW w:w="1389" w:type="pct"/>
            <w:vMerge w:val="restart"/>
            <w:shd w:val="clear" w:color="auto" w:fill="auto"/>
            <w:vAlign w:val="center"/>
          </w:tcPr>
          <w:p w14:paraId="68C2A7C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100%</w:t>
            </w:r>
          </w:p>
        </w:tc>
      </w:tr>
      <w:tr w14:paraId="546FD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79598B36">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4986F8C3">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3E9AEA6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控制断面水质达标率</w:t>
            </w:r>
          </w:p>
        </w:tc>
        <w:tc>
          <w:tcPr>
            <w:tcW w:w="1389" w:type="pct"/>
            <w:vMerge w:val="continue"/>
            <w:shd w:val="clear" w:color="auto" w:fill="auto"/>
            <w:vAlign w:val="center"/>
          </w:tcPr>
          <w:p w14:paraId="289E9890">
            <w:pPr>
              <w:pStyle w:val="30"/>
              <w:bidi w:val="0"/>
              <w:jc w:val="center"/>
              <w:rPr>
                <w:rFonts w:hint="default" w:ascii="Times New Roman" w:hAnsi="Times New Roman" w:cs="Times New Roman"/>
                <w:color w:val="auto"/>
                <w:highlight w:val="none"/>
              </w:rPr>
            </w:pPr>
          </w:p>
        </w:tc>
      </w:tr>
      <w:tr w14:paraId="2FA7A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313A80E8">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5DE4C48A">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403CCBB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水功能区达标率</w:t>
            </w:r>
          </w:p>
        </w:tc>
        <w:tc>
          <w:tcPr>
            <w:tcW w:w="1389" w:type="pct"/>
            <w:vMerge w:val="continue"/>
            <w:shd w:val="clear" w:color="auto" w:fill="auto"/>
            <w:vAlign w:val="center"/>
          </w:tcPr>
          <w:p w14:paraId="413E4741">
            <w:pPr>
              <w:pStyle w:val="30"/>
              <w:bidi w:val="0"/>
              <w:jc w:val="center"/>
              <w:rPr>
                <w:rFonts w:hint="default" w:ascii="Times New Roman" w:hAnsi="Times New Roman" w:cs="Times New Roman"/>
                <w:color w:val="auto"/>
                <w:highlight w:val="none"/>
              </w:rPr>
            </w:pPr>
          </w:p>
        </w:tc>
      </w:tr>
      <w:tr w14:paraId="330DA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restart"/>
            <w:shd w:val="clear" w:color="auto" w:fill="auto"/>
            <w:vAlign w:val="center"/>
          </w:tcPr>
          <w:p w14:paraId="059CF31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生态环境</w:t>
            </w:r>
          </w:p>
        </w:tc>
        <w:tc>
          <w:tcPr>
            <w:tcW w:w="1763" w:type="pct"/>
            <w:gridSpan w:val="2"/>
            <w:vMerge w:val="restart"/>
            <w:shd w:val="clear" w:color="auto" w:fill="auto"/>
            <w:vAlign w:val="center"/>
          </w:tcPr>
          <w:p w14:paraId="5E1C592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生态完整性</w:t>
            </w:r>
          </w:p>
        </w:tc>
        <w:tc>
          <w:tcPr>
            <w:tcW w:w="1450" w:type="pct"/>
            <w:shd w:val="clear" w:color="auto" w:fill="auto"/>
            <w:vAlign w:val="center"/>
          </w:tcPr>
          <w:p w14:paraId="3DE4B3B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生态系统稳定状况</w:t>
            </w:r>
          </w:p>
        </w:tc>
        <w:tc>
          <w:tcPr>
            <w:tcW w:w="1389" w:type="pct"/>
            <w:vMerge w:val="restart"/>
            <w:shd w:val="clear" w:color="auto" w:fill="auto"/>
            <w:vAlign w:val="center"/>
          </w:tcPr>
          <w:p w14:paraId="0F24213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保护区域生物多样性，保护区域生态系统稳定性，维护生物栖息地的地貌特征，河流连通性</w:t>
            </w:r>
          </w:p>
        </w:tc>
      </w:tr>
      <w:tr w14:paraId="4B275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1B5C1D2B">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3B6B4296">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2C05B3B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景观系统拼块优势度</w:t>
            </w:r>
          </w:p>
        </w:tc>
        <w:tc>
          <w:tcPr>
            <w:tcW w:w="1389" w:type="pct"/>
            <w:vMerge w:val="continue"/>
            <w:shd w:val="clear" w:color="auto" w:fill="auto"/>
            <w:vAlign w:val="center"/>
          </w:tcPr>
          <w:p w14:paraId="0FBC9C26">
            <w:pPr>
              <w:pStyle w:val="30"/>
              <w:bidi w:val="0"/>
              <w:jc w:val="center"/>
              <w:rPr>
                <w:rFonts w:hint="default" w:ascii="Times New Roman" w:hAnsi="Times New Roman" w:cs="Times New Roman"/>
                <w:color w:val="auto"/>
                <w:highlight w:val="none"/>
              </w:rPr>
            </w:pPr>
          </w:p>
        </w:tc>
      </w:tr>
      <w:tr w14:paraId="26F5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2B0CECB6">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6C3FB3F2">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6CBE578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河流连通性</w:t>
            </w:r>
          </w:p>
        </w:tc>
        <w:tc>
          <w:tcPr>
            <w:tcW w:w="1389" w:type="pct"/>
            <w:vMerge w:val="continue"/>
            <w:shd w:val="clear" w:color="auto" w:fill="auto"/>
            <w:vAlign w:val="center"/>
          </w:tcPr>
          <w:p w14:paraId="1157C2F1">
            <w:pPr>
              <w:pStyle w:val="30"/>
              <w:bidi w:val="0"/>
              <w:jc w:val="center"/>
              <w:rPr>
                <w:rFonts w:hint="default" w:ascii="Times New Roman" w:hAnsi="Times New Roman" w:cs="Times New Roman"/>
                <w:color w:val="auto"/>
                <w:highlight w:val="none"/>
              </w:rPr>
            </w:pPr>
          </w:p>
        </w:tc>
      </w:tr>
      <w:tr w14:paraId="52CE3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15D67AF3">
            <w:pPr>
              <w:pStyle w:val="30"/>
              <w:bidi w:val="0"/>
              <w:jc w:val="center"/>
              <w:rPr>
                <w:rFonts w:hint="default" w:ascii="Times New Roman" w:hAnsi="Times New Roman" w:cs="Times New Roman"/>
                <w:color w:val="auto"/>
                <w:highlight w:val="none"/>
              </w:rPr>
            </w:pPr>
          </w:p>
        </w:tc>
        <w:tc>
          <w:tcPr>
            <w:tcW w:w="1763" w:type="pct"/>
            <w:gridSpan w:val="2"/>
            <w:vMerge w:val="restart"/>
            <w:shd w:val="clear" w:color="auto" w:fill="auto"/>
            <w:vAlign w:val="center"/>
          </w:tcPr>
          <w:p w14:paraId="2AA026E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陆生生态</w:t>
            </w:r>
          </w:p>
        </w:tc>
        <w:tc>
          <w:tcPr>
            <w:tcW w:w="1450" w:type="pct"/>
            <w:shd w:val="clear" w:color="auto" w:fill="auto"/>
            <w:vAlign w:val="center"/>
          </w:tcPr>
          <w:p w14:paraId="2BA1842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陆生生态系统完整性、多样性</w:t>
            </w:r>
          </w:p>
        </w:tc>
        <w:tc>
          <w:tcPr>
            <w:tcW w:w="1389" w:type="pct"/>
            <w:vMerge w:val="restart"/>
            <w:shd w:val="clear" w:color="auto" w:fill="auto"/>
            <w:vAlign w:val="center"/>
          </w:tcPr>
          <w:p w14:paraId="3556ACF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维护流域生态系统的完整性、稳定性和多样性，珍稀、濒危、特有生物以及具有重要经济价值的动植物及其栖息地得到有效保护</w:t>
            </w:r>
          </w:p>
        </w:tc>
      </w:tr>
      <w:tr w14:paraId="663C5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66B700E1">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3F47620C">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7924AE8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植被面积变化、重点保护野生植物与古树名木受影响种类及程度</w:t>
            </w:r>
          </w:p>
        </w:tc>
        <w:tc>
          <w:tcPr>
            <w:tcW w:w="1389" w:type="pct"/>
            <w:vMerge w:val="continue"/>
            <w:shd w:val="clear" w:color="auto" w:fill="auto"/>
            <w:vAlign w:val="center"/>
          </w:tcPr>
          <w:p w14:paraId="6EE7A2DA">
            <w:pPr>
              <w:pStyle w:val="30"/>
              <w:bidi w:val="0"/>
              <w:jc w:val="center"/>
              <w:rPr>
                <w:rFonts w:hint="default" w:ascii="Times New Roman" w:hAnsi="Times New Roman" w:cs="Times New Roman"/>
                <w:color w:val="auto"/>
                <w:highlight w:val="none"/>
              </w:rPr>
            </w:pPr>
          </w:p>
        </w:tc>
      </w:tr>
      <w:tr w14:paraId="540F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11D5E1DB">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0391FB6A">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2122E5F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重点保护及珍稀濒危动物受影响种类及程度</w:t>
            </w:r>
          </w:p>
        </w:tc>
        <w:tc>
          <w:tcPr>
            <w:tcW w:w="1389" w:type="pct"/>
            <w:vMerge w:val="continue"/>
            <w:shd w:val="clear" w:color="auto" w:fill="auto"/>
            <w:vAlign w:val="center"/>
          </w:tcPr>
          <w:p w14:paraId="1E4BE7DB">
            <w:pPr>
              <w:pStyle w:val="30"/>
              <w:bidi w:val="0"/>
              <w:jc w:val="center"/>
              <w:rPr>
                <w:rFonts w:hint="default" w:ascii="Times New Roman" w:hAnsi="Times New Roman" w:cs="Times New Roman"/>
                <w:color w:val="auto"/>
                <w:highlight w:val="none"/>
              </w:rPr>
            </w:pPr>
          </w:p>
        </w:tc>
      </w:tr>
      <w:tr w14:paraId="5FD78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0A282410">
            <w:pPr>
              <w:pStyle w:val="30"/>
              <w:bidi w:val="0"/>
              <w:jc w:val="center"/>
              <w:rPr>
                <w:rFonts w:hint="default" w:ascii="Times New Roman" w:hAnsi="Times New Roman" w:cs="Times New Roman"/>
                <w:color w:val="auto"/>
                <w:highlight w:val="none"/>
              </w:rPr>
            </w:pPr>
          </w:p>
        </w:tc>
        <w:tc>
          <w:tcPr>
            <w:tcW w:w="1763" w:type="pct"/>
            <w:gridSpan w:val="2"/>
            <w:vMerge w:val="restart"/>
            <w:shd w:val="clear" w:color="auto" w:fill="auto"/>
            <w:vAlign w:val="center"/>
          </w:tcPr>
          <w:p w14:paraId="07CC06E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水生生态</w:t>
            </w:r>
          </w:p>
        </w:tc>
        <w:tc>
          <w:tcPr>
            <w:tcW w:w="1450" w:type="pct"/>
            <w:shd w:val="clear" w:color="auto" w:fill="auto"/>
            <w:vAlign w:val="center"/>
          </w:tcPr>
          <w:p w14:paraId="50C2756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水生生物栖息地</w:t>
            </w:r>
          </w:p>
        </w:tc>
        <w:tc>
          <w:tcPr>
            <w:tcW w:w="1389" w:type="pct"/>
            <w:vMerge w:val="restart"/>
            <w:shd w:val="clear" w:color="auto" w:fill="auto"/>
            <w:vAlign w:val="center"/>
          </w:tcPr>
          <w:p w14:paraId="0DEC79F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保护水生生物物种及多样性，保护珍稀水生动物及其生境，保护重要鱼类生物洄游通道、产卵场、越冬场与索饵场</w:t>
            </w:r>
          </w:p>
        </w:tc>
      </w:tr>
      <w:tr w14:paraId="481A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05FA5916">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653C4D61">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4A44224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生物多样性</w:t>
            </w:r>
          </w:p>
        </w:tc>
        <w:tc>
          <w:tcPr>
            <w:tcW w:w="1389" w:type="pct"/>
            <w:vMerge w:val="continue"/>
            <w:shd w:val="clear" w:color="auto" w:fill="auto"/>
            <w:vAlign w:val="center"/>
          </w:tcPr>
          <w:p w14:paraId="591809FD">
            <w:pPr>
              <w:pStyle w:val="30"/>
              <w:bidi w:val="0"/>
              <w:jc w:val="center"/>
              <w:rPr>
                <w:rFonts w:hint="default" w:ascii="Times New Roman" w:hAnsi="Times New Roman" w:cs="Times New Roman"/>
                <w:color w:val="auto"/>
                <w:highlight w:val="none"/>
              </w:rPr>
            </w:pPr>
          </w:p>
        </w:tc>
      </w:tr>
      <w:tr w14:paraId="46D9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0FBEADA9">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0403CF19">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2527B8B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鱼类物种数</w:t>
            </w:r>
          </w:p>
        </w:tc>
        <w:tc>
          <w:tcPr>
            <w:tcW w:w="1389" w:type="pct"/>
            <w:vMerge w:val="continue"/>
            <w:shd w:val="clear" w:color="auto" w:fill="auto"/>
            <w:vAlign w:val="center"/>
          </w:tcPr>
          <w:p w14:paraId="3459206B">
            <w:pPr>
              <w:pStyle w:val="30"/>
              <w:bidi w:val="0"/>
              <w:jc w:val="center"/>
              <w:rPr>
                <w:rFonts w:hint="default" w:ascii="Times New Roman" w:hAnsi="Times New Roman" w:cs="Times New Roman"/>
                <w:color w:val="auto"/>
                <w:highlight w:val="none"/>
              </w:rPr>
            </w:pPr>
          </w:p>
        </w:tc>
      </w:tr>
      <w:tr w14:paraId="271F1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7AB1DF25">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0369E6A5">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05F1A82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重点保护水生生物数量</w:t>
            </w:r>
          </w:p>
        </w:tc>
        <w:tc>
          <w:tcPr>
            <w:tcW w:w="1389" w:type="pct"/>
            <w:vMerge w:val="continue"/>
            <w:shd w:val="clear" w:color="auto" w:fill="auto"/>
            <w:vAlign w:val="center"/>
          </w:tcPr>
          <w:p w14:paraId="667DF190">
            <w:pPr>
              <w:pStyle w:val="30"/>
              <w:bidi w:val="0"/>
              <w:jc w:val="center"/>
              <w:rPr>
                <w:rFonts w:hint="default" w:ascii="Times New Roman" w:hAnsi="Times New Roman" w:cs="Times New Roman"/>
                <w:color w:val="auto"/>
                <w:highlight w:val="none"/>
              </w:rPr>
            </w:pPr>
          </w:p>
        </w:tc>
      </w:tr>
      <w:tr w14:paraId="3E157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244B06C8">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653C6F9D">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4C2B1CB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自然岸线率</w:t>
            </w:r>
          </w:p>
        </w:tc>
        <w:tc>
          <w:tcPr>
            <w:tcW w:w="1389" w:type="pct"/>
            <w:vMerge w:val="continue"/>
            <w:shd w:val="clear" w:color="auto" w:fill="auto"/>
            <w:vAlign w:val="center"/>
          </w:tcPr>
          <w:p w14:paraId="33530A8B">
            <w:pPr>
              <w:pStyle w:val="30"/>
              <w:bidi w:val="0"/>
              <w:jc w:val="center"/>
              <w:rPr>
                <w:rFonts w:hint="default" w:ascii="Times New Roman" w:hAnsi="Times New Roman" w:cs="Times New Roman"/>
                <w:color w:val="auto"/>
                <w:highlight w:val="none"/>
              </w:rPr>
            </w:pPr>
          </w:p>
        </w:tc>
      </w:tr>
      <w:tr w14:paraId="2BB52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054ED259">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06C86CDC">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2518812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河流纵向连通指数</w:t>
            </w:r>
          </w:p>
        </w:tc>
        <w:tc>
          <w:tcPr>
            <w:tcW w:w="1389" w:type="pct"/>
            <w:vMerge w:val="continue"/>
            <w:shd w:val="clear" w:color="auto" w:fill="auto"/>
            <w:vAlign w:val="center"/>
          </w:tcPr>
          <w:p w14:paraId="05AC7AA6">
            <w:pPr>
              <w:pStyle w:val="30"/>
              <w:bidi w:val="0"/>
              <w:jc w:val="center"/>
              <w:rPr>
                <w:rFonts w:hint="default" w:ascii="Times New Roman" w:hAnsi="Times New Roman" w:cs="Times New Roman"/>
                <w:color w:val="auto"/>
                <w:highlight w:val="none"/>
              </w:rPr>
            </w:pPr>
          </w:p>
        </w:tc>
      </w:tr>
      <w:tr w14:paraId="066A3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1448198C">
            <w:pPr>
              <w:pStyle w:val="30"/>
              <w:bidi w:val="0"/>
              <w:jc w:val="center"/>
              <w:rPr>
                <w:rFonts w:hint="default" w:ascii="Times New Roman" w:hAnsi="Times New Roman" w:cs="Times New Roman"/>
                <w:color w:val="auto"/>
                <w:highlight w:val="none"/>
              </w:rPr>
            </w:pPr>
          </w:p>
        </w:tc>
        <w:tc>
          <w:tcPr>
            <w:tcW w:w="1763" w:type="pct"/>
            <w:gridSpan w:val="2"/>
            <w:shd w:val="clear" w:color="auto" w:fill="auto"/>
            <w:vAlign w:val="center"/>
          </w:tcPr>
          <w:p w14:paraId="766D3DE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水土流失</w:t>
            </w:r>
          </w:p>
        </w:tc>
        <w:tc>
          <w:tcPr>
            <w:tcW w:w="1450" w:type="pct"/>
            <w:shd w:val="clear" w:color="auto" w:fill="auto"/>
            <w:vAlign w:val="center"/>
          </w:tcPr>
          <w:p w14:paraId="717F8E7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水土流失治理情况</w:t>
            </w:r>
          </w:p>
        </w:tc>
        <w:tc>
          <w:tcPr>
            <w:tcW w:w="1389" w:type="pct"/>
            <w:shd w:val="clear" w:color="auto" w:fill="auto"/>
            <w:vAlign w:val="center"/>
          </w:tcPr>
          <w:p w14:paraId="3288ED7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防治和治理区域水土流失</w:t>
            </w:r>
          </w:p>
        </w:tc>
      </w:tr>
      <w:tr w14:paraId="5B50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restart"/>
            <w:shd w:val="clear" w:color="auto" w:fill="auto"/>
            <w:vAlign w:val="center"/>
          </w:tcPr>
          <w:p w14:paraId="57BD12C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土地资源</w:t>
            </w:r>
          </w:p>
        </w:tc>
        <w:tc>
          <w:tcPr>
            <w:tcW w:w="1763" w:type="pct"/>
            <w:gridSpan w:val="2"/>
            <w:vMerge w:val="restart"/>
            <w:shd w:val="clear" w:color="auto" w:fill="auto"/>
            <w:vAlign w:val="center"/>
          </w:tcPr>
          <w:p w14:paraId="16A56DD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土地利用</w:t>
            </w:r>
          </w:p>
        </w:tc>
        <w:tc>
          <w:tcPr>
            <w:tcW w:w="1450" w:type="pct"/>
            <w:shd w:val="clear" w:color="auto" w:fill="auto"/>
            <w:vAlign w:val="center"/>
          </w:tcPr>
          <w:p w14:paraId="3D61E13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土地利用变化情况</w:t>
            </w:r>
          </w:p>
        </w:tc>
        <w:tc>
          <w:tcPr>
            <w:tcW w:w="1389" w:type="pct"/>
            <w:vMerge w:val="restart"/>
            <w:shd w:val="clear" w:color="auto" w:fill="auto"/>
            <w:vAlign w:val="center"/>
          </w:tcPr>
          <w:p w14:paraId="123ACD5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保持土地资源可持续利用，保护耕地、林地，保持农业生产可持续发展</w:t>
            </w:r>
          </w:p>
        </w:tc>
      </w:tr>
      <w:tr w14:paraId="41642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4CEFA070">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5C4D75B8">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144DD51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耕地、林地占用量、规划年灌溉面积、构成及变化</w:t>
            </w:r>
          </w:p>
        </w:tc>
        <w:tc>
          <w:tcPr>
            <w:tcW w:w="1389" w:type="pct"/>
            <w:vMerge w:val="continue"/>
            <w:shd w:val="clear" w:color="auto" w:fill="auto"/>
            <w:vAlign w:val="center"/>
          </w:tcPr>
          <w:p w14:paraId="5CCD2BCD">
            <w:pPr>
              <w:pStyle w:val="30"/>
              <w:bidi w:val="0"/>
              <w:jc w:val="center"/>
              <w:rPr>
                <w:rFonts w:hint="default" w:ascii="Times New Roman" w:hAnsi="Times New Roman" w:cs="Times New Roman"/>
                <w:color w:val="auto"/>
                <w:highlight w:val="none"/>
              </w:rPr>
            </w:pPr>
          </w:p>
        </w:tc>
      </w:tr>
      <w:tr w14:paraId="2E5C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7B7A98E6">
            <w:pPr>
              <w:pStyle w:val="30"/>
              <w:bidi w:val="0"/>
              <w:jc w:val="center"/>
              <w:rPr>
                <w:rFonts w:hint="default" w:ascii="Times New Roman" w:hAnsi="Times New Roman" w:cs="Times New Roman"/>
                <w:color w:val="auto"/>
                <w:highlight w:val="none"/>
              </w:rPr>
            </w:pPr>
          </w:p>
        </w:tc>
        <w:tc>
          <w:tcPr>
            <w:tcW w:w="1763" w:type="pct"/>
            <w:gridSpan w:val="2"/>
            <w:shd w:val="clear" w:color="auto" w:fill="auto"/>
            <w:vAlign w:val="center"/>
          </w:tcPr>
          <w:p w14:paraId="7F8436B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土壤</w:t>
            </w:r>
          </w:p>
        </w:tc>
        <w:tc>
          <w:tcPr>
            <w:tcW w:w="1450" w:type="pct"/>
            <w:shd w:val="clear" w:color="auto" w:fill="auto"/>
            <w:vAlign w:val="center"/>
          </w:tcPr>
          <w:p w14:paraId="121AA1D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影响土壤种类及分布</w:t>
            </w:r>
          </w:p>
        </w:tc>
        <w:tc>
          <w:tcPr>
            <w:tcW w:w="1389" w:type="pct"/>
            <w:shd w:val="clear" w:color="auto" w:fill="auto"/>
            <w:vAlign w:val="center"/>
          </w:tcPr>
          <w:p w14:paraId="5129183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保护区域土壤理化性质、盐渍化、潜育化</w:t>
            </w:r>
          </w:p>
        </w:tc>
      </w:tr>
      <w:tr w14:paraId="69584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restart"/>
            <w:shd w:val="clear" w:color="auto" w:fill="auto"/>
            <w:vAlign w:val="center"/>
          </w:tcPr>
          <w:p w14:paraId="51BB715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社会环境</w:t>
            </w:r>
          </w:p>
        </w:tc>
        <w:tc>
          <w:tcPr>
            <w:tcW w:w="1763" w:type="pct"/>
            <w:gridSpan w:val="2"/>
            <w:vMerge w:val="restart"/>
            <w:shd w:val="clear" w:color="auto" w:fill="auto"/>
            <w:vAlign w:val="center"/>
          </w:tcPr>
          <w:p w14:paraId="0424EE9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社会经济</w:t>
            </w:r>
          </w:p>
        </w:tc>
        <w:tc>
          <w:tcPr>
            <w:tcW w:w="1450" w:type="pct"/>
            <w:shd w:val="clear" w:color="auto" w:fill="auto"/>
            <w:vAlign w:val="center"/>
          </w:tcPr>
          <w:p w14:paraId="67E2CC8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区域经济发展、基础设施建设水平</w:t>
            </w:r>
          </w:p>
        </w:tc>
        <w:tc>
          <w:tcPr>
            <w:tcW w:w="1389" w:type="pct"/>
            <w:vMerge w:val="restart"/>
            <w:shd w:val="clear" w:color="auto" w:fill="auto"/>
            <w:vAlign w:val="center"/>
          </w:tcPr>
          <w:p w14:paraId="51F1144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保障社会经济可持续发展，保障区域资源、环境、生态可持续发展</w:t>
            </w:r>
          </w:p>
        </w:tc>
      </w:tr>
      <w:tr w14:paraId="4FD4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78BBF732">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5F06E266">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2868C8E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水资源保护与流域经济发展关系协调程度、生态保护与社会经济发展关系协调</w:t>
            </w:r>
          </w:p>
        </w:tc>
        <w:tc>
          <w:tcPr>
            <w:tcW w:w="1389" w:type="pct"/>
            <w:vMerge w:val="continue"/>
            <w:shd w:val="clear" w:color="auto" w:fill="auto"/>
            <w:vAlign w:val="center"/>
          </w:tcPr>
          <w:p w14:paraId="38E222FD">
            <w:pPr>
              <w:pStyle w:val="30"/>
              <w:bidi w:val="0"/>
              <w:jc w:val="center"/>
              <w:rPr>
                <w:rFonts w:hint="default" w:ascii="Times New Roman" w:hAnsi="Times New Roman" w:cs="Times New Roman"/>
                <w:color w:val="auto"/>
                <w:highlight w:val="none"/>
              </w:rPr>
            </w:pPr>
          </w:p>
        </w:tc>
      </w:tr>
      <w:tr w14:paraId="28663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7A40CF6B">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783C3435">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6418612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区域产业结构优化程度</w:t>
            </w:r>
          </w:p>
        </w:tc>
        <w:tc>
          <w:tcPr>
            <w:tcW w:w="1389" w:type="pct"/>
            <w:vMerge w:val="continue"/>
            <w:shd w:val="clear" w:color="auto" w:fill="auto"/>
            <w:vAlign w:val="center"/>
          </w:tcPr>
          <w:p w14:paraId="5426A5C5">
            <w:pPr>
              <w:pStyle w:val="30"/>
              <w:bidi w:val="0"/>
              <w:jc w:val="center"/>
              <w:rPr>
                <w:rFonts w:hint="default" w:ascii="Times New Roman" w:hAnsi="Times New Roman" w:cs="Times New Roman"/>
                <w:color w:val="auto"/>
                <w:highlight w:val="none"/>
              </w:rPr>
            </w:pPr>
          </w:p>
        </w:tc>
      </w:tr>
      <w:tr w14:paraId="7890A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5A609080">
            <w:pPr>
              <w:pStyle w:val="30"/>
              <w:bidi w:val="0"/>
              <w:jc w:val="center"/>
              <w:rPr>
                <w:rFonts w:hint="default" w:ascii="Times New Roman" w:hAnsi="Times New Roman" w:cs="Times New Roman"/>
                <w:color w:val="auto"/>
                <w:highlight w:val="none"/>
              </w:rPr>
            </w:pPr>
          </w:p>
        </w:tc>
        <w:tc>
          <w:tcPr>
            <w:tcW w:w="1763" w:type="pct"/>
            <w:gridSpan w:val="2"/>
            <w:vMerge w:val="continue"/>
            <w:shd w:val="clear" w:color="auto" w:fill="auto"/>
            <w:vAlign w:val="center"/>
          </w:tcPr>
          <w:p w14:paraId="62B6E904">
            <w:pPr>
              <w:pStyle w:val="30"/>
              <w:bidi w:val="0"/>
              <w:jc w:val="center"/>
              <w:rPr>
                <w:rFonts w:hint="default" w:ascii="Times New Roman" w:hAnsi="Times New Roman" w:cs="Times New Roman"/>
                <w:color w:val="auto"/>
                <w:highlight w:val="none"/>
              </w:rPr>
            </w:pPr>
          </w:p>
        </w:tc>
        <w:tc>
          <w:tcPr>
            <w:tcW w:w="1450" w:type="pct"/>
            <w:shd w:val="clear" w:color="auto" w:fill="auto"/>
            <w:vAlign w:val="center"/>
          </w:tcPr>
          <w:p w14:paraId="644366A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区域城乡经济协调程度</w:t>
            </w:r>
          </w:p>
        </w:tc>
        <w:tc>
          <w:tcPr>
            <w:tcW w:w="1389" w:type="pct"/>
            <w:vMerge w:val="continue"/>
            <w:shd w:val="clear" w:color="auto" w:fill="auto"/>
            <w:vAlign w:val="center"/>
          </w:tcPr>
          <w:p w14:paraId="72CA7331">
            <w:pPr>
              <w:pStyle w:val="30"/>
              <w:bidi w:val="0"/>
              <w:jc w:val="center"/>
              <w:rPr>
                <w:rFonts w:hint="default" w:ascii="Times New Roman" w:hAnsi="Times New Roman" w:cs="Times New Roman"/>
                <w:color w:val="auto"/>
                <w:highlight w:val="none"/>
              </w:rPr>
            </w:pPr>
          </w:p>
        </w:tc>
      </w:tr>
      <w:tr w14:paraId="717D8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4E775E18">
            <w:pPr>
              <w:pStyle w:val="30"/>
              <w:bidi w:val="0"/>
              <w:jc w:val="center"/>
              <w:rPr>
                <w:rFonts w:hint="default" w:ascii="Times New Roman" w:hAnsi="Times New Roman" w:cs="Times New Roman"/>
                <w:color w:val="auto"/>
                <w:highlight w:val="none"/>
              </w:rPr>
            </w:pPr>
          </w:p>
        </w:tc>
        <w:tc>
          <w:tcPr>
            <w:tcW w:w="1763" w:type="pct"/>
            <w:gridSpan w:val="2"/>
            <w:shd w:val="clear" w:color="auto" w:fill="auto"/>
            <w:vAlign w:val="center"/>
          </w:tcPr>
          <w:p w14:paraId="1713AA2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民俗文化</w:t>
            </w:r>
          </w:p>
        </w:tc>
        <w:tc>
          <w:tcPr>
            <w:tcW w:w="1450" w:type="pct"/>
            <w:shd w:val="clear" w:color="auto" w:fill="auto"/>
            <w:vAlign w:val="center"/>
          </w:tcPr>
          <w:p w14:paraId="7A102F0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涉及占用少数民族生活、民俗文化的区域</w:t>
            </w:r>
          </w:p>
        </w:tc>
        <w:tc>
          <w:tcPr>
            <w:tcW w:w="1389" w:type="pct"/>
            <w:shd w:val="clear" w:color="auto" w:fill="auto"/>
            <w:vAlign w:val="center"/>
          </w:tcPr>
          <w:p w14:paraId="3901059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保护区域少数民族地区特殊的民俗文化</w:t>
            </w:r>
          </w:p>
        </w:tc>
      </w:tr>
      <w:tr w14:paraId="77EE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312AC4D2">
            <w:pPr>
              <w:pStyle w:val="30"/>
              <w:bidi w:val="0"/>
              <w:jc w:val="center"/>
              <w:rPr>
                <w:rFonts w:hint="default" w:ascii="Times New Roman" w:hAnsi="Times New Roman" w:cs="Times New Roman"/>
                <w:color w:val="auto"/>
                <w:highlight w:val="none"/>
              </w:rPr>
            </w:pPr>
          </w:p>
        </w:tc>
        <w:tc>
          <w:tcPr>
            <w:tcW w:w="1763" w:type="pct"/>
            <w:gridSpan w:val="2"/>
            <w:shd w:val="clear" w:color="auto" w:fill="auto"/>
            <w:vAlign w:val="center"/>
          </w:tcPr>
          <w:p w14:paraId="11A6F0B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移民安置</w:t>
            </w:r>
          </w:p>
        </w:tc>
        <w:tc>
          <w:tcPr>
            <w:tcW w:w="1450" w:type="pct"/>
            <w:shd w:val="clear" w:color="auto" w:fill="auto"/>
            <w:vAlign w:val="center"/>
          </w:tcPr>
          <w:p w14:paraId="5086DC4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生产生活水平</w:t>
            </w:r>
          </w:p>
        </w:tc>
        <w:tc>
          <w:tcPr>
            <w:tcW w:w="1389" w:type="pct"/>
            <w:shd w:val="clear" w:color="auto" w:fill="auto"/>
            <w:vAlign w:val="center"/>
          </w:tcPr>
          <w:p w14:paraId="3886B6A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使移民生产生活不受规划项目实施影响</w:t>
            </w:r>
          </w:p>
        </w:tc>
      </w:tr>
      <w:tr w14:paraId="21AC0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537A4B45">
            <w:pPr>
              <w:pStyle w:val="30"/>
              <w:bidi w:val="0"/>
              <w:jc w:val="center"/>
              <w:rPr>
                <w:rFonts w:hint="default" w:ascii="Times New Roman" w:hAnsi="Times New Roman" w:cs="Times New Roman"/>
                <w:color w:val="auto"/>
                <w:highlight w:val="none"/>
              </w:rPr>
            </w:pPr>
          </w:p>
        </w:tc>
        <w:tc>
          <w:tcPr>
            <w:tcW w:w="1763" w:type="pct"/>
            <w:gridSpan w:val="2"/>
            <w:shd w:val="clear" w:color="auto" w:fill="auto"/>
            <w:vAlign w:val="center"/>
          </w:tcPr>
          <w:p w14:paraId="784C28C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人群健康</w:t>
            </w:r>
          </w:p>
        </w:tc>
        <w:tc>
          <w:tcPr>
            <w:tcW w:w="1450" w:type="pct"/>
            <w:shd w:val="clear" w:color="auto" w:fill="auto"/>
            <w:vAlign w:val="center"/>
          </w:tcPr>
          <w:p w14:paraId="5CE88E6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流行病、自然疫源性疾病、介水传染病、虫媒传染病</w:t>
            </w:r>
          </w:p>
        </w:tc>
        <w:tc>
          <w:tcPr>
            <w:tcW w:w="1389" w:type="pct"/>
            <w:shd w:val="clear" w:color="auto" w:fill="auto"/>
            <w:vAlign w:val="center"/>
          </w:tcPr>
          <w:p w14:paraId="549C6A6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保护流域范围内人群健康、避免开发带来的不利影响</w:t>
            </w:r>
          </w:p>
        </w:tc>
      </w:tr>
      <w:tr w14:paraId="3607C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restart"/>
            <w:shd w:val="clear" w:color="auto" w:fill="auto"/>
            <w:vAlign w:val="center"/>
          </w:tcPr>
          <w:p w14:paraId="74EB584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环境敏感区</w:t>
            </w:r>
          </w:p>
        </w:tc>
        <w:tc>
          <w:tcPr>
            <w:tcW w:w="395" w:type="pct"/>
            <w:shd w:val="clear" w:color="auto" w:fill="auto"/>
            <w:vAlign w:val="center"/>
          </w:tcPr>
          <w:p w14:paraId="23BC528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自然保护区</w:t>
            </w:r>
          </w:p>
        </w:tc>
        <w:tc>
          <w:tcPr>
            <w:tcW w:w="1368" w:type="pct"/>
            <w:shd w:val="clear" w:color="auto" w:fill="auto"/>
            <w:vAlign w:val="center"/>
          </w:tcPr>
          <w:p w14:paraId="21C3B95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云南珠江源省级自然保护区</w:t>
            </w:r>
          </w:p>
        </w:tc>
        <w:tc>
          <w:tcPr>
            <w:tcW w:w="1450" w:type="pct"/>
            <w:vMerge w:val="restart"/>
            <w:shd w:val="clear" w:color="auto" w:fill="auto"/>
            <w:vAlign w:val="center"/>
          </w:tcPr>
          <w:p w14:paraId="6EE9CF8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占用情况</w:t>
            </w:r>
          </w:p>
        </w:tc>
        <w:tc>
          <w:tcPr>
            <w:tcW w:w="1389" w:type="pct"/>
            <w:vMerge w:val="restart"/>
            <w:shd w:val="clear" w:color="auto" w:fill="auto"/>
            <w:vAlign w:val="center"/>
          </w:tcPr>
          <w:p w14:paraId="6DB79D0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符合规划相关的自然保护区、自然公园、饮用水源保护区、生态保护红线等生态敏感区的保护要求、总体规划，保护流域生态与环境，使流域开发与环境保护协调发展</w:t>
            </w:r>
          </w:p>
        </w:tc>
      </w:tr>
      <w:tr w14:paraId="003C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282515F4">
            <w:pPr>
              <w:pStyle w:val="30"/>
              <w:bidi w:val="0"/>
              <w:jc w:val="center"/>
              <w:rPr>
                <w:rFonts w:hint="default" w:ascii="Times New Roman" w:hAnsi="Times New Roman" w:cs="Times New Roman"/>
                <w:color w:val="auto"/>
                <w:highlight w:val="none"/>
              </w:rPr>
            </w:pPr>
          </w:p>
        </w:tc>
        <w:tc>
          <w:tcPr>
            <w:tcW w:w="395" w:type="pct"/>
            <w:shd w:val="clear" w:color="auto" w:fill="auto"/>
            <w:vAlign w:val="center"/>
          </w:tcPr>
          <w:p w14:paraId="4D4B946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风景名胜区</w:t>
            </w:r>
          </w:p>
        </w:tc>
        <w:tc>
          <w:tcPr>
            <w:tcW w:w="1368" w:type="pct"/>
            <w:shd w:val="clear" w:color="auto" w:fill="auto"/>
            <w:noWrap/>
            <w:vAlign w:val="center"/>
          </w:tcPr>
          <w:p w14:paraId="0FE8924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珠江源省级风景名胜区</w:t>
            </w:r>
          </w:p>
        </w:tc>
        <w:tc>
          <w:tcPr>
            <w:tcW w:w="1450" w:type="pct"/>
            <w:vMerge w:val="continue"/>
            <w:shd w:val="clear" w:color="auto" w:fill="auto"/>
            <w:vAlign w:val="center"/>
          </w:tcPr>
          <w:p w14:paraId="32DF297C">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55D2C52E">
            <w:pPr>
              <w:pStyle w:val="30"/>
              <w:bidi w:val="0"/>
              <w:jc w:val="center"/>
              <w:rPr>
                <w:rFonts w:hint="default" w:ascii="Times New Roman" w:hAnsi="Times New Roman" w:cs="Times New Roman"/>
                <w:color w:val="auto"/>
                <w:highlight w:val="none"/>
              </w:rPr>
            </w:pPr>
          </w:p>
        </w:tc>
      </w:tr>
      <w:tr w14:paraId="2E81F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22B3EDBB">
            <w:pPr>
              <w:pStyle w:val="30"/>
              <w:bidi w:val="0"/>
              <w:jc w:val="center"/>
              <w:rPr>
                <w:rFonts w:hint="default" w:ascii="Times New Roman" w:hAnsi="Times New Roman" w:cs="Times New Roman"/>
                <w:color w:val="auto"/>
                <w:highlight w:val="none"/>
              </w:rPr>
            </w:pPr>
          </w:p>
        </w:tc>
        <w:tc>
          <w:tcPr>
            <w:tcW w:w="395" w:type="pct"/>
            <w:vMerge w:val="restart"/>
            <w:shd w:val="clear" w:color="auto" w:fill="auto"/>
            <w:noWrap/>
            <w:vAlign w:val="center"/>
          </w:tcPr>
          <w:p w14:paraId="0A43F09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森林公园</w:t>
            </w:r>
          </w:p>
        </w:tc>
        <w:tc>
          <w:tcPr>
            <w:tcW w:w="1368" w:type="pct"/>
            <w:shd w:val="clear" w:color="auto" w:fill="auto"/>
            <w:noWrap/>
            <w:vAlign w:val="center"/>
          </w:tcPr>
          <w:p w14:paraId="683A486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云南珠江源国家森林公园</w:t>
            </w:r>
          </w:p>
        </w:tc>
        <w:tc>
          <w:tcPr>
            <w:tcW w:w="1450" w:type="pct"/>
            <w:vMerge w:val="continue"/>
            <w:shd w:val="clear" w:color="auto" w:fill="auto"/>
            <w:vAlign w:val="center"/>
          </w:tcPr>
          <w:p w14:paraId="55DF0C3D">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53C821E2">
            <w:pPr>
              <w:pStyle w:val="30"/>
              <w:bidi w:val="0"/>
              <w:jc w:val="center"/>
              <w:rPr>
                <w:rFonts w:hint="default" w:ascii="Times New Roman" w:hAnsi="Times New Roman" w:cs="Times New Roman"/>
                <w:color w:val="auto"/>
                <w:highlight w:val="none"/>
              </w:rPr>
            </w:pPr>
          </w:p>
        </w:tc>
      </w:tr>
      <w:tr w14:paraId="6917F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3108CA17">
            <w:pPr>
              <w:pStyle w:val="30"/>
              <w:bidi w:val="0"/>
              <w:jc w:val="center"/>
              <w:rPr>
                <w:rFonts w:hint="default" w:ascii="Times New Roman" w:hAnsi="Times New Roman" w:cs="Times New Roman"/>
                <w:color w:val="auto"/>
                <w:highlight w:val="none"/>
              </w:rPr>
            </w:pPr>
          </w:p>
        </w:tc>
        <w:tc>
          <w:tcPr>
            <w:tcW w:w="395" w:type="pct"/>
            <w:vMerge w:val="continue"/>
            <w:shd w:val="clear" w:color="auto" w:fill="auto"/>
            <w:noWrap/>
            <w:vAlign w:val="center"/>
          </w:tcPr>
          <w:p w14:paraId="301612F1">
            <w:pPr>
              <w:pStyle w:val="30"/>
              <w:bidi w:val="0"/>
              <w:jc w:val="center"/>
              <w:rPr>
                <w:rFonts w:hint="default" w:ascii="Times New Roman" w:hAnsi="Times New Roman" w:cs="Times New Roman"/>
                <w:color w:val="auto"/>
                <w:highlight w:val="none"/>
              </w:rPr>
            </w:pPr>
          </w:p>
        </w:tc>
        <w:tc>
          <w:tcPr>
            <w:tcW w:w="1368" w:type="pct"/>
            <w:shd w:val="clear" w:color="auto" w:fill="auto"/>
            <w:noWrap/>
            <w:vAlign w:val="center"/>
          </w:tcPr>
          <w:p w14:paraId="4FE3095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马龙马过河风景名胜区</w:t>
            </w:r>
          </w:p>
        </w:tc>
        <w:tc>
          <w:tcPr>
            <w:tcW w:w="1450" w:type="pct"/>
            <w:vMerge w:val="continue"/>
            <w:shd w:val="clear" w:color="auto" w:fill="auto"/>
            <w:vAlign w:val="center"/>
          </w:tcPr>
          <w:p w14:paraId="165BEF27">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58E1C1E7">
            <w:pPr>
              <w:pStyle w:val="30"/>
              <w:bidi w:val="0"/>
              <w:jc w:val="center"/>
              <w:rPr>
                <w:rFonts w:hint="default" w:ascii="Times New Roman" w:hAnsi="Times New Roman" w:cs="Times New Roman"/>
                <w:color w:val="auto"/>
                <w:highlight w:val="none"/>
              </w:rPr>
            </w:pPr>
          </w:p>
        </w:tc>
      </w:tr>
      <w:tr w14:paraId="0B207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1504B0F9">
            <w:pPr>
              <w:pStyle w:val="30"/>
              <w:bidi w:val="0"/>
              <w:jc w:val="center"/>
              <w:rPr>
                <w:rFonts w:hint="default" w:ascii="Times New Roman" w:hAnsi="Times New Roman" w:cs="Times New Roman"/>
                <w:color w:val="auto"/>
                <w:highlight w:val="none"/>
              </w:rPr>
            </w:pPr>
          </w:p>
        </w:tc>
        <w:tc>
          <w:tcPr>
            <w:tcW w:w="395" w:type="pct"/>
            <w:shd w:val="clear" w:color="auto" w:fill="auto"/>
            <w:noWrap/>
            <w:vAlign w:val="center"/>
          </w:tcPr>
          <w:p w14:paraId="1DE4635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湿地公园</w:t>
            </w:r>
          </w:p>
        </w:tc>
        <w:tc>
          <w:tcPr>
            <w:tcW w:w="1368" w:type="pct"/>
            <w:shd w:val="clear" w:color="auto" w:fill="auto"/>
            <w:noWrap/>
            <w:vAlign w:val="center"/>
          </w:tcPr>
          <w:p w14:paraId="22F1139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云南沾益西河国家湿地公园</w:t>
            </w:r>
          </w:p>
        </w:tc>
        <w:tc>
          <w:tcPr>
            <w:tcW w:w="1450" w:type="pct"/>
            <w:vMerge w:val="continue"/>
            <w:shd w:val="clear" w:color="auto" w:fill="auto"/>
            <w:vAlign w:val="center"/>
          </w:tcPr>
          <w:p w14:paraId="5086EB3F">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1C9F1B20">
            <w:pPr>
              <w:pStyle w:val="30"/>
              <w:bidi w:val="0"/>
              <w:jc w:val="center"/>
              <w:rPr>
                <w:rFonts w:hint="default" w:ascii="Times New Roman" w:hAnsi="Times New Roman" w:cs="Times New Roman"/>
                <w:color w:val="auto"/>
                <w:highlight w:val="none"/>
              </w:rPr>
            </w:pPr>
          </w:p>
        </w:tc>
      </w:tr>
      <w:tr w14:paraId="4308F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620A1D6E">
            <w:pPr>
              <w:pStyle w:val="30"/>
              <w:bidi w:val="0"/>
              <w:jc w:val="center"/>
              <w:rPr>
                <w:rFonts w:hint="default" w:ascii="Times New Roman" w:hAnsi="Times New Roman" w:cs="Times New Roman"/>
                <w:color w:val="auto"/>
                <w:highlight w:val="none"/>
              </w:rPr>
            </w:pPr>
          </w:p>
        </w:tc>
        <w:tc>
          <w:tcPr>
            <w:tcW w:w="395" w:type="pct"/>
            <w:shd w:val="clear" w:color="auto" w:fill="auto"/>
            <w:vAlign w:val="center"/>
          </w:tcPr>
          <w:p w14:paraId="17D1804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重要湿地</w:t>
            </w:r>
          </w:p>
        </w:tc>
        <w:tc>
          <w:tcPr>
            <w:tcW w:w="1368" w:type="pct"/>
            <w:shd w:val="clear" w:color="auto" w:fill="auto"/>
            <w:vAlign w:val="center"/>
          </w:tcPr>
          <w:p w14:paraId="2A7B2C3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富源小海子省级重要湿地</w:t>
            </w:r>
          </w:p>
        </w:tc>
        <w:tc>
          <w:tcPr>
            <w:tcW w:w="1450" w:type="pct"/>
            <w:vMerge w:val="continue"/>
            <w:shd w:val="clear" w:color="auto" w:fill="auto"/>
            <w:vAlign w:val="center"/>
          </w:tcPr>
          <w:p w14:paraId="50D1C8A3">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103A5D43">
            <w:pPr>
              <w:pStyle w:val="30"/>
              <w:bidi w:val="0"/>
              <w:jc w:val="center"/>
              <w:rPr>
                <w:rFonts w:hint="default" w:ascii="Times New Roman" w:hAnsi="Times New Roman" w:cs="Times New Roman"/>
                <w:color w:val="auto"/>
                <w:highlight w:val="none"/>
              </w:rPr>
            </w:pPr>
          </w:p>
        </w:tc>
      </w:tr>
      <w:tr w14:paraId="7EEF9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114FC4BD">
            <w:pPr>
              <w:pStyle w:val="30"/>
              <w:bidi w:val="0"/>
              <w:jc w:val="center"/>
              <w:rPr>
                <w:rFonts w:hint="default" w:ascii="Times New Roman" w:hAnsi="Times New Roman" w:cs="Times New Roman"/>
                <w:color w:val="auto"/>
                <w:highlight w:val="none"/>
              </w:rPr>
            </w:pPr>
          </w:p>
        </w:tc>
        <w:tc>
          <w:tcPr>
            <w:tcW w:w="395" w:type="pct"/>
            <w:vMerge w:val="restart"/>
            <w:shd w:val="clear" w:color="auto" w:fill="auto"/>
            <w:vAlign w:val="center"/>
          </w:tcPr>
          <w:p w14:paraId="1021F5F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水源保护区</w:t>
            </w:r>
          </w:p>
        </w:tc>
        <w:tc>
          <w:tcPr>
            <w:tcW w:w="1368" w:type="pct"/>
            <w:shd w:val="clear" w:color="auto" w:fill="auto"/>
            <w:vAlign w:val="center"/>
          </w:tcPr>
          <w:p w14:paraId="07F0186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小务龙水库水源保护区</w:t>
            </w:r>
          </w:p>
        </w:tc>
        <w:tc>
          <w:tcPr>
            <w:tcW w:w="1450" w:type="pct"/>
            <w:vMerge w:val="continue"/>
            <w:shd w:val="clear" w:color="auto" w:fill="auto"/>
            <w:vAlign w:val="center"/>
          </w:tcPr>
          <w:p w14:paraId="73AF386B">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22D4E8D8">
            <w:pPr>
              <w:pStyle w:val="30"/>
              <w:bidi w:val="0"/>
              <w:jc w:val="center"/>
              <w:rPr>
                <w:rFonts w:hint="default" w:ascii="Times New Roman" w:hAnsi="Times New Roman" w:cs="Times New Roman"/>
                <w:color w:val="auto"/>
                <w:highlight w:val="none"/>
              </w:rPr>
            </w:pPr>
          </w:p>
        </w:tc>
      </w:tr>
      <w:tr w14:paraId="169C3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67847453">
            <w:pPr>
              <w:pStyle w:val="30"/>
              <w:bidi w:val="0"/>
              <w:jc w:val="center"/>
              <w:rPr>
                <w:rFonts w:hint="default" w:ascii="Times New Roman" w:hAnsi="Times New Roman" w:cs="Times New Roman"/>
                <w:color w:val="auto"/>
                <w:highlight w:val="none"/>
              </w:rPr>
            </w:pPr>
          </w:p>
        </w:tc>
        <w:tc>
          <w:tcPr>
            <w:tcW w:w="395" w:type="pct"/>
            <w:vMerge w:val="continue"/>
            <w:shd w:val="clear" w:color="auto" w:fill="auto"/>
            <w:vAlign w:val="center"/>
          </w:tcPr>
          <w:p w14:paraId="7D0AB61F">
            <w:pPr>
              <w:pStyle w:val="30"/>
              <w:bidi w:val="0"/>
              <w:jc w:val="center"/>
              <w:rPr>
                <w:rFonts w:hint="default" w:ascii="Times New Roman" w:hAnsi="Times New Roman" w:cs="Times New Roman"/>
                <w:color w:val="auto"/>
                <w:highlight w:val="none"/>
              </w:rPr>
            </w:pPr>
          </w:p>
        </w:tc>
        <w:tc>
          <w:tcPr>
            <w:tcW w:w="1368" w:type="pct"/>
            <w:shd w:val="clear" w:color="auto" w:fill="auto"/>
            <w:vAlign w:val="center"/>
          </w:tcPr>
          <w:p w14:paraId="48075E6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龙王庙水库水源保护区</w:t>
            </w:r>
          </w:p>
        </w:tc>
        <w:tc>
          <w:tcPr>
            <w:tcW w:w="1450" w:type="pct"/>
            <w:vMerge w:val="continue"/>
            <w:shd w:val="clear" w:color="auto" w:fill="auto"/>
            <w:vAlign w:val="center"/>
          </w:tcPr>
          <w:p w14:paraId="39B444B3">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26560253">
            <w:pPr>
              <w:pStyle w:val="30"/>
              <w:bidi w:val="0"/>
              <w:jc w:val="center"/>
              <w:rPr>
                <w:rFonts w:hint="default" w:ascii="Times New Roman" w:hAnsi="Times New Roman" w:cs="Times New Roman"/>
                <w:color w:val="auto"/>
                <w:highlight w:val="none"/>
              </w:rPr>
            </w:pPr>
          </w:p>
        </w:tc>
      </w:tr>
      <w:tr w14:paraId="4B35A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63984A2A">
            <w:pPr>
              <w:pStyle w:val="30"/>
              <w:bidi w:val="0"/>
              <w:jc w:val="center"/>
              <w:rPr>
                <w:rFonts w:hint="default" w:ascii="Times New Roman" w:hAnsi="Times New Roman" w:cs="Times New Roman"/>
                <w:color w:val="auto"/>
                <w:highlight w:val="none"/>
              </w:rPr>
            </w:pPr>
          </w:p>
        </w:tc>
        <w:tc>
          <w:tcPr>
            <w:tcW w:w="395" w:type="pct"/>
            <w:vMerge w:val="continue"/>
            <w:shd w:val="clear" w:color="auto" w:fill="auto"/>
            <w:vAlign w:val="center"/>
          </w:tcPr>
          <w:p w14:paraId="4FE7F131">
            <w:pPr>
              <w:pStyle w:val="30"/>
              <w:bidi w:val="0"/>
              <w:jc w:val="center"/>
              <w:rPr>
                <w:rFonts w:hint="default" w:ascii="Times New Roman" w:hAnsi="Times New Roman" w:cs="Times New Roman"/>
                <w:color w:val="auto"/>
                <w:highlight w:val="none"/>
              </w:rPr>
            </w:pPr>
          </w:p>
        </w:tc>
        <w:tc>
          <w:tcPr>
            <w:tcW w:w="1368" w:type="pct"/>
            <w:shd w:val="clear" w:color="auto" w:fill="auto"/>
            <w:vAlign w:val="center"/>
          </w:tcPr>
          <w:p w14:paraId="3656D38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溜子田水库水源保护区</w:t>
            </w:r>
          </w:p>
        </w:tc>
        <w:tc>
          <w:tcPr>
            <w:tcW w:w="1450" w:type="pct"/>
            <w:vMerge w:val="continue"/>
            <w:shd w:val="clear" w:color="auto" w:fill="auto"/>
            <w:vAlign w:val="center"/>
          </w:tcPr>
          <w:p w14:paraId="2DDFDCD9">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09275295">
            <w:pPr>
              <w:pStyle w:val="30"/>
              <w:bidi w:val="0"/>
              <w:jc w:val="center"/>
              <w:rPr>
                <w:rFonts w:hint="default" w:ascii="Times New Roman" w:hAnsi="Times New Roman" w:cs="Times New Roman"/>
                <w:color w:val="auto"/>
                <w:highlight w:val="none"/>
              </w:rPr>
            </w:pPr>
          </w:p>
        </w:tc>
      </w:tr>
      <w:tr w14:paraId="4A7A3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794458D6">
            <w:pPr>
              <w:pStyle w:val="30"/>
              <w:bidi w:val="0"/>
              <w:jc w:val="center"/>
              <w:rPr>
                <w:rFonts w:hint="default" w:ascii="Times New Roman" w:hAnsi="Times New Roman" w:cs="Times New Roman"/>
                <w:color w:val="auto"/>
                <w:highlight w:val="none"/>
              </w:rPr>
            </w:pPr>
          </w:p>
        </w:tc>
        <w:tc>
          <w:tcPr>
            <w:tcW w:w="395" w:type="pct"/>
            <w:vMerge w:val="continue"/>
            <w:shd w:val="clear" w:color="auto" w:fill="auto"/>
            <w:vAlign w:val="center"/>
          </w:tcPr>
          <w:p w14:paraId="0B6F69FA">
            <w:pPr>
              <w:pStyle w:val="30"/>
              <w:bidi w:val="0"/>
              <w:jc w:val="center"/>
              <w:rPr>
                <w:rFonts w:hint="default" w:ascii="Times New Roman" w:hAnsi="Times New Roman" w:cs="Times New Roman"/>
                <w:color w:val="auto"/>
                <w:highlight w:val="none"/>
              </w:rPr>
            </w:pPr>
          </w:p>
        </w:tc>
        <w:tc>
          <w:tcPr>
            <w:tcW w:w="1368" w:type="pct"/>
            <w:shd w:val="clear" w:color="auto" w:fill="auto"/>
            <w:vAlign w:val="center"/>
          </w:tcPr>
          <w:p w14:paraId="3E2A19A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小撒卜龙水库水源保护区</w:t>
            </w:r>
          </w:p>
        </w:tc>
        <w:tc>
          <w:tcPr>
            <w:tcW w:w="1450" w:type="pct"/>
            <w:vMerge w:val="continue"/>
            <w:shd w:val="clear" w:color="auto" w:fill="auto"/>
            <w:vAlign w:val="center"/>
          </w:tcPr>
          <w:p w14:paraId="0140A519">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2DBCFDED">
            <w:pPr>
              <w:pStyle w:val="30"/>
              <w:bidi w:val="0"/>
              <w:jc w:val="center"/>
              <w:rPr>
                <w:rFonts w:hint="default" w:ascii="Times New Roman" w:hAnsi="Times New Roman" w:cs="Times New Roman"/>
                <w:color w:val="auto"/>
                <w:highlight w:val="none"/>
              </w:rPr>
            </w:pPr>
          </w:p>
        </w:tc>
      </w:tr>
      <w:tr w14:paraId="7CF0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7C21A881">
            <w:pPr>
              <w:pStyle w:val="30"/>
              <w:bidi w:val="0"/>
              <w:jc w:val="center"/>
              <w:rPr>
                <w:rFonts w:hint="default" w:ascii="Times New Roman" w:hAnsi="Times New Roman" w:cs="Times New Roman"/>
                <w:color w:val="auto"/>
                <w:highlight w:val="none"/>
              </w:rPr>
            </w:pPr>
          </w:p>
        </w:tc>
        <w:tc>
          <w:tcPr>
            <w:tcW w:w="395" w:type="pct"/>
            <w:vMerge w:val="continue"/>
            <w:shd w:val="clear" w:color="auto" w:fill="auto"/>
            <w:vAlign w:val="center"/>
          </w:tcPr>
          <w:p w14:paraId="2BA00196">
            <w:pPr>
              <w:pStyle w:val="30"/>
              <w:bidi w:val="0"/>
              <w:jc w:val="center"/>
              <w:rPr>
                <w:rFonts w:hint="default" w:ascii="Times New Roman" w:hAnsi="Times New Roman" w:cs="Times New Roman"/>
                <w:color w:val="auto"/>
                <w:highlight w:val="none"/>
              </w:rPr>
            </w:pPr>
          </w:p>
        </w:tc>
        <w:tc>
          <w:tcPr>
            <w:tcW w:w="1368" w:type="pct"/>
            <w:shd w:val="clear" w:color="auto" w:fill="auto"/>
            <w:vAlign w:val="center"/>
          </w:tcPr>
          <w:p w14:paraId="6E1A629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迤佐河水库饮用水水源保护区</w:t>
            </w:r>
          </w:p>
        </w:tc>
        <w:tc>
          <w:tcPr>
            <w:tcW w:w="1450" w:type="pct"/>
            <w:vMerge w:val="continue"/>
            <w:shd w:val="clear" w:color="auto" w:fill="auto"/>
            <w:vAlign w:val="center"/>
          </w:tcPr>
          <w:p w14:paraId="7EACF7E6">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03665FBF">
            <w:pPr>
              <w:pStyle w:val="30"/>
              <w:bidi w:val="0"/>
              <w:jc w:val="center"/>
              <w:rPr>
                <w:rFonts w:hint="default" w:ascii="Times New Roman" w:hAnsi="Times New Roman" w:cs="Times New Roman"/>
                <w:color w:val="auto"/>
                <w:highlight w:val="none"/>
              </w:rPr>
            </w:pPr>
          </w:p>
        </w:tc>
      </w:tr>
      <w:tr w14:paraId="5C90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03846ED8">
            <w:pPr>
              <w:pStyle w:val="30"/>
              <w:bidi w:val="0"/>
              <w:jc w:val="center"/>
              <w:rPr>
                <w:rFonts w:hint="default" w:ascii="Times New Roman" w:hAnsi="Times New Roman" w:cs="Times New Roman"/>
                <w:color w:val="auto"/>
                <w:highlight w:val="none"/>
              </w:rPr>
            </w:pPr>
          </w:p>
        </w:tc>
        <w:tc>
          <w:tcPr>
            <w:tcW w:w="395" w:type="pct"/>
            <w:vMerge w:val="continue"/>
            <w:shd w:val="clear" w:color="auto" w:fill="auto"/>
            <w:vAlign w:val="center"/>
          </w:tcPr>
          <w:p w14:paraId="6CDF4D89">
            <w:pPr>
              <w:pStyle w:val="30"/>
              <w:bidi w:val="0"/>
              <w:jc w:val="center"/>
              <w:rPr>
                <w:rFonts w:hint="default" w:ascii="Times New Roman" w:hAnsi="Times New Roman" w:cs="Times New Roman"/>
                <w:color w:val="auto"/>
                <w:highlight w:val="none"/>
              </w:rPr>
            </w:pPr>
          </w:p>
        </w:tc>
        <w:tc>
          <w:tcPr>
            <w:tcW w:w="1368" w:type="pct"/>
            <w:shd w:val="clear" w:color="auto" w:fill="auto"/>
            <w:vAlign w:val="center"/>
          </w:tcPr>
          <w:p w14:paraId="00AFB5D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黄泥河海子头饮用水水源保护区</w:t>
            </w:r>
          </w:p>
        </w:tc>
        <w:tc>
          <w:tcPr>
            <w:tcW w:w="1450" w:type="pct"/>
            <w:vMerge w:val="continue"/>
            <w:shd w:val="clear" w:color="auto" w:fill="auto"/>
            <w:vAlign w:val="center"/>
          </w:tcPr>
          <w:p w14:paraId="07FE4C8B">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6DBA77F8">
            <w:pPr>
              <w:pStyle w:val="30"/>
              <w:bidi w:val="0"/>
              <w:jc w:val="center"/>
              <w:rPr>
                <w:rFonts w:hint="default" w:ascii="Times New Roman" w:hAnsi="Times New Roman" w:cs="Times New Roman"/>
                <w:color w:val="auto"/>
                <w:highlight w:val="none"/>
              </w:rPr>
            </w:pPr>
          </w:p>
        </w:tc>
      </w:tr>
      <w:tr w14:paraId="64A3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2CF456F2">
            <w:pPr>
              <w:pStyle w:val="30"/>
              <w:bidi w:val="0"/>
              <w:jc w:val="center"/>
              <w:rPr>
                <w:rFonts w:hint="default" w:ascii="Times New Roman" w:hAnsi="Times New Roman" w:cs="Times New Roman"/>
                <w:color w:val="auto"/>
                <w:highlight w:val="none"/>
              </w:rPr>
            </w:pPr>
          </w:p>
        </w:tc>
        <w:tc>
          <w:tcPr>
            <w:tcW w:w="395" w:type="pct"/>
            <w:vMerge w:val="continue"/>
            <w:shd w:val="clear" w:color="auto" w:fill="auto"/>
            <w:vAlign w:val="center"/>
          </w:tcPr>
          <w:p w14:paraId="0D25FD4F">
            <w:pPr>
              <w:pStyle w:val="30"/>
              <w:bidi w:val="0"/>
              <w:jc w:val="center"/>
              <w:rPr>
                <w:rFonts w:hint="default" w:ascii="Times New Roman" w:hAnsi="Times New Roman" w:cs="Times New Roman"/>
                <w:color w:val="auto"/>
                <w:highlight w:val="none"/>
              </w:rPr>
            </w:pPr>
          </w:p>
        </w:tc>
        <w:tc>
          <w:tcPr>
            <w:tcW w:w="1368" w:type="pct"/>
            <w:shd w:val="clear" w:color="auto" w:fill="auto"/>
            <w:vAlign w:val="center"/>
          </w:tcPr>
          <w:p w14:paraId="709958C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竹园镇大跌水水库饮用水水源保护区</w:t>
            </w:r>
          </w:p>
        </w:tc>
        <w:tc>
          <w:tcPr>
            <w:tcW w:w="1450" w:type="pct"/>
            <w:vMerge w:val="continue"/>
            <w:shd w:val="clear" w:color="auto" w:fill="auto"/>
            <w:vAlign w:val="center"/>
          </w:tcPr>
          <w:p w14:paraId="612138E6">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739A00F3">
            <w:pPr>
              <w:pStyle w:val="30"/>
              <w:bidi w:val="0"/>
              <w:jc w:val="center"/>
              <w:rPr>
                <w:rFonts w:hint="default" w:ascii="Times New Roman" w:hAnsi="Times New Roman" w:cs="Times New Roman"/>
                <w:color w:val="auto"/>
                <w:highlight w:val="none"/>
              </w:rPr>
            </w:pPr>
          </w:p>
        </w:tc>
      </w:tr>
      <w:tr w14:paraId="4B875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97" w:type="pct"/>
            <w:vMerge w:val="continue"/>
            <w:shd w:val="clear" w:color="auto" w:fill="auto"/>
            <w:vAlign w:val="center"/>
          </w:tcPr>
          <w:p w14:paraId="65AC608D">
            <w:pPr>
              <w:pStyle w:val="30"/>
              <w:bidi w:val="0"/>
              <w:jc w:val="center"/>
              <w:rPr>
                <w:rFonts w:hint="default" w:ascii="Times New Roman" w:hAnsi="Times New Roman" w:cs="Times New Roman"/>
                <w:color w:val="auto"/>
                <w:highlight w:val="none"/>
              </w:rPr>
            </w:pPr>
          </w:p>
        </w:tc>
        <w:tc>
          <w:tcPr>
            <w:tcW w:w="395" w:type="pct"/>
            <w:shd w:val="clear" w:color="auto" w:fill="auto"/>
            <w:vAlign w:val="center"/>
          </w:tcPr>
          <w:p w14:paraId="0DC8E55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生态保护红线</w:t>
            </w:r>
          </w:p>
        </w:tc>
        <w:tc>
          <w:tcPr>
            <w:tcW w:w="1368" w:type="pct"/>
            <w:shd w:val="clear" w:color="auto" w:fill="auto"/>
            <w:vAlign w:val="center"/>
          </w:tcPr>
          <w:p w14:paraId="3A81D83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珠江上游及滇东南喀斯特地带水土保持生态保护红线</w:t>
            </w:r>
          </w:p>
        </w:tc>
        <w:tc>
          <w:tcPr>
            <w:tcW w:w="1450" w:type="pct"/>
            <w:vMerge w:val="continue"/>
            <w:shd w:val="clear" w:color="auto" w:fill="auto"/>
            <w:vAlign w:val="center"/>
          </w:tcPr>
          <w:p w14:paraId="490EE34B">
            <w:pPr>
              <w:pStyle w:val="30"/>
              <w:bidi w:val="0"/>
              <w:jc w:val="center"/>
              <w:rPr>
                <w:rFonts w:hint="default" w:ascii="Times New Roman" w:hAnsi="Times New Roman" w:cs="Times New Roman"/>
                <w:color w:val="auto"/>
                <w:highlight w:val="none"/>
              </w:rPr>
            </w:pPr>
          </w:p>
        </w:tc>
        <w:tc>
          <w:tcPr>
            <w:tcW w:w="1389" w:type="pct"/>
            <w:vMerge w:val="continue"/>
            <w:shd w:val="clear" w:color="auto" w:fill="auto"/>
            <w:vAlign w:val="center"/>
          </w:tcPr>
          <w:p w14:paraId="0782F10E">
            <w:pPr>
              <w:pStyle w:val="30"/>
              <w:bidi w:val="0"/>
              <w:jc w:val="center"/>
              <w:rPr>
                <w:rFonts w:hint="default" w:ascii="Times New Roman" w:hAnsi="Times New Roman" w:cs="Times New Roman"/>
                <w:color w:val="auto"/>
                <w:highlight w:val="none"/>
              </w:rPr>
            </w:pPr>
          </w:p>
        </w:tc>
      </w:tr>
    </w:tbl>
    <w:p w14:paraId="1A34E9A7">
      <w:pPr>
        <w:rPr>
          <w:rFonts w:hint="default" w:ascii="Times New Roman" w:hAnsi="Times New Roman" w:cs="Times New Roman"/>
          <w:color w:val="auto"/>
          <w:highlight w:val="none"/>
        </w:rPr>
      </w:pPr>
    </w:p>
    <w:p w14:paraId="528B22C5">
      <w:pPr>
        <w:pStyle w:val="5"/>
        <w:numPr>
          <w:ilvl w:val="2"/>
          <w:numId w:val="4"/>
        </w:numPr>
        <w:spacing w:before="374" w:after="249"/>
        <w:rPr>
          <w:rFonts w:hint="default" w:ascii="Times New Roman" w:hAnsi="Times New Roman" w:cs="Times New Roman" w:eastAsiaTheme="minorEastAsia"/>
          <w:color w:val="auto"/>
          <w:highlight w:val="none"/>
          <w:lang w:val="zh-CN"/>
        </w:rPr>
      </w:pPr>
      <w:r>
        <w:rPr>
          <w:rFonts w:hint="default" w:ascii="Times New Roman" w:hAnsi="Times New Roman" w:cs="Times New Roman" w:eastAsiaTheme="minorEastAsia"/>
          <w:color w:val="auto"/>
          <w:highlight w:val="none"/>
          <w:lang w:val="zh-CN"/>
        </w:rPr>
        <w:t>评价方法</w:t>
      </w:r>
    </w:p>
    <w:p w14:paraId="3EC1C120">
      <w:pPr>
        <w:pStyle w:val="37"/>
        <w:rPr>
          <w:rFonts w:hint="default" w:ascii="Times New Roman" w:hAnsi="Times New Roman" w:cs="Times New Roman" w:eastAsiaTheme="minorEastAsia"/>
          <w:color w:val="auto"/>
          <w:szCs w:val="24"/>
          <w:highlight w:val="none"/>
        </w:rPr>
      </w:pPr>
      <w:bookmarkStart w:id="103" w:name="OLE_LINK364"/>
      <w:bookmarkEnd w:id="103"/>
      <w:bookmarkStart w:id="104" w:name="OLE_LINK365"/>
      <w:r>
        <w:rPr>
          <w:rFonts w:hint="default" w:ascii="Times New Roman" w:hAnsi="Times New Roman" w:cs="Times New Roman" w:eastAsiaTheme="minorEastAsia"/>
          <w:color w:val="auto"/>
          <w:szCs w:val="24"/>
          <w:highlight w:val="none"/>
        </w:rPr>
        <w:t>根据《规划环境影响评价技术导则 总纲》及《规划环境影响评价技术导则 流域综合规划》的要求，结合本规划涉及的各专业规划、规划影响因子的特点</w:t>
      </w:r>
      <w:bookmarkEnd w:id="104"/>
      <w:r>
        <w:rPr>
          <w:rFonts w:hint="default" w:ascii="Times New Roman" w:hAnsi="Times New Roman" w:cs="Times New Roman" w:eastAsiaTheme="minorEastAsia"/>
          <w:color w:val="auto"/>
          <w:szCs w:val="24"/>
          <w:highlight w:val="none"/>
        </w:rPr>
        <w:t>，本规划环境影响评价中拟采用的主要评价方法见表</w:t>
      </w:r>
      <w:r>
        <w:rPr>
          <w:rFonts w:hint="default" w:ascii="Times New Roman" w:hAnsi="Times New Roman" w:cs="Times New Roman" w:eastAsiaTheme="minorEastAsia"/>
          <w:color w:val="auto"/>
          <w:szCs w:val="24"/>
          <w:highlight w:val="none"/>
          <w:lang w:val="en-US" w:eastAsia="zh-CN"/>
        </w:rPr>
        <w:t>4.3.2-1</w:t>
      </w:r>
      <w:r>
        <w:rPr>
          <w:rFonts w:hint="default" w:ascii="Times New Roman" w:hAnsi="Times New Roman" w:cs="Times New Roman" w:eastAsiaTheme="minorEastAsia"/>
          <w:color w:val="auto"/>
          <w:szCs w:val="24"/>
          <w:highlight w:val="none"/>
        </w:rPr>
        <w:t>。</w:t>
      </w:r>
    </w:p>
    <w:p w14:paraId="2A1AC623">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 xml:space="preserve">表4.3.2-1 </w:t>
      </w:r>
      <w:r>
        <w:rPr>
          <w:rFonts w:hint="default" w:ascii="Times New Roman" w:hAnsi="Times New Roman" w:cs="Times New Roman"/>
          <w:color w:val="auto"/>
          <w:highlight w:val="none"/>
        </w:rPr>
        <w:t>规划环境影响评价采用的评价方法</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2"/>
        <w:gridCol w:w="3031"/>
        <w:gridCol w:w="3169"/>
      </w:tblGrid>
      <w:tr w14:paraId="3B94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1362" w:type="pct"/>
            <w:vAlign w:val="center"/>
          </w:tcPr>
          <w:p w14:paraId="602FFA9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评价环节</w:t>
            </w:r>
          </w:p>
        </w:tc>
        <w:tc>
          <w:tcPr>
            <w:tcW w:w="1778" w:type="pct"/>
            <w:vAlign w:val="center"/>
          </w:tcPr>
          <w:p w14:paraId="2BAC5BF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方法名称</w:t>
            </w:r>
          </w:p>
        </w:tc>
        <w:tc>
          <w:tcPr>
            <w:tcW w:w="1859" w:type="pct"/>
            <w:vAlign w:val="center"/>
          </w:tcPr>
          <w:p w14:paraId="0E5059D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适用对象</w:t>
            </w:r>
          </w:p>
        </w:tc>
      </w:tr>
      <w:tr w14:paraId="2B1A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restart"/>
            <w:vAlign w:val="center"/>
          </w:tcPr>
          <w:p w14:paraId="3E662F9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规划方案的筛选</w:t>
            </w:r>
          </w:p>
        </w:tc>
        <w:tc>
          <w:tcPr>
            <w:tcW w:w="1778" w:type="pct"/>
            <w:vAlign w:val="center"/>
          </w:tcPr>
          <w:p w14:paraId="713C7D6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核查表法</w:t>
            </w:r>
          </w:p>
        </w:tc>
        <w:tc>
          <w:tcPr>
            <w:tcW w:w="1859" w:type="pct"/>
            <w:vAlign w:val="center"/>
          </w:tcPr>
          <w:p w14:paraId="38A4F36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规划方案</w:t>
            </w:r>
          </w:p>
        </w:tc>
      </w:tr>
      <w:tr w14:paraId="15617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continue"/>
            <w:vAlign w:val="center"/>
          </w:tcPr>
          <w:p w14:paraId="3117F3F3">
            <w:pPr>
              <w:pStyle w:val="35"/>
              <w:rPr>
                <w:rFonts w:hint="default" w:ascii="Times New Roman" w:hAnsi="Times New Roman" w:cs="Times New Roman"/>
                <w:color w:val="auto"/>
                <w:highlight w:val="none"/>
              </w:rPr>
            </w:pPr>
          </w:p>
        </w:tc>
        <w:tc>
          <w:tcPr>
            <w:tcW w:w="1778" w:type="pct"/>
            <w:vAlign w:val="center"/>
          </w:tcPr>
          <w:p w14:paraId="7EF675D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对比法、经验法</w:t>
            </w:r>
          </w:p>
        </w:tc>
        <w:tc>
          <w:tcPr>
            <w:tcW w:w="1859" w:type="pct"/>
            <w:vAlign w:val="center"/>
          </w:tcPr>
          <w:p w14:paraId="5013744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环境合理性分析</w:t>
            </w:r>
          </w:p>
        </w:tc>
      </w:tr>
      <w:tr w14:paraId="13C1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continue"/>
            <w:vAlign w:val="center"/>
          </w:tcPr>
          <w:p w14:paraId="56C42957">
            <w:pPr>
              <w:pStyle w:val="35"/>
              <w:rPr>
                <w:rFonts w:hint="default" w:ascii="Times New Roman" w:hAnsi="Times New Roman" w:cs="Times New Roman"/>
                <w:color w:val="auto"/>
                <w:highlight w:val="none"/>
              </w:rPr>
            </w:pPr>
          </w:p>
        </w:tc>
        <w:tc>
          <w:tcPr>
            <w:tcW w:w="1778" w:type="pct"/>
            <w:vAlign w:val="center"/>
          </w:tcPr>
          <w:p w14:paraId="3E72DB2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专家咨询法</w:t>
            </w:r>
          </w:p>
        </w:tc>
        <w:tc>
          <w:tcPr>
            <w:tcW w:w="1859" w:type="pct"/>
            <w:vAlign w:val="center"/>
          </w:tcPr>
          <w:p w14:paraId="574F2EC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环境影响</w:t>
            </w:r>
          </w:p>
        </w:tc>
      </w:tr>
      <w:tr w14:paraId="3562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restart"/>
            <w:vAlign w:val="center"/>
          </w:tcPr>
          <w:p w14:paraId="0180888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环境现状调查分析</w:t>
            </w:r>
          </w:p>
        </w:tc>
        <w:tc>
          <w:tcPr>
            <w:tcW w:w="1778" w:type="pct"/>
            <w:vAlign w:val="center"/>
          </w:tcPr>
          <w:p w14:paraId="3B02240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资料收集法</w:t>
            </w:r>
          </w:p>
        </w:tc>
        <w:tc>
          <w:tcPr>
            <w:tcW w:w="1859" w:type="pct"/>
            <w:vAlign w:val="center"/>
          </w:tcPr>
          <w:p w14:paraId="5C2C952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社会经济、基础数据</w:t>
            </w:r>
          </w:p>
        </w:tc>
      </w:tr>
      <w:tr w14:paraId="2DF15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continue"/>
            <w:vAlign w:val="center"/>
          </w:tcPr>
          <w:p w14:paraId="2F3C77BF">
            <w:pPr>
              <w:pStyle w:val="35"/>
              <w:rPr>
                <w:rFonts w:hint="default" w:ascii="Times New Roman" w:hAnsi="Times New Roman" w:cs="Times New Roman"/>
                <w:color w:val="auto"/>
                <w:highlight w:val="none"/>
              </w:rPr>
            </w:pPr>
          </w:p>
        </w:tc>
        <w:tc>
          <w:tcPr>
            <w:tcW w:w="1778" w:type="pct"/>
            <w:vAlign w:val="center"/>
          </w:tcPr>
          <w:p w14:paraId="3DCAB6D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现场踏勘、现场调查与监测</w:t>
            </w:r>
          </w:p>
        </w:tc>
        <w:tc>
          <w:tcPr>
            <w:tcW w:w="1859" w:type="pct"/>
            <w:vAlign w:val="center"/>
          </w:tcPr>
          <w:p w14:paraId="24D58238">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水环境、生态环境</w:t>
            </w:r>
          </w:p>
        </w:tc>
      </w:tr>
      <w:tr w14:paraId="15060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continue"/>
            <w:vAlign w:val="center"/>
          </w:tcPr>
          <w:p w14:paraId="1F2D07D5">
            <w:pPr>
              <w:pStyle w:val="35"/>
              <w:rPr>
                <w:rFonts w:hint="default" w:ascii="Times New Roman" w:hAnsi="Times New Roman" w:cs="Times New Roman"/>
                <w:color w:val="auto"/>
                <w:highlight w:val="none"/>
              </w:rPr>
            </w:pPr>
          </w:p>
        </w:tc>
        <w:tc>
          <w:tcPr>
            <w:tcW w:w="1778" w:type="pct"/>
            <w:vAlign w:val="center"/>
          </w:tcPr>
          <w:p w14:paraId="1D9239F7">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“3S”技术</w:t>
            </w:r>
          </w:p>
        </w:tc>
        <w:tc>
          <w:tcPr>
            <w:tcW w:w="1859" w:type="pct"/>
            <w:vAlign w:val="center"/>
          </w:tcPr>
          <w:p w14:paraId="0DC68C6E">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植被、土地利用、水土流失</w:t>
            </w:r>
          </w:p>
        </w:tc>
      </w:tr>
      <w:tr w14:paraId="724F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Align w:val="center"/>
          </w:tcPr>
          <w:p w14:paraId="23538079">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规划环境影响的识别</w:t>
            </w:r>
          </w:p>
        </w:tc>
        <w:tc>
          <w:tcPr>
            <w:tcW w:w="1778" w:type="pct"/>
            <w:vAlign w:val="center"/>
          </w:tcPr>
          <w:p w14:paraId="557477D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叠图法、专家咨询法</w:t>
            </w:r>
          </w:p>
        </w:tc>
        <w:tc>
          <w:tcPr>
            <w:tcW w:w="1859" w:type="pct"/>
            <w:vAlign w:val="center"/>
          </w:tcPr>
          <w:p w14:paraId="7025B9A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环境敏感目标的识别</w:t>
            </w:r>
          </w:p>
        </w:tc>
      </w:tr>
      <w:tr w14:paraId="7CC2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restart"/>
            <w:vAlign w:val="center"/>
          </w:tcPr>
          <w:p w14:paraId="6C826BD6">
            <w:pPr>
              <w:pStyle w:val="35"/>
              <w:rPr>
                <w:rFonts w:hint="default" w:ascii="Times New Roman" w:hAnsi="Times New Roman" w:cs="Times New Roman"/>
                <w:color w:val="auto"/>
                <w:highlight w:val="none"/>
              </w:rPr>
            </w:pPr>
            <w:bookmarkStart w:id="105" w:name="_Toc531545527"/>
            <w:r>
              <w:rPr>
                <w:rFonts w:hint="default" w:ascii="Times New Roman" w:hAnsi="Times New Roman" w:cs="Times New Roman"/>
                <w:color w:val="auto"/>
                <w:highlight w:val="none"/>
              </w:rPr>
              <w:t>公众参与</w:t>
            </w:r>
            <w:bookmarkEnd w:id="105"/>
          </w:p>
        </w:tc>
        <w:tc>
          <w:tcPr>
            <w:tcW w:w="1778" w:type="pct"/>
            <w:vAlign w:val="center"/>
          </w:tcPr>
          <w:p w14:paraId="626FDDC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专家咨询</w:t>
            </w:r>
          </w:p>
        </w:tc>
        <w:tc>
          <w:tcPr>
            <w:tcW w:w="1859" w:type="pct"/>
            <w:vAlign w:val="center"/>
          </w:tcPr>
          <w:p w14:paraId="789B66C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专业性较强的环境要素</w:t>
            </w:r>
          </w:p>
        </w:tc>
      </w:tr>
      <w:tr w14:paraId="6AC5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362" w:type="pct"/>
            <w:vMerge w:val="continue"/>
            <w:vAlign w:val="center"/>
          </w:tcPr>
          <w:p w14:paraId="48063675">
            <w:pPr>
              <w:pStyle w:val="35"/>
              <w:rPr>
                <w:rFonts w:hint="default" w:ascii="Times New Roman" w:hAnsi="Times New Roman" w:cs="Times New Roman"/>
                <w:color w:val="auto"/>
                <w:highlight w:val="none"/>
              </w:rPr>
            </w:pPr>
          </w:p>
        </w:tc>
        <w:tc>
          <w:tcPr>
            <w:tcW w:w="1778" w:type="pct"/>
            <w:vAlign w:val="center"/>
          </w:tcPr>
          <w:p w14:paraId="316413D3">
            <w:pPr>
              <w:pStyle w:val="35"/>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报纸及网络公示</w:t>
            </w:r>
          </w:p>
        </w:tc>
        <w:tc>
          <w:tcPr>
            <w:tcW w:w="1859" w:type="pct"/>
            <w:vAlign w:val="center"/>
          </w:tcPr>
          <w:p w14:paraId="6759600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公众普遍关注的环境问题</w:t>
            </w:r>
          </w:p>
        </w:tc>
      </w:tr>
      <w:tr w14:paraId="0DA9B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restart"/>
            <w:vAlign w:val="center"/>
          </w:tcPr>
          <w:p w14:paraId="2F6F720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规划环境影响的预测与评价</w:t>
            </w:r>
          </w:p>
        </w:tc>
        <w:tc>
          <w:tcPr>
            <w:tcW w:w="1778" w:type="pct"/>
            <w:vAlign w:val="center"/>
          </w:tcPr>
          <w:p w14:paraId="6176BA7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环境数学模型</w:t>
            </w:r>
          </w:p>
        </w:tc>
        <w:tc>
          <w:tcPr>
            <w:tcW w:w="1859" w:type="pct"/>
            <w:vAlign w:val="center"/>
          </w:tcPr>
          <w:p w14:paraId="22DCDA26">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水温和水质影响</w:t>
            </w:r>
          </w:p>
        </w:tc>
      </w:tr>
      <w:tr w14:paraId="3241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continue"/>
            <w:vAlign w:val="center"/>
          </w:tcPr>
          <w:p w14:paraId="6D277EA2">
            <w:pPr>
              <w:pStyle w:val="35"/>
              <w:rPr>
                <w:rFonts w:hint="default" w:ascii="Times New Roman" w:hAnsi="Times New Roman" w:cs="Times New Roman"/>
                <w:color w:val="auto"/>
                <w:highlight w:val="none"/>
              </w:rPr>
            </w:pPr>
          </w:p>
        </w:tc>
        <w:tc>
          <w:tcPr>
            <w:tcW w:w="1778" w:type="pct"/>
            <w:vAlign w:val="center"/>
          </w:tcPr>
          <w:p w14:paraId="1F31F3B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叠图法</w:t>
            </w:r>
          </w:p>
        </w:tc>
        <w:tc>
          <w:tcPr>
            <w:tcW w:w="1859" w:type="pct"/>
            <w:vAlign w:val="center"/>
          </w:tcPr>
          <w:p w14:paraId="5A600F8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环境敏感目标影响</w:t>
            </w:r>
          </w:p>
        </w:tc>
      </w:tr>
      <w:tr w14:paraId="5590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continue"/>
            <w:vAlign w:val="center"/>
          </w:tcPr>
          <w:p w14:paraId="0077E193">
            <w:pPr>
              <w:pStyle w:val="35"/>
              <w:rPr>
                <w:rFonts w:hint="default" w:ascii="Times New Roman" w:hAnsi="Times New Roman" w:cs="Times New Roman"/>
                <w:color w:val="auto"/>
                <w:highlight w:val="none"/>
              </w:rPr>
            </w:pPr>
          </w:p>
        </w:tc>
        <w:tc>
          <w:tcPr>
            <w:tcW w:w="1778" w:type="pct"/>
            <w:vAlign w:val="center"/>
          </w:tcPr>
          <w:p w14:paraId="1215796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环境承载力分析</w:t>
            </w:r>
          </w:p>
        </w:tc>
        <w:tc>
          <w:tcPr>
            <w:tcW w:w="1859" w:type="pct"/>
            <w:vAlign w:val="center"/>
          </w:tcPr>
          <w:p w14:paraId="5CDE41D3">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生态环境和移民安置</w:t>
            </w:r>
          </w:p>
        </w:tc>
      </w:tr>
      <w:tr w14:paraId="4DED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restart"/>
            <w:vAlign w:val="center"/>
          </w:tcPr>
          <w:p w14:paraId="1462DB3D">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累积环境影响评价</w:t>
            </w:r>
          </w:p>
        </w:tc>
        <w:tc>
          <w:tcPr>
            <w:tcW w:w="1778" w:type="pct"/>
            <w:vAlign w:val="center"/>
          </w:tcPr>
          <w:p w14:paraId="2F8175E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专家咨询法</w:t>
            </w:r>
          </w:p>
        </w:tc>
        <w:tc>
          <w:tcPr>
            <w:tcW w:w="1859" w:type="pct"/>
            <w:vAlign w:val="center"/>
          </w:tcPr>
          <w:p w14:paraId="1495B28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珍稀保护动植物及鱼类</w:t>
            </w:r>
          </w:p>
        </w:tc>
      </w:tr>
      <w:tr w14:paraId="3E12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continue"/>
            <w:vAlign w:val="center"/>
          </w:tcPr>
          <w:p w14:paraId="390C7E26">
            <w:pPr>
              <w:pStyle w:val="35"/>
              <w:rPr>
                <w:rFonts w:hint="default" w:ascii="Times New Roman" w:hAnsi="Times New Roman" w:cs="Times New Roman"/>
                <w:color w:val="auto"/>
                <w:highlight w:val="none"/>
              </w:rPr>
            </w:pPr>
          </w:p>
        </w:tc>
        <w:tc>
          <w:tcPr>
            <w:tcW w:w="1778" w:type="pct"/>
            <w:vAlign w:val="center"/>
          </w:tcPr>
          <w:p w14:paraId="2F504E0C">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矩阵法</w:t>
            </w:r>
          </w:p>
        </w:tc>
        <w:tc>
          <w:tcPr>
            <w:tcW w:w="1859" w:type="pct"/>
            <w:vAlign w:val="center"/>
          </w:tcPr>
          <w:p w14:paraId="36CEFED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社会环境</w:t>
            </w:r>
          </w:p>
        </w:tc>
      </w:tr>
      <w:tr w14:paraId="5FD8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continue"/>
            <w:vAlign w:val="center"/>
          </w:tcPr>
          <w:p w14:paraId="6B37B216">
            <w:pPr>
              <w:pStyle w:val="35"/>
              <w:rPr>
                <w:rFonts w:hint="default" w:ascii="Times New Roman" w:hAnsi="Times New Roman" w:cs="Times New Roman"/>
                <w:color w:val="auto"/>
                <w:highlight w:val="none"/>
              </w:rPr>
            </w:pPr>
          </w:p>
        </w:tc>
        <w:tc>
          <w:tcPr>
            <w:tcW w:w="1778" w:type="pct"/>
            <w:vAlign w:val="center"/>
          </w:tcPr>
          <w:p w14:paraId="52B7F7B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环境数学模型</w:t>
            </w:r>
          </w:p>
        </w:tc>
        <w:tc>
          <w:tcPr>
            <w:tcW w:w="1859" w:type="pct"/>
            <w:vAlign w:val="center"/>
          </w:tcPr>
          <w:p w14:paraId="76A62B5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水质、水温</w:t>
            </w:r>
          </w:p>
        </w:tc>
      </w:tr>
      <w:tr w14:paraId="1E76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62" w:type="pct"/>
            <w:vMerge w:val="continue"/>
            <w:vAlign w:val="center"/>
          </w:tcPr>
          <w:p w14:paraId="6890BEDC">
            <w:pPr>
              <w:pStyle w:val="35"/>
              <w:rPr>
                <w:rFonts w:hint="default" w:ascii="Times New Roman" w:hAnsi="Times New Roman" w:cs="Times New Roman"/>
                <w:color w:val="auto"/>
                <w:highlight w:val="none"/>
              </w:rPr>
            </w:pPr>
          </w:p>
        </w:tc>
        <w:tc>
          <w:tcPr>
            <w:tcW w:w="1778" w:type="pct"/>
            <w:vAlign w:val="center"/>
          </w:tcPr>
          <w:p w14:paraId="13F6F091">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叠图法+GIS</w:t>
            </w:r>
          </w:p>
        </w:tc>
        <w:tc>
          <w:tcPr>
            <w:tcW w:w="1859" w:type="pct"/>
            <w:vAlign w:val="center"/>
          </w:tcPr>
          <w:p w14:paraId="03779AB5">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陆生生态、水生生态、景观生态</w:t>
            </w:r>
          </w:p>
        </w:tc>
      </w:tr>
    </w:tbl>
    <w:p w14:paraId="79687FC1">
      <w:pPr>
        <w:rPr>
          <w:rFonts w:hint="default" w:ascii="Times New Roman" w:hAnsi="Times New Roman" w:eastAsia="宋体" w:cs="Times New Roman"/>
          <w:color w:val="auto"/>
          <w:highlight w:val="none"/>
        </w:rPr>
        <w:sectPr>
          <w:pgSz w:w="11906" w:h="16838"/>
          <w:pgMar w:top="1440" w:right="1800" w:bottom="1440" w:left="1800" w:header="851" w:footer="992" w:gutter="0"/>
          <w:pgNumType w:fmt="decimal"/>
          <w:cols w:space="425" w:num="1"/>
          <w:docGrid w:type="lines" w:linePitch="312" w:charSpace="0"/>
        </w:sectPr>
      </w:pPr>
    </w:p>
    <w:p w14:paraId="2FA33490">
      <w:pPr>
        <w:rPr>
          <w:rFonts w:hint="default" w:ascii="Times New Roman" w:hAnsi="Times New Roman" w:eastAsia="宋体" w:cs="Times New Roman"/>
          <w:color w:val="auto"/>
          <w:highlight w:val="none"/>
        </w:rPr>
      </w:pPr>
    </w:p>
    <w:p w14:paraId="5D55FCEA">
      <w:pPr>
        <w:pStyle w:val="2"/>
        <w:numPr>
          <w:ilvl w:val="0"/>
          <w:numId w:val="3"/>
        </w:numPr>
        <w:spacing w:after="249"/>
        <w:rPr>
          <w:rFonts w:hint="default" w:ascii="Times New Roman" w:hAnsi="Times New Roman" w:eastAsia="宋体" w:cs="Times New Roman"/>
          <w:color w:val="auto"/>
          <w:highlight w:val="none"/>
        </w:rPr>
      </w:pPr>
      <w:bookmarkStart w:id="106" w:name="_Toc21793"/>
      <w:r>
        <w:rPr>
          <w:rFonts w:hint="default" w:ascii="Times New Roman" w:hAnsi="Times New Roman" w:eastAsia="宋体" w:cs="Times New Roman"/>
          <w:color w:val="auto"/>
          <w:highlight w:val="none"/>
        </w:rPr>
        <w:t>环境影响预测与评价</w:t>
      </w:r>
      <w:bookmarkEnd w:id="106"/>
    </w:p>
    <w:p w14:paraId="014A3431">
      <w:pPr>
        <w:pStyle w:val="31"/>
        <w:keepNext/>
        <w:keepLines/>
        <w:numPr>
          <w:ilvl w:val="0"/>
          <w:numId w:val="4"/>
        </w:numPr>
        <w:spacing w:before="374" w:beforeLines="120" w:after="249" w:afterLines="80" w:line="288" w:lineRule="auto"/>
        <w:ind w:firstLineChars="0"/>
        <w:outlineLvl w:val="1"/>
        <w:rPr>
          <w:rFonts w:hint="default" w:ascii="Times New Roman" w:hAnsi="Times New Roman" w:eastAsia="宋体" w:cs="Times New Roman"/>
          <w:b/>
          <w:bCs/>
          <w:vanish/>
          <w:color w:val="auto"/>
          <w:sz w:val="32"/>
          <w:szCs w:val="32"/>
          <w:highlight w:val="none"/>
        </w:rPr>
      </w:pPr>
    </w:p>
    <w:p w14:paraId="385E818F">
      <w:pPr>
        <w:pStyle w:val="3"/>
        <w:numPr>
          <w:ilvl w:val="1"/>
          <w:numId w:val="4"/>
        </w:numPr>
        <w:spacing w:before="374" w:after="249"/>
        <w:rPr>
          <w:rFonts w:hint="default" w:ascii="Times New Roman" w:hAnsi="Times New Roman" w:eastAsia="宋体" w:cs="Times New Roman"/>
          <w:color w:val="auto"/>
          <w:highlight w:val="none"/>
        </w:rPr>
      </w:pPr>
      <w:bookmarkStart w:id="107" w:name="_Toc18676"/>
      <w:r>
        <w:rPr>
          <w:rFonts w:hint="default" w:ascii="Times New Roman" w:hAnsi="Times New Roman" w:eastAsia="宋体" w:cs="Times New Roman"/>
          <w:color w:val="auto"/>
          <w:highlight w:val="none"/>
        </w:rPr>
        <w:t>水文水资源影响预测与评价</w:t>
      </w:r>
      <w:bookmarkEnd w:id="107"/>
    </w:p>
    <w:p w14:paraId="5866FFC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南盘江（曲靖市境内）流域综合规划属水资源综合开发利用指导性规划，对当地水环境的影响是广泛、深远的。规划2035年流域多年平均配置总用水量17.10亿m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，其中再生水0.74亿m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不占用用水总量指标，扣除后实际取用原生水量16.36亿m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，低于流域用水总量控制指标17.25亿m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，满足最严格水资源管理制度“三条红线”管控要求。</w:t>
      </w:r>
    </w:p>
    <w:p w14:paraId="203F4ED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2035年P=75%频率下，蓄水、引提水、调水、再生水及其他工程供水量分别占供水总量的59.1%、18.0%、16.5%、4.4%和2.1%，形成“以蓄为主、蓄引提调结合、非常规水补充”的多源供水格局。供水结构由现状单一依赖本地水源向多源互补、丰枯互济转变，供水韧性和保障能力显著增强。</w:t>
      </w:r>
    </w:p>
    <w:p w14:paraId="5D25CB2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2035年多年平均情况下，城镇生活、农村生活、工业、农业灌溉用水量分别占用水总量的15.1%、7.1%、21.4%、56.5%。与现状年相比，农业灌溉占比由63.8%降至56.5%，工业由18.6%升至21.4%，城镇生活由9.8%升至15.1%，整体呈现"农业降、工业和生活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的优化趋势。农业比重下降主要得益于灌区续建配套与节水改造及新建灌区高效节水灌溉技术推广，在灌溉面积扩大的同时实现了用水效率提升；工业和生活比重上升反映了流域工业化、城镇化进程加快的客观需求，且工业用水增长以万元增加值用水量较2024年降低35%为前提，体现了“以水定产、节水增效”的配置原则。</w:t>
      </w:r>
    </w:p>
    <w:p w14:paraId="53069AE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流域多年平均水资源总量77.2亿m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，现状年用水总量8.54亿m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，水资源开发利用率约11.1%；2035年扣除再生水后用水总量16.36亿m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，开发利用率约21.2%，较现状提高约10个百分点，但仍远低于40%的国际公认水资源开发利用警戒线。</w:t>
      </w:r>
    </w:p>
    <w:p w14:paraId="0992F95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重点水利工程项目的实施，水资源合理配置，有效缓解流域内农灌、农村人畜、城镇生活及工业供水。拟建灌区工程、引调水工程、水库工程大坝的建设，库区水流变缓、坝下减水，水体扩散能力降低，影响河段水文情势和水质，存在改变所在河流水温结构等情况。</w:t>
      </w:r>
    </w:p>
    <w:p w14:paraId="61F87237">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规划实施对水资源供应量的影响</w:t>
      </w:r>
    </w:p>
    <w:p w14:paraId="7097C3D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（1）现状年水资源供应情况</w:t>
      </w:r>
    </w:p>
    <w:p w14:paraId="72F136A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现状水平年供需分析是在现状2024年调查分析的基础上，扣除现状供水中不合理开发的水量部分，如地下水超采量、未处理污水直接利用量和不符合水质要求的供水量以及超过分水指标的引水量等，并按不同频率的来水和需水进行供需分析。</w:t>
      </w:r>
    </w:p>
    <w:p w14:paraId="1A296CA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现状基准年，多年平均情况下，南盘江（曲靖市境内）流域总需水量140557万m³，总供水量91411万m³，缺水总量为49145万m³，缺水率为35.0%，水资源供需不能平衡；P=75%频率下，流域内总需水量146841万m³，总供水量96</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80万m³，缺水总量为50461万m³，缺水率为34.4%，各行业均有不同程度缺水，主要为农业灌溉缺水，农业缺水占流域内总缺水的95.1%。在P=95%的特枯水年时，现状总缺水总量为72037万m</w:t>
      </w:r>
      <w:r>
        <w:rPr>
          <w:rFonts w:hint="eastAsia" w:cs="Times New Roman"/>
          <w:color w:val="auto"/>
          <w:highlight w:val="none"/>
          <w:lang w:val="en-US" w:eastAsia="zh-CN"/>
        </w:rPr>
        <w:t>³</w:t>
      </w:r>
      <w:r>
        <w:rPr>
          <w:rFonts w:hint="default" w:ascii="Times New Roman" w:hAnsi="Times New Roman" w:cs="Times New Roman"/>
          <w:color w:val="auto"/>
          <w:highlight w:val="none"/>
        </w:rPr>
        <w:t>，缺水率为45.1%。</w:t>
      </w:r>
    </w:p>
    <w:p w14:paraId="1A5ABBE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（2）2035年水资源供应情况</w:t>
      </w:r>
    </w:p>
    <w:p w14:paraId="25E77D7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规划水平年，以现状水利工程、在建水利工程参与水资源供需平衡，不考虑新规划水资源开发，合理确定可供水量后进行规划年水资源一次供需平衡分析可知，2035年，流域内P=75%频率缺水60007万m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，缺水率31.8%，其中：城镇生活、农场生活、工业、农业灌溉缺水分别为12183、931、13674、33219万m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，分别占流域内总缺水量的20.3%、1.6%、22.8%、55.4%；P=95%频率缺水82418万m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，缺水率41.2%。流域内多年平均缺水59762万m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，缺水率33.0%。</w:t>
      </w:r>
    </w:p>
    <w:p w14:paraId="0671907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2035年，随着罗师、富源等灌区工程的建设，同时加入陆良县引水入陆工程及南盘江新建引提水工程等参与二次水资源供需平衡分析，流域内多年平均缺水量30629万m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16.9%；其中，沾益区、马龙区、师宗县、罗平县及富源县城镇生活、农村生活、工业用水和农业灌溉用水基本得到满足。缺水主要集中在麒麟区沾曲陆宜及陆良县沾曲陆宜两个计算单元上，麒麟区沾曲陆宜缺口主要体现在城镇生活及工业，陆良县沾曲陆宜缺口主要体现在工业及农灌；P=75%频率流域内缺水27689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，缺水率14.7%，P=95%特枯水年流域内缺水51786万m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，缺水率25.9%。</w:t>
      </w:r>
    </w:p>
    <w:p w14:paraId="334DE0F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2035年，加入曲靖市牛栏江德泽水库引水济曲工程进行第三次供需平衡分析。流域内多年平均缺水量10353万m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，缺水率5.7%；P=75%频率缺水5992万m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，缺水率3.2%；城镇生活、工业和农村生活供水保证率均达到95%，农业灌溉缺水率低于5%。P=95%频率下缺水30049万m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，缺水率15.0%，全部为农业灌溉缺水。</w:t>
      </w:r>
    </w:p>
    <w:p w14:paraId="290E366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水资源配置充分发挥蓄、引、提、调等地表水源工程和地下水工程、非常规水利用工程的优势及特点，联合供水，互联互通，丰枯互济、互为备用，有效提升水源与用水户之间的输配水系统效率，显著改善水源与用水户之间的时空匹配关系，高质量保障经济社会发展用水需求。到2035年，各行业配水结构趋于合理，新增供水更多分配至缺水较为突出的农业、工业和生活。其中，生活、工业用水需求得到全面满足，农业供水支撑了灌溉面积增长和灌溉保证率的提高，河道内生态补水保障了河湖生态环境改善。多年平均情况下流域内城镇生活、农村生活、工业和农业灌溉用水量分别为25871、12104、36494和96555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，占用水总量比例分别为15.1%、7.1%、21.4%和56.5%。</w:t>
      </w:r>
    </w:p>
    <w:p w14:paraId="13428C16">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规划水源工程调蓄运行水资源分配的影响</w:t>
      </w:r>
    </w:p>
    <w:p w14:paraId="2B3ADBE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南盘江（曲靖市境内）流域国土面积14225km²，水资源总量778476万m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，人均占有水资源2196m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，流域内水资源开发程度为11.0%，高于云南省平均水平7.3%。</w:t>
      </w:r>
    </w:p>
    <w:p w14:paraId="73D3D86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水资源量相对比较丰富，但水资源时空分布不均，汛枯期降水差异较大，区域降水主要集中在5～10月，该半年降水量约占全年降水量的85%左右；非汛期，特别是12～3月，降水量仅占全年降水量的8%左右；最枯月一般发生在12月，约为全年降水量的</w:t>
      </w:r>
      <w:r>
        <w:rPr>
          <w:rFonts w:hint="default" w:ascii="Times New Roman" w:hAnsi="Times New Roman" w:cs="Times New Roman"/>
          <w:color w:val="auto"/>
          <w:highlight w:val="none"/>
          <w:lang w:eastAsia="zh-CN"/>
        </w:rPr>
        <w:t>1%～2%</w:t>
      </w:r>
      <w:r>
        <w:rPr>
          <w:rFonts w:hint="default" w:ascii="Times New Roman" w:hAnsi="Times New Roman" w:cs="Times New Roman"/>
          <w:color w:val="auto"/>
          <w:highlight w:val="none"/>
        </w:rPr>
        <w:t>。由于降水在年内分配的不均匀，常常形成季节性干旱，对农业生产危害最大。</w:t>
      </w:r>
    </w:p>
    <w:p w14:paraId="6A601F6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南盘江流域水资源禀赋先天不足，资源性缺水与工程性缺水相互交织，城乡供水安全与农业灌溉保障均面临较大压力。人均水资源占有量偏低，局部区域供需矛盾尖锐。流域内人均水资源量仅为2693m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，约为全省平均水平的七成，部分区域已逼近水资源承载能力上限。水资源空间分布与经济社会发展格局不相匹配，城乡水资源高效配置体系尚未形成，农业灌溉保障能力亟待提升。</w:t>
      </w:r>
    </w:p>
    <w:p w14:paraId="3583B25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流域综合规划的实施，将会给区域的资源性缺水和工程性缺水问题的解决带来机遇。灌区工程中水源工程建设、引调水工程、水库扩建工程挡水建筑物的建设，水库库区水位升高，有利于沿岸地区的取水，为取水工程设施的建设提供了有利条件。各水库工程的运行，可以调节河流的水文情势，汛期拦蓄洪水，可留待枯水期运用，与天然情况比较，汛期下泄流量减少，枯期下泄流量增加。因此，水库工程的运行可以保证为流域地区的水资源综合利用提供较稳定的水源，特别是对于农业用水更为有利，在枯水期，由于水库的调节作用，加大下泄流量，能够在枯水期保证用水水量。</w:t>
      </w:r>
    </w:p>
    <w:p w14:paraId="1CC8B7D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在采取巩固、配套、挖掘现有水利工程潜力和推行节约用水，优化水资源供需，各灌区工程、引调水工程及水库扩建工程通过新建水源工程，开发利用现有引提水工程、水库工程等水资源配置措施后，水资源利用率提升，可满足区域内社会经济各部门需水要求，促进区域社会经济的可持续发展，进一步提高水资源开发利用程度，解决流域内各个行业用水问题。本次的水资源配置按照各个水源工程位置及供水情况，遵循高水高用、优水优用的分片原则，对流域内水利工程进行统一规划、修整、新建，通过各项规划项目的实施建设，将充分发挥规划区各项水资源，做到了优水优用，有效缓解流域内农灌、农村人畜、城镇生活及工业供水，水资源配置合理。南盘江（曲靖市境内）流域综合规划实施后，南盘江（曲靖市境内）流域的水资源的调控能力有较大幅度的提升，在优先满足生态用水的前提下，为各类用水需要和经济社会的可持续发展提供了保障。</w:t>
      </w:r>
    </w:p>
    <w:p w14:paraId="7B04F53D">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对水资源利用对象的影响</w:t>
      </w:r>
    </w:p>
    <w:p w14:paraId="2C07CDB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对区域内水资源利用带来一定有利影响的同时，也将带来一定不利影响，主要是规划新建灌区中水源工程、扩建水库工程在截流、初期下闸蓄水阶段都可能导致坝下河段减脱水，引调水工程在引水过程中可能导致坝下减水，对坝下减水河段的水资源利用对象的取水量造成影响，规划新建灌区中水源工程、扩建水库工程分别按要求采取了生态流量及弃水下放措施后，规划工程建设对坝下水资源利用影响可得到减缓。</w:t>
      </w:r>
    </w:p>
    <w:p w14:paraId="08412FC8">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节水规划对水资源的影响</w:t>
      </w:r>
    </w:p>
    <w:p w14:paraId="0B2E634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南盘江（曲靖市境内）流域现状用水水平指标进行分析，现状用水水平指标主要包括：人均用水量、农田灌溉用水指标、城镇生活综合用水指标、工业增加值用水指标、农村居民用水指标，详见表5.1.4-1。</w:t>
      </w:r>
    </w:p>
    <w:p w14:paraId="32740E59">
      <w:pPr>
        <w:ind w:firstLine="1200" w:firstLineChars="500"/>
        <w:rPr>
          <w:rFonts w:hint="default" w:ascii="Times New Roman" w:hAnsi="Times New Roman" w:cs="Times New Roman"/>
          <w:color w:val="auto"/>
          <w:highlight w:val="none"/>
        </w:rPr>
      </w:pPr>
      <w:r>
        <w:rPr>
          <w:rFonts w:hint="default" w:ascii="Times New Roman" w:hAnsi="Times New Roman" w:cs="Times New Roman"/>
          <w:color w:val="auto"/>
          <w:highlight w:val="none"/>
        </w:rPr>
        <w:t>5.1.4-1   南盘江（曲靖市境内）流域现状用水水平指标表</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888"/>
        <w:gridCol w:w="1175"/>
        <w:gridCol w:w="1326"/>
        <w:gridCol w:w="1504"/>
        <w:gridCol w:w="1884"/>
        <w:gridCol w:w="1551"/>
      </w:tblGrid>
      <w:tr w14:paraId="1B26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vAlign w:val="center"/>
          </w:tcPr>
          <w:p w14:paraId="2C9BBBD2">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行政区</w:t>
            </w:r>
          </w:p>
        </w:tc>
        <w:tc>
          <w:tcPr>
            <w:tcW w:w="705" w:type="pct"/>
            <w:vAlign w:val="center"/>
          </w:tcPr>
          <w:p w14:paraId="6D812939">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人均用水量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m³/人</w:t>
            </w:r>
            <w:r>
              <w:rPr>
                <w:rFonts w:hint="default" w:ascii="Times New Roman" w:hAnsi="Times New Roman" w:cs="Times New Roman"/>
                <w:color w:val="auto"/>
                <w:highlight w:val="none"/>
                <w:lang w:eastAsia="zh-CN"/>
              </w:rPr>
              <w:t>）</w:t>
            </w:r>
          </w:p>
        </w:tc>
        <w:tc>
          <w:tcPr>
            <w:tcW w:w="796" w:type="pct"/>
            <w:vAlign w:val="center"/>
          </w:tcPr>
          <w:p w14:paraId="0F1769EB">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农田灌溉用水指标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m³/亩</w:t>
            </w:r>
            <w:r>
              <w:rPr>
                <w:rFonts w:hint="default" w:ascii="Times New Roman" w:hAnsi="Times New Roman" w:cs="Times New Roman"/>
                <w:color w:val="auto"/>
                <w:highlight w:val="none"/>
                <w:lang w:eastAsia="zh-CN"/>
              </w:rPr>
              <w:t>）</w:t>
            </w:r>
          </w:p>
        </w:tc>
        <w:tc>
          <w:tcPr>
            <w:tcW w:w="903" w:type="pct"/>
            <w:vAlign w:val="center"/>
          </w:tcPr>
          <w:p w14:paraId="104719BE">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城镇生活综合用水指标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L/人.d</w:t>
            </w:r>
            <w:r>
              <w:rPr>
                <w:rFonts w:hint="default" w:ascii="Times New Roman" w:hAnsi="Times New Roman" w:cs="Times New Roman"/>
                <w:color w:val="auto"/>
                <w:highlight w:val="none"/>
                <w:lang w:eastAsia="zh-CN"/>
              </w:rPr>
              <w:t>）</w:t>
            </w:r>
          </w:p>
        </w:tc>
        <w:tc>
          <w:tcPr>
            <w:tcW w:w="1131" w:type="pct"/>
            <w:vAlign w:val="center"/>
          </w:tcPr>
          <w:p w14:paraId="12B33870">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工业增加值用水指标（m³/万元）</w:t>
            </w:r>
          </w:p>
        </w:tc>
        <w:tc>
          <w:tcPr>
            <w:tcW w:w="931" w:type="pct"/>
            <w:vAlign w:val="center"/>
          </w:tcPr>
          <w:p w14:paraId="0088CCD3">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农村居民用水指标</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L/人.d</w:t>
            </w:r>
            <w:r>
              <w:rPr>
                <w:rFonts w:hint="default" w:ascii="Times New Roman" w:hAnsi="Times New Roman" w:cs="Times New Roman"/>
                <w:color w:val="auto"/>
                <w:highlight w:val="none"/>
                <w:lang w:eastAsia="zh-CN"/>
              </w:rPr>
              <w:t>）</w:t>
            </w:r>
          </w:p>
        </w:tc>
      </w:tr>
      <w:tr w14:paraId="671C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noWrap/>
            <w:vAlign w:val="center"/>
          </w:tcPr>
          <w:p w14:paraId="2C479A91">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麒麟区</w:t>
            </w:r>
          </w:p>
        </w:tc>
        <w:tc>
          <w:tcPr>
            <w:tcW w:w="705" w:type="pct"/>
            <w:vAlign w:val="center"/>
          </w:tcPr>
          <w:p w14:paraId="5201880D">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233</w:t>
            </w:r>
          </w:p>
        </w:tc>
        <w:tc>
          <w:tcPr>
            <w:tcW w:w="796" w:type="pct"/>
            <w:vAlign w:val="center"/>
          </w:tcPr>
          <w:p w14:paraId="1FCD34FA">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661</w:t>
            </w:r>
          </w:p>
        </w:tc>
        <w:tc>
          <w:tcPr>
            <w:tcW w:w="903" w:type="pct"/>
            <w:vAlign w:val="center"/>
          </w:tcPr>
          <w:p w14:paraId="1E761950">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173</w:t>
            </w:r>
          </w:p>
        </w:tc>
        <w:tc>
          <w:tcPr>
            <w:tcW w:w="1131" w:type="pct"/>
            <w:vAlign w:val="center"/>
          </w:tcPr>
          <w:p w14:paraId="33B5D845">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25.6</w:t>
            </w:r>
          </w:p>
        </w:tc>
        <w:tc>
          <w:tcPr>
            <w:tcW w:w="931" w:type="pct"/>
            <w:vAlign w:val="center"/>
          </w:tcPr>
          <w:p w14:paraId="6236B079">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68</w:t>
            </w:r>
          </w:p>
        </w:tc>
      </w:tr>
      <w:tr w14:paraId="3E3D6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noWrap/>
            <w:vAlign w:val="center"/>
          </w:tcPr>
          <w:p w14:paraId="5C5239FC">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沾益区</w:t>
            </w:r>
          </w:p>
        </w:tc>
        <w:tc>
          <w:tcPr>
            <w:tcW w:w="705" w:type="pct"/>
            <w:vAlign w:val="center"/>
          </w:tcPr>
          <w:p w14:paraId="59876C9C">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438</w:t>
            </w:r>
          </w:p>
        </w:tc>
        <w:tc>
          <w:tcPr>
            <w:tcW w:w="796" w:type="pct"/>
            <w:vAlign w:val="center"/>
          </w:tcPr>
          <w:p w14:paraId="3B5E8460">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579</w:t>
            </w:r>
          </w:p>
        </w:tc>
        <w:tc>
          <w:tcPr>
            <w:tcW w:w="903" w:type="pct"/>
            <w:vAlign w:val="center"/>
          </w:tcPr>
          <w:p w14:paraId="34091956">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140</w:t>
            </w:r>
          </w:p>
        </w:tc>
        <w:tc>
          <w:tcPr>
            <w:tcW w:w="1131" w:type="pct"/>
            <w:vAlign w:val="center"/>
          </w:tcPr>
          <w:p w14:paraId="5C1DD680">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38.3</w:t>
            </w:r>
          </w:p>
        </w:tc>
        <w:tc>
          <w:tcPr>
            <w:tcW w:w="931" w:type="pct"/>
            <w:vAlign w:val="center"/>
          </w:tcPr>
          <w:p w14:paraId="7FBAD9AB">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r>
      <w:tr w14:paraId="64B98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noWrap/>
            <w:vAlign w:val="center"/>
          </w:tcPr>
          <w:p w14:paraId="54C839F9">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马龙区</w:t>
            </w:r>
          </w:p>
        </w:tc>
        <w:tc>
          <w:tcPr>
            <w:tcW w:w="705" w:type="pct"/>
            <w:vAlign w:val="center"/>
          </w:tcPr>
          <w:p w14:paraId="2064E79E">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389</w:t>
            </w:r>
          </w:p>
        </w:tc>
        <w:tc>
          <w:tcPr>
            <w:tcW w:w="796" w:type="pct"/>
            <w:vAlign w:val="center"/>
          </w:tcPr>
          <w:p w14:paraId="5A1649ED">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309</w:t>
            </w:r>
          </w:p>
        </w:tc>
        <w:tc>
          <w:tcPr>
            <w:tcW w:w="903" w:type="pct"/>
            <w:vAlign w:val="center"/>
          </w:tcPr>
          <w:p w14:paraId="241EE569">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140</w:t>
            </w:r>
          </w:p>
        </w:tc>
        <w:tc>
          <w:tcPr>
            <w:tcW w:w="1131" w:type="pct"/>
            <w:vAlign w:val="center"/>
          </w:tcPr>
          <w:p w14:paraId="5053BE97">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26.0</w:t>
            </w:r>
          </w:p>
        </w:tc>
        <w:tc>
          <w:tcPr>
            <w:tcW w:w="931" w:type="pct"/>
            <w:vAlign w:val="center"/>
          </w:tcPr>
          <w:p w14:paraId="37C391B4">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r>
      <w:tr w14:paraId="42EE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noWrap/>
            <w:vAlign w:val="center"/>
          </w:tcPr>
          <w:p w14:paraId="3B95E7D0">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陆良县</w:t>
            </w:r>
          </w:p>
        </w:tc>
        <w:tc>
          <w:tcPr>
            <w:tcW w:w="705" w:type="pct"/>
            <w:vAlign w:val="center"/>
          </w:tcPr>
          <w:p w14:paraId="00EAED1C">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323</w:t>
            </w:r>
          </w:p>
        </w:tc>
        <w:tc>
          <w:tcPr>
            <w:tcW w:w="796" w:type="pct"/>
            <w:vAlign w:val="center"/>
          </w:tcPr>
          <w:p w14:paraId="4F96F6C8">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579</w:t>
            </w:r>
          </w:p>
        </w:tc>
        <w:tc>
          <w:tcPr>
            <w:tcW w:w="903" w:type="pct"/>
            <w:vAlign w:val="center"/>
          </w:tcPr>
          <w:p w14:paraId="6D86258E">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145</w:t>
            </w:r>
          </w:p>
        </w:tc>
        <w:tc>
          <w:tcPr>
            <w:tcW w:w="1131" w:type="pct"/>
            <w:vAlign w:val="center"/>
          </w:tcPr>
          <w:p w14:paraId="4E5BA827">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28.3</w:t>
            </w:r>
          </w:p>
        </w:tc>
        <w:tc>
          <w:tcPr>
            <w:tcW w:w="931" w:type="pct"/>
            <w:vAlign w:val="center"/>
          </w:tcPr>
          <w:p w14:paraId="2D4ECBD7">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68</w:t>
            </w:r>
          </w:p>
        </w:tc>
      </w:tr>
      <w:tr w14:paraId="688F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noWrap/>
            <w:vAlign w:val="bottom"/>
          </w:tcPr>
          <w:p w14:paraId="5EEC846C">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师宗县</w:t>
            </w:r>
          </w:p>
        </w:tc>
        <w:tc>
          <w:tcPr>
            <w:tcW w:w="705" w:type="pct"/>
            <w:vAlign w:val="center"/>
          </w:tcPr>
          <w:p w14:paraId="32A0FDE6">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208</w:t>
            </w:r>
          </w:p>
        </w:tc>
        <w:tc>
          <w:tcPr>
            <w:tcW w:w="796" w:type="pct"/>
            <w:vAlign w:val="center"/>
          </w:tcPr>
          <w:p w14:paraId="65393226">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453</w:t>
            </w:r>
          </w:p>
        </w:tc>
        <w:tc>
          <w:tcPr>
            <w:tcW w:w="903" w:type="pct"/>
            <w:vAlign w:val="center"/>
          </w:tcPr>
          <w:p w14:paraId="5E45D496">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151</w:t>
            </w:r>
          </w:p>
        </w:tc>
        <w:tc>
          <w:tcPr>
            <w:tcW w:w="1131" w:type="pct"/>
            <w:vAlign w:val="center"/>
          </w:tcPr>
          <w:p w14:paraId="37F97734">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40.0</w:t>
            </w:r>
          </w:p>
        </w:tc>
        <w:tc>
          <w:tcPr>
            <w:tcW w:w="931" w:type="pct"/>
            <w:vAlign w:val="center"/>
          </w:tcPr>
          <w:p w14:paraId="785ED144">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63</w:t>
            </w:r>
          </w:p>
        </w:tc>
      </w:tr>
      <w:tr w14:paraId="3BDBD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noWrap/>
            <w:vAlign w:val="bottom"/>
          </w:tcPr>
          <w:p w14:paraId="53EE70E0">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罗平县</w:t>
            </w:r>
          </w:p>
        </w:tc>
        <w:tc>
          <w:tcPr>
            <w:tcW w:w="705" w:type="pct"/>
            <w:vAlign w:val="center"/>
          </w:tcPr>
          <w:p w14:paraId="7D6D1AFC">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203</w:t>
            </w:r>
          </w:p>
        </w:tc>
        <w:tc>
          <w:tcPr>
            <w:tcW w:w="796" w:type="pct"/>
            <w:vAlign w:val="center"/>
          </w:tcPr>
          <w:p w14:paraId="5DB13F0A">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636</w:t>
            </w:r>
          </w:p>
        </w:tc>
        <w:tc>
          <w:tcPr>
            <w:tcW w:w="903" w:type="pct"/>
            <w:vAlign w:val="center"/>
          </w:tcPr>
          <w:p w14:paraId="73CC4875">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159</w:t>
            </w:r>
          </w:p>
        </w:tc>
        <w:tc>
          <w:tcPr>
            <w:tcW w:w="1131" w:type="pct"/>
            <w:vAlign w:val="center"/>
          </w:tcPr>
          <w:p w14:paraId="7F04AAEF">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40.0</w:t>
            </w:r>
          </w:p>
        </w:tc>
        <w:tc>
          <w:tcPr>
            <w:tcW w:w="931" w:type="pct"/>
            <w:vAlign w:val="center"/>
          </w:tcPr>
          <w:p w14:paraId="711E8B88">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59</w:t>
            </w:r>
          </w:p>
        </w:tc>
      </w:tr>
      <w:tr w14:paraId="23DE9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noWrap/>
            <w:vAlign w:val="bottom"/>
          </w:tcPr>
          <w:p w14:paraId="7B1CAB3F">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富源县</w:t>
            </w:r>
          </w:p>
        </w:tc>
        <w:tc>
          <w:tcPr>
            <w:tcW w:w="705" w:type="pct"/>
            <w:vAlign w:val="center"/>
          </w:tcPr>
          <w:p w14:paraId="15E28839">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127</w:t>
            </w:r>
          </w:p>
        </w:tc>
        <w:tc>
          <w:tcPr>
            <w:tcW w:w="796" w:type="pct"/>
            <w:vAlign w:val="center"/>
          </w:tcPr>
          <w:p w14:paraId="2E90C1C2">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339</w:t>
            </w:r>
          </w:p>
        </w:tc>
        <w:tc>
          <w:tcPr>
            <w:tcW w:w="903" w:type="pct"/>
            <w:vAlign w:val="center"/>
          </w:tcPr>
          <w:p w14:paraId="0265FB29">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150</w:t>
            </w:r>
          </w:p>
        </w:tc>
        <w:tc>
          <w:tcPr>
            <w:tcW w:w="1131" w:type="pct"/>
            <w:vAlign w:val="center"/>
          </w:tcPr>
          <w:p w14:paraId="1D60F28B">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26.0</w:t>
            </w:r>
          </w:p>
        </w:tc>
        <w:tc>
          <w:tcPr>
            <w:tcW w:w="931" w:type="pct"/>
            <w:vAlign w:val="center"/>
          </w:tcPr>
          <w:p w14:paraId="2B457D24">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70</w:t>
            </w:r>
          </w:p>
        </w:tc>
      </w:tr>
      <w:tr w14:paraId="3550A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noWrap/>
            <w:vAlign w:val="center"/>
          </w:tcPr>
          <w:p w14:paraId="2CB4F863">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流域内</w:t>
            </w:r>
          </w:p>
        </w:tc>
        <w:tc>
          <w:tcPr>
            <w:tcW w:w="705" w:type="pct"/>
            <w:vAlign w:val="center"/>
          </w:tcPr>
          <w:p w14:paraId="35A9A81C">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243</w:t>
            </w:r>
          </w:p>
        </w:tc>
        <w:tc>
          <w:tcPr>
            <w:tcW w:w="796" w:type="pct"/>
            <w:vAlign w:val="center"/>
          </w:tcPr>
          <w:p w14:paraId="48A31236">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508</w:t>
            </w:r>
          </w:p>
        </w:tc>
        <w:tc>
          <w:tcPr>
            <w:tcW w:w="903" w:type="pct"/>
            <w:vAlign w:val="center"/>
          </w:tcPr>
          <w:p w14:paraId="32FE8BDE">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151</w:t>
            </w:r>
          </w:p>
        </w:tc>
        <w:tc>
          <w:tcPr>
            <w:tcW w:w="1131" w:type="pct"/>
            <w:vAlign w:val="center"/>
          </w:tcPr>
          <w:p w14:paraId="6A488CDA">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32.0</w:t>
            </w:r>
          </w:p>
        </w:tc>
        <w:tc>
          <w:tcPr>
            <w:tcW w:w="931" w:type="pct"/>
            <w:vAlign w:val="center"/>
          </w:tcPr>
          <w:p w14:paraId="7C5072CA">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67</w:t>
            </w:r>
          </w:p>
        </w:tc>
      </w:tr>
      <w:tr w14:paraId="57EF9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23" w:hRule="atLeast"/>
          <w:jc w:val="center"/>
        </w:trPr>
        <w:tc>
          <w:tcPr>
            <w:tcW w:w="533" w:type="pct"/>
            <w:vAlign w:val="center"/>
          </w:tcPr>
          <w:p w14:paraId="727B6A19">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云南省</w:t>
            </w:r>
          </w:p>
        </w:tc>
        <w:tc>
          <w:tcPr>
            <w:tcW w:w="705" w:type="pct"/>
            <w:vAlign w:val="center"/>
          </w:tcPr>
          <w:p w14:paraId="03A248B5">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345</w:t>
            </w:r>
          </w:p>
        </w:tc>
        <w:tc>
          <w:tcPr>
            <w:tcW w:w="796" w:type="pct"/>
            <w:vAlign w:val="center"/>
          </w:tcPr>
          <w:p w14:paraId="03CBF28B">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351</w:t>
            </w:r>
          </w:p>
        </w:tc>
        <w:tc>
          <w:tcPr>
            <w:tcW w:w="903" w:type="pct"/>
            <w:vAlign w:val="center"/>
          </w:tcPr>
          <w:p w14:paraId="4224671C">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155</w:t>
            </w:r>
          </w:p>
        </w:tc>
        <w:tc>
          <w:tcPr>
            <w:tcW w:w="1131" w:type="pct"/>
            <w:vAlign w:val="center"/>
          </w:tcPr>
          <w:p w14:paraId="099461E3">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18.0</w:t>
            </w:r>
          </w:p>
        </w:tc>
        <w:tc>
          <w:tcPr>
            <w:tcW w:w="931" w:type="pct"/>
            <w:vAlign w:val="center"/>
          </w:tcPr>
          <w:p w14:paraId="1C7BE43C">
            <w:pPr>
              <w:pStyle w:val="33"/>
              <w:rPr>
                <w:rFonts w:hint="default" w:ascii="Times New Roman" w:hAnsi="Times New Roman" w:cs="Times New Roman"/>
                <w:color w:val="auto"/>
                <w:highlight w:val="none"/>
              </w:rPr>
            </w:pPr>
            <w:r>
              <w:rPr>
                <w:rFonts w:hint="default" w:ascii="Times New Roman" w:hAnsi="Times New Roman" w:cs="Times New Roman"/>
                <w:color w:val="auto"/>
                <w:highlight w:val="none"/>
              </w:rPr>
              <w:t>88</w:t>
            </w:r>
          </w:p>
        </w:tc>
      </w:tr>
    </w:tbl>
    <w:p w14:paraId="531C222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从上表可以看出，南盘江（曲靖市境内）流域人均用水量低于云南省和全国平均水平；万元工业增加值用水量虽低于全省平均水平，但远高于全国平均水平，农田灌溉用水量低于全省和全国平均水平；人均生活用水量均高于全国和全省平均水平。流域水量丰富但水资源利用效率不高，以农业用水为主，农业用水量大，农业节水空间大。</w:t>
      </w:r>
    </w:p>
    <w:p w14:paraId="7957488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南盘江（曲靖市境内）流域综合规划从生活、工业、农业灌溉三个方面考虑了节水：</w:t>
      </w:r>
    </w:p>
    <w:p w14:paraId="248711E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（1）生活节水分析</w:t>
      </w:r>
    </w:p>
    <w:p w14:paraId="025B08F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全面推进节水型城市建设。坚持以水定城、以水定人，合理控制城镇发展规模。将节水要求贯穿城市规划、建设和管理各环节。推广节水型坐便器、淋浴器、水嘴等节水器具，提高节水器具普及率。实施公共供水管网漏损治理，加快老旧供水管网更新改造，推进城镇供水管网分区计量管理。加强公共供水系统运行监督管理，推进城镇供水管网分区计量管理。重点推进老旧供水管网的更新改造工程建设。根据《云南省“十五五”节水型社会建设规划》供水管网漏失率实现持续稳步下降，预测至2035年规划区管网漏失率最低可达8%。</w:t>
      </w:r>
    </w:p>
    <w:p w14:paraId="7972EE1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加强公共领域节水。从严控制洗浴、高尔夫球场等高耗水服务业用水，严格定额管理，实行超定额累进加价制度。在高耗水服务业优先利用非常规水，全面推广循环用水技术工艺。鼓励公共机构采用节水新技术、新工艺和新产品，推进公共机构节水型单位创建。</w:t>
      </w:r>
    </w:p>
    <w:p w14:paraId="7C31A65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推进农村生活节水。结合城乡供水一体化建设，推进农村供水管网改造和计量设施配套。实施农村集中供水工程节水改造，推广使用节水器具，逐步减少农村供水系统跑冒滴漏。因地制宜推广农村生活污水就近处理回用，用于庭院浇灌和村庄绿化。推进农村小型水利设施维修养护，保障农村供水安全和水资源高效利用。</w:t>
      </w:r>
    </w:p>
    <w:p w14:paraId="1CCAEB3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（2）工业节水分析</w:t>
      </w:r>
    </w:p>
    <w:p w14:paraId="1CB94C66">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推进工业节水改造。优化工业产业结构和布局，鼓励高产出低耗水新型产业发展，培育壮大绿色发展动能。强化重点工业行业产品用水定额管理，推进工业企业用水计划管理和重点用水企业用水量在线监测。加强节水技术开发和节水设备、器具的研制等，推进工艺改造和设备更新。大力推广高效冷却、循环用水、废污水再生利用、高耗水生产工艺替代等节水工艺和技术。</w:t>
      </w:r>
    </w:p>
    <w:p w14:paraId="0BB4A25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强化高耗水行业管控。严格落实主体功能区规划，在生态脆弱地区严格控制高耗水新建、扩建项目，推进高耗水企业废水深度处理和达标再利用。依法依规淘汰落后产能和列入淘汰类目录的项目，对采用淘汰目录工艺、技术和装备的项目，不予批准取水许可。重点围绕绿色铝、新能源电池、光伏等主导产业推动节水增效，降低单位产品水耗。</w:t>
      </w:r>
    </w:p>
    <w:p w14:paraId="51E654E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积极推行水循环梯级利用。引导分散工业企业向工业园区集中，推进现有园区开展节水改造和循环化升级。加强园区企业间串联用水、分质供水和梯级利用，实现一水多用。新建园区须同步规划供排水及水循环利用设施，推动企业间用水系统集成优化。加强园区配套中水收集设施及管网建设，促进工业废水深度处理回用。</w:t>
      </w:r>
    </w:p>
    <w:p w14:paraId="5481176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（3）农业灌溉节水分析</w:t>
      </w:r>
    </w:p>
    <w:p w14:paraId="7DDBFB2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加快灌区续建配套与现代化改造。加快曲靖大型灌区续建配套和现代化改造项目实施，推进陆良韭菜坪、马龙大把持等一批中型灌区续建配套和现代化改造工程。开展灌区信息化建设，逐步实现灌溉用水远程监控、精准调度。统筹推进灌区排水沟渠改造，减少跑冒滴漏，提升农业用水利用效率。</w:t>
      </w:r>
    </w:p>
    <w:p w14:paraId="7B3E4AB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持续推进节水灌溉。结合高标准农田建设，在新建和改建灌区积极推行管道化输水、渠道防渗等节水灌溉技术。因地制宜发展喷灌、微灌、滴灌等高效节水灌溉模式。在有条件的规模化种植基地推广水肥一体化精准灌溉技术，实现水肥协同供给、按需调控。衔接曲靖市深化农业水价综合改革部署，建立健全农业用水精准补贴和节水奖励机制，以经济手段促进农业用水方式转变。至2035水平年常规灌溉水利用系数达到0.68~0.7，基本实现水资源的高效利用。</w:t>
      </w:r>
    </w:p>
    <w:p w14:paraId="1FC49EE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优化调整农业种植结构。因地制宜发展旱作农业，推广覆膜保墒、集雨补灌等旱作节水技术。充分利用南盘江流域低热河谷槽区优势，优化蓝莓、草莓等高端精品水果品种结构和种植区域布局，在有条件的区域发展莲藕、食用玫瑰等高原特色农业，推广“烤烟+蔬菜”等轮作模式，通过合理安排茬口实现多样化组合轮作，提高水资源利用效率。</w:t>
      </w:r>
    </w:p>
    <w:p w14:paraId="5396D47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推进畜牧业节水。实施规模化畜禽养殖场标准化节水改造，配套建设养殖废水收集处理设施，推动养殖尾水处理后循环利用。推进流域内畜禽养殖污水治理，推广干清粪、雨污分流等养殖节水工艺。加强养殖废弃物资源化利用，促进种养循环绿色发展。</w:t>
      </w:r>
    </w:p>
    <w:p w14:paraId="69CA1C3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（4）再生及其他水源利用</w:t>
      </w:r>
    </w:p>
    <w:p w14:paraId="5BB3465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将再生水、集蓄雨水、矿坑（井）水等非常规水源纳入水资源统一配置，逐步提高利用比例。推进污水资源化利用，结合现有污水处理设施提标改造，统筹规划城镇再生水利用设施，园林绿化、道路清扫、洗车及景观用水优先使用再生水。推进工业园区再生水利用项目建设。加强雨水集蓄利用，城市新建及改扩建工程推广透水铺装、下沉式绿地等设施，减少雨水径流外排；农村地区结合地形建设水池、水窖等设施集蓄雨水，用于农业灌溉和牲畜用水。统筹加强矿坑（井）水利用，推动矿区生产优先使用矿坑水，具备条件的工业企业合理配置矿坑（井）水。</w:t>
      </w:r>
    </w:p>
    <w:p w14:paraId="08753E1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（5）节水潜力分析</w:t>
      </w:r>
    </w:p>
    <w:p w14:paraId="7C81137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至2035年规划区全社会总节水潜力为33482万m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，其中，农田灌溉节水潜力为22291万m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，占总潜力的66.6%，工业节水9979万m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，占总潜力的29.8%，城乡生活节水1212万m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占总潜力的3.6%。农业节水潜力遥遥领先，是工业节水的两倍有余，充分反映出南盘江流域作为曲靖重要农业生产区的用水特征。节水潜力的释放将带来显著的社会效益，一方面能够优化供用水结构，提高供水保证率，有力支撑曲靖市水网建设目标，另一方面有利于全面推进用水方式转变，加快节水型社会建设步伐，为曲靖市建设成为云南副中心城市提供坚实的水安全保障，推动区域经济社会高质量发展的重要支撑。</w:t>
      </w:r>
    </w:p>
    <w:p w14:paraId="7135C4C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综上所述，在采取了节水规划后，南盘江（曲靖市境内）流域在规划建设各重大水利工程中运行供水的同时，可有效</w:t>
      </w:r>
      <w:r>
        <w:rPr>
          <w:rFonts w:hint="default" w:ascii="Times New Roman" w:hAnsi="Times New Roman" w:cs="Times New Roman"/>
          <w:color w:val="auto"/>
          <w:highlight w:val="none"/>
          <w:lang w:eastAsia="zh-CN"/>
        </w:rPr>
        <w:t>地</w:t>
      </w:r>
      <w:r>
        <w:rPr>
          <w:rFonts w:hint="default" w:ascii="Times New Roman" w:hAnsi="Times New Roman" w:cs="Times New Roman"/>
          <w:color w:val="auto"/>
          <w:highlight w:val="none"/>
        </w:rPr>
        <w:t>提高工业、农业的节水，可大幅提高水资源的利用效率，减少水资源的消耗量，有利于流域内水资源的保护。</w:t>
      </w:r>
    </w:p>
    <w:p w14:paraId="68FFA184">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累积影响</w:t>
      </w:r>
    </w:p>
    <w:p w14:paraId="762E581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曲靖市境内南盘江及主要支流黄泥河、甸溪河、清水江、九龙河内已建有水库、电站等水利工程，对大坝的阻隔、河道的生境破碎化、坝下减水的累积效应已有一定显现。此次规划重大水工程的大型灌区工程、引调水工程、扩建水库工程将会使已被破坏的河流生境、坝下水量进一步受到减水影响。本规划的实施对坝下水资源的累积影响是存在的，应尽量选择影响较小的方案，同时也必须关注区域内</w:t>
      </w:r>
      <w:r>
        <w:rPr>
          <w:rFonts w:hint="default" w:ascii="Times New Roman" w:hAnsi="Times New Roman" w:cs="Times New Roman"/>
          <w:color w:val="auto"/>
          <w:highlight w:val="none"/>
          <w:lang w:eastAsia="zh-CN"/>
        </w:rPr>
        <w:t>其他大型</w:t>
      </w:r>
      <w:r>
        <w:rPr>
          <w:rFonts w:hint="default" w:ascii="Times New Roman" w:hAnsi="Times New Roman" w:cs="Times New Roman"/>
          <w:color w:val="auto"/>
          <w:highlight w:val="none"/>
        </w:rPr>
        <w:t>规划的开展引起的累积影响。灌区工程在保障灌溉保证率前提下，枯期取水，若水利工程未正常下放生态流量，减水效应会由冬春向夏初延伸，形成跨季节累积。规划重大水工程的水库、引调水工程及灌区若不在调度规则、生态流量、取水总量与时空分配上做硬性约束，存在枯期对河流连通处、支沟汇口等处叠加放大，表现为生态可用水量被逐步挤占、河道连续性进一步丧失、自净与补给能力下降等典型的水资源累积性影响。</w:t>
      </w:r>
    </w:p>
    <w:p w14:paraId="52D1810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水资源分布时空分配不均，局部地区缺水严重，通过新建罗师灌区、富源灌区、沾马灌区，并配套新建水源、扩建水库的调节作用，有效提升区域水资源调蓄能力。这不仅能够解决滇中高原部分地区缺水问题，更能显著减少对南盘江干流直接的取水依赖，为干流保留必要的生态水量创造条件。新建灌区通过推广高效节水技术与优化调度，将有效提高灌溉保证率，同时降低因传统漫灌导致的水资源浪费与面源污染风险，从整体上促进流域水资源的高效利用与生态平衡。</w:t>
      </w:r>
    </w:p>
    <w:p w14:paraId="0DAE5E79">
      <w:pPr>
        <w:pStyle w:val="3"/>
        <w:numPr>
          <w:ilvl w:val="1"/>
          <w:numId w:val="4"/>
        </w:numPr>
        <w:spacing w:before="374" w:after="249"/>
        <w:rPr>
          <w:rFonts w:hint="default" w:ascii="Times New Roman" w:hAnsi="Times New Roman" w:eastAsia="宋体" w:cs="Times New Roman"/>
          <w:color w:val="auto"/>
          <w:highlight w:val="none"/>
        </w:rPr>
      </w:pPr>
      <w:bookmarkStart w:id="108" w:name="_Toc8407"/>
      <w:r>
        <w:rPr>
          <w:rFonts w:hint="default" w:ascii="Times New Roman" w:hAnsi="Times New Roman" w:eastAsia="宋体" w:cs="Times New Roman"/>
          <w:color w:val="auto"/>
          <w:highlight w:val="none"/>
        </w:rPr>
        <w:t>生态流量保障程度分析</w:t>
      </w:r>
      <w:bookmarkEnd w:id="108"/>
    </w:p>
    <w:p w14:paraId="5F7570F1">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已开展前期工程生态流量分析</w:t>
      </w:r>
    </w:p>
    <w:p w14:paraId="5FD0EFCC">
      <w:pPr>
        <w:pStyle w:val="6"/>
        <w:numPr>
          <w:ilvl w:val="3"/>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水库工程</w:t>
      </w:r>
    </w:p>
    <w:p w14:paraId="058F289C">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（1）阿岗水库</w:t>
      </w:r>
    </w:p>
    <w:p w14:paraId="0D17DBBD">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阿岗水库位于九龙河上游篆长河，工程任务是一座以城乡生活供水、工业供水、农业灌溉为主，兼顾改善九龙瀑布景观用水条件、发电等综合利用的大（2）型水库。根据《阿岗水库环境影响报告书</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关于云南省曲靖市阿岗水库工程环境影响报告书的批复》（环审</w:t>
      </w:r>
      <w:r>
        <w:rPr>
          <w:rFonts w:hint="default" w:ascii="Times New Roman" w:hAnsi="Times New Roman" w:cs="Times New Roman"/>
          <w:color w:val="auto"/>
          <w:highlight w:val="none"/>
          <w:lang w:val="en-US" w:eastAsia="zh-CN"/>
        </w:rPr>
        <w:t>〔2016〕58号</w:t>
      </w:r>
      <w:r>
        <w:rPr>
          <w:rFonts w:hint="default" w:ascii="Times New Roman" w:hAnsi="Times New Roman" w:eastAsia="宋体" w:cs="Times New Roman"/>
          <w:color w:val="auto"/>
          <w:highlight w:val="none"/>
          <w:lang w:val="en-US" w:eastAsia="zh-CN"/>
        </w:rPr>
        <w:t>）等相关文件，阿岗水库生态流量下泄量及相应下泄措施均已明确，即坝址断面生态流量下泄量为枯期（11月～次年5月）最小下泄生态流量按断面多年平均天然径流量的10%下泄，不小于2.08m³/s；汛期（6月～10月）最小下泄生态流量按断面多年平均天然径流量的30%下泄，一般情况下不小于6.23m³/s。水库蓄水期间通过导流洞封堵闸门小开度下泄生态流量，蓄水位达到输水发电隧洞底板高程后即运行期通过发电机组下泄生态流量，全部停机等极端工况下采用生态流量泄放管保障生态流量下泄。坝下和大寨电站拦河闸安装生态流量在线监测系统。</w:t>
      </w:r>
    </w:p>
    <w:p w14:paraId="6C5954CD">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（2）湾子水库</w:t>
      </w:r>
    </w:p>
    <w:p w14:paraId="0BE22FDA">
      <w:pPr>
        <w:ind w:firstLine="56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湾子水库</w:t>
      </w:r>
      <w:r>
        <w:rPr>
          <w:rFonts w:hint="default" w:ascii="Times New Roman" w:hAnsi="Times New Roman" w:cs="Times New Roman"/>
          <w:color w:val="auto"/>
          <w:highlight w:val="none"/>
          <w:lang w:val="en-US" w:eastAsia="zh-CN"/>
        </w:rPr>
        <w:t>是罗师灌区的水资源配置水库，水库来水主要依靠</w:t>
      </w:r>
      <w:r>
        <w:rPr>
          <w:rFonts w:hint="default" w:ascii="Times New Roman" w:hAnsi="Times New Roman" w:cs="Times New Roman"/>
          <w:color w:val="auto"/>
          <w:highlight w:val="none"/>
        </w:rPr>
        <w:t>降雨蓄水</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多年平均径流量为9569万m³。</w:t>
      </w:r>
      <w:r>
        <w:rPr>
          <w:rFonts w:hint="default" w:ascii="Times New Roman" w:hAnsi="Times New Roman" w:cs="Times New Roman"/>
          <w:color w:val="auto"/>
          <w:highlight w:val="none"/>
        </w:rPr>
        <w:t>根据水库统计资料</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湾子</w:t>
      </w:r>
      <w:r>
        <w:rPr>
          <w:rFonts w:hint="default" w:ascii="Times New Roman" w:hAnsi="Times New Roman" w:cs="Times New Roman"/>
          <w:color w:val="auto"/>
          <w:highlight w:val="none"/>
        </w:rPr>
        <w:t>水库低涵下泄河道生态用水及农灌用水，低涵常年均有流量下泄</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当前湾子水库</w:t>
      </w:r>
      <w:r>
        <w:rPr>
          <w:rFonts w:hint="default" w:ascii="Times New Roman" w:hAnsi="Times New Roman" w:cs="Times New Roman"/>
          <w:color w:val="auto"/>
          <w:highlight w:val="none"/>
        </w:rPr>
        <w:t>未核定下泄生态流量</w:t>
      </w:r>
      <w:r>
        <w:rPr>
          <w:rFonts w:hint="default" w:ascii="Times New Roman" w:hAnsi="Times New Roman" w:cs="Times New Roman"/>
          <w:color w:val="auto"/>
          <w:highlight w:val="none"/>
          <w:lang w:eastAsia="zh-CN"/>
        </w:rPr>
        <w:t>。</w:t>
      </w:r>
    </w:p>
    <w:p w14:paraId="168E76E5">
      <w:pPr>
        <w:ind w:firstLine="56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根据《曲靖市罗师灌区工程环境影响报告书》初步成果，对参与水资源配置的湾子水库</w:t>
      </w:r>
      <w:r>
        <w:rPr>
          <w:rFonts w:hint="default" w:ascii="Times New Roman" w:hAnsi="Times New Roman" w:cs="Times New Roman"/>
          <w:color w:val="auto"/>
          <w:highlight w:val="none"/>
        </w:rPr>
        <w:t>全年按多年平</w:t>
      </w:r>
      <w:r>
        <w:rPr>
          <w:rFonts w:hint="default" w:ascii="Times New Roman" w:hAnsi="Times New Roman" w:eastAsia="宋体" w:cs="Times New Roman"/>
          <w:color w:val="auto"/>
          <w:highlight w:val="none"/>
          <w:lang w:val="en-US" w:eastAsia="zh-CN"/>
        </w:rPr>
        <w:t>均来水量的10%下泄生态流量，即0.303m³/s。</w:t>
      </w:r>
    </w:p>
    <w:p w14:paraId="5ACC0722">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（3）大坝冲水库</w:t>
      </w:r>
    </w:p>
    <w:p w14:paraId="461A1E46">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2012年，大坝冲水库实施扩建工程，至2019年竣工，扩建后</w:t>
      </w:r>
      <w:r>
        <w:rPr>
          <w:rFonts w:hint="default" w:ascii="Times New Roman" w:hAnsi="Times New Roman" w:cs="Times New Roman"/>
          <w:color w:val="auto"/>
          <w:highlight w:val="none"/>
          <w:lang w:val="en-US" w:eastAsia="zh-CN"/>
        </w:rPr>
        <w:t>的</w:t>
      </w:r>
      <w:r>
        <w:rPr>
          <w:rFonts w:hint="default" w:ascii="Times New Roman" w:hAnsi="Times New Roman" w:eastAsia="宋体" w:cs="Times New Roman"/>
          <w:color w:val="auto"/>
          <w:highlight w:val="none"/>
          <w:lang w:val="en-US" w:eastAsia="zh-CN"/>
        </w:rPr>
        <w:t>水库规模为中型，总库容2028万m³。根据《大坝冲水库扩建工程初设报告》，水资源配置方案中明确了大坝冲水库坝下河道生态环境用水按多年平均流量的10%计，并提出在输水隧洞出口底板埋设直径0.3m的生态流量下泄管道，以保障下泄生态流量。根据取水许可证规定的下泄流量要求，大坝冲水库需下泄生态流量0.0643m³/s，现有生态流量泄放监测设施为机械水表。</w:t>
      </w:r>
    </w:p>
    <w:p w14:paraId="780D3417">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（4）龙潭河水库</w:t>
      </w:r>
    </w:p>
    <w:p w14:paraId="5C06C6CB">
      <w:pPr>
        <w:keepNext w:val="0"/>
        <w:keepLines w:val="0"/>
        <w:widowControl/>
        <w:suppressLineNumbers w:val="0"/>
        <w:jc w:val="left"/>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龙潭河水库位于南盘江左岸一级支流龙潭河上，水库规模为中型，总库容2106.4万m³，年设计供水量3652.6万m³。根据《曲靖市环境保护局关于曲靖市麒麟区龙潭河水库建设项目环境影响报告书的批复》（曲环审</w:t>
      </w:r>
      <w:r>
        <w:rPr>
          <w:rFonts w:hint="default" w:ascii="Times New Roman" w:hAnsi="Times New Roman" w:cs="Times New Roman"/>
          <w:color w:val="auto"/>
          <w:highlight w:val="none"/>
          <w:lang w:val="en-US" w:eastAsia="zh-CN"/>
        </w:rPr>
        <w:t>〔2016〕28号</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kern w:val="0"/>
          <w:sz w:val="24"/>
          <w:szCs w:val="24"/>
          <w:highlight w:val="none"/>
          <w:lang w:val="en-US" w:eastAsia="zh-CN" w:bidi="ar"/>
        </w:rPr>
        <w:t>龙潭河水库坝址多年平均径流量9960万m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w:t>
      </w:r>
      <w:r>
        <w:rPr>
          <w:rFonts w:hint="default" w:ascii="Times New Roman" w:hAnsi="Times New Roman" w:cs="Times New Roman"/>
          <w:color w:val="auto"/>
          <w:kern w:val="0"/>
          <w:sz w:val="24"/>
          <w:szCs w:val="24"/>
          <w:highlight w:val="none"/>
          <w:lang w:val="en-US" w:eastAsia="zh-CN" w:bidi="ar"/>
        </w:rPr>
        <w:t>按照</w:t>
      </w:r>
      <w:r>
        <w:rPr>
          <w:rFonts w:hint="default" w:ascii="Times New Roman" w:hAnsi="Times New Roman" w:eastAsia="宋体" w:cs="Times New Roman"/>
          <w:color w:val="auto"/>
          <w:kern w:val="0"/>
          <w:sz w:val="24"/>
          <w:szCs w:val="24"/>
          <w:highlight w:val="none"/>
          <w:lang w:val="en-US" w:eastAsia="zh-CN" w:bidi="ar"/>
        </w:rPr>
        <w:t>水库多年平均来水量的10%下泄生态流量，即生态流量下泄值为0.316m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/s。通过输水隧洞生态用水控制闸阀下放流量，采用φ500铸铁管直接从主管道控制闸阀前取水。</w:t>
      </w:r>
    </w:p>
    <w:p w14:paraId="163221D2">
      <w:pPr>
        <w:pStyle w:val="6"/>
        <w:numPr>
          <w:ilvl w:val="3"/>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水电站</w:t>
      </w:r>
    </w:p>
    <w:p w14:paraId="7A4EBA06">
      <w:pPr>
        <w:spacing w:line="520" w:lineRule="exact"/>
        <w:ind w:firstLine="48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lang w:val="en-US" w:eastAsia="zh-CN"/>
        </w:rPr>
        <w:t>2019年5月9日，云南省水利厅、云南省能源局印发《云南省小水电清理整改实施方案的通知》（云水发〔2019〕56号），要求全面开展云南省小水电核查清理工作。2019年6月27日，曲靖市人民政府印发《曲靖市水务局、曲靖市发展和改革委员会、曲靖市生态环境局、曲靖市能源局、曲靖市自然资源和规划局、曲靖市林业和草原局关于做好曲靖市小水电清理整改综合评估工作的通知》（曲水〔2019〕55号），全力推进曲靖市小水电站清理整改工作。2020年底前曲靖市内完成小水电清理整改并销号，生态流量专项问题于2022年整改到位。</w:t>
      </w:r>
    </w:p>
    <w:p w14:paraId="06BAE7D9">
      <w:pPr>
        <w:spacing w:line="520" w:lineRule="exact"/>
        <w:ind w:firstLine="480"/>
        <w:rPr>
          <w:rFonts w:hint="default" w:ascii="Times New Roman" w:hAnsi="Times New Roman" w:eastAsia="宋体" w:cs="Times New Roman"/>
          <w:color w:val="auto"/>
          <w:szCs w:val="24"/>
          <w:highlight w:val="none"/>
          <w:lang w:val="en-US" w:eastAsia="zh-CN"/>
        </w:rPr>
      </w:pPr>
      <w:r>
        <w:rPr>
          <w:rFonts w:hint="default" w:ascii="Times New Roman" w:hAnsi="Times New Roman" w:eastAsia="宋体" w:cs="Times New Roman"/>
          <w:color w:val="auto"/>
          <w:szCs w:val="24"/>
          <w:highlight w:val="none"/>
          <w:lang w:val="en-US" w:eastAsia="zh-CN"/>
        </w:rPr>
        <w:t>根据曲靖市麒麟区、沾益区、富源县、陆良县、罗平县等县区小水电清理整改“一站一策”方案及批复文件、《曲靖市整改类电站生态流量整改情况表》等相关文件，南盘江（曲靖市境内）流域上共有36个小水电站完成整改，通过生态流量的核定，均有下放生态流量。由于生态流量的下放，电站取水坝下减水情况有所缓解。</w:t>
      </w:r>
    </w:p>
    <w:p w14:paraId="4B5D240F">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表5.2.1-1</w:t>
      </w:r>
      <w:r>
        <w:rPr>
          <w:rFonts w:hint="default" w:ascii="Times New Roman" w:hAnsi="Times New Roman" w:eastAsia="宋体" w:cs="Times New Roman"/>
          <w:color w:val="auto"/>
          <w:szCs w:val="24"/>
          <w:highlight w:val="none"/>
          <w:lang w:val="en-US" w:eastAsia="zh-CN"/>
        </w:rPr>
        <w:t>南盘江（曲靖市境内）</w:t>
      </w:r>
      <w:r>
        <w:rPr>
          <w:rFonts w:hint="default" w:ascii="Times New Roman" w:hAnsi="Times New Roman" w:cs="Times New Roman"/>
          <w:color w:val="auto"/>
          <w:highlight w:val="none"/>
          <w:lang w:val="en-US" w:eastAsia="zh-CN"/>
        </w:rPr>
        <w:t>流域电站工程生态流量下泄情况表</w:t>
      </w:r>
    </w:p>
    <w:tbl>
      <w:tblPr>
        <w:tblStyle w:val="2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28" w:type="dxa"/>
          <w:bottom w:w="0" w:type="dxa"/>
          <w:right w:w="28" w:type="dxa"/>
        </w:tblCellMar>
      </w:tblPr>
      <w:tblGrid>
        <w:gridCol w:w="1373"/>
        <w:gridCol w:w="938"/>
        <w:gridCol w:w="993"/>
        <w:gridCol w:w="1004"/>
        <w:gridCol w:w="1922"/>
        <w:gridCol w:w="2132"/>
      </w:tblGrid>
      <w:tr w14:paraId="63C03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9916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水电站名称</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B675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所在县区</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0FA0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所在河流</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942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装机容量</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02AE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生态流量</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B441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生态流量泄放设施</w:t>
            </w:r>
          </w:p>
        </w:tc>
      </w:tr>
      <w:tr w14:paraId="49868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0A55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古木电站</w:t>
            </w:r>
          </w:p>
        </w:tc>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FED7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富源县</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14B2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古木河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C228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7D8A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0.12m³/s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D694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取水坝体安装泄放管</w:t>
            </w:r>
          </w:p>
        </w:tc>
      </w:tr>
      <w:tr w14:paraId="358B0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2B0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三岔河电站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2E7E8">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95AA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黄泥河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0FD6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7500kW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11D5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2.28m³/s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1241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冲砂闸</w:t>
            </w:r>
          </w:p>
        </w:tc>
      </w:tr>
      <w:tr w14:paraId="693FE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F9A4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响水河电站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66D53">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960E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响水河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2E0C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DE5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0.17m³/s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743A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冲砂闸</w:t>
            </w:r>
          </w:p>
        </w:tc>
      </w:tr>
      <w:tr w14:paraId="08D45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C8CE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细戈电站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E9641">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57A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丕德河</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2D6A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EB1F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0.18m³/s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3A07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压力前池安装泄放管</w:t>
            </w:r>
          </w:p>
        </w:tc>
      </w:tr>
      <w:tr w14:paraId="1671F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64"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13DB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河边水电站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AEA3">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6EF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黄泥河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4DB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16600kW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68D9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一号坝1.49m³/s，二号坝0.29m³/s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85B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取水坝体安装泄放管</w:t>
            </w:r>
          </w:p>
        </w:tc>
      </w:tr>
      <w:tr w14:paraId="42BF4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7281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块泽河水电站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7F1FA">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A312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块泽河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6039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36000kW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5398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2.69m³/s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0529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冲砂闸</w:t>
            </w:r>
          </w:p>
        </w:tc>
      </w:tr>
      <w:tr w14:paraId="7DE62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8725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新堡水电站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3BF79">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46A6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黄泥河</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ECEC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88D2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3.6m³/s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1C11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冲砂闸</w:t>
            </w:r>
          </w:p>
        </w:tc>
      </w:tr>
      <w:tr w14:paraId="60532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D713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老龙洞水电站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D5A6D">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8A43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拖竹河</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4802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2520kW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5A6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0.18m³/s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F22D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取水坝体安装泄放管</w:t>
            </w:r>
          </w:p>
        </w:tc>
      </w:tr>
      <w:tr w14:paraId="6561D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6FD4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古宁电站</w:t>
            </w:r>
          </w:p>
        </w:tc>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69C0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陆良县</w:t>
            </w: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61E7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南盘江干流</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1FBE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DA63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4.075m³/s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7FB7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坝后式电站，电站尾水即回归下游河道</w:t>
            </w:r>
          </w:p>
        </w:tc>
      </w:tr>
      <w:tr w14:paraId="5B473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BBB1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天生桥水电站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93921">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BFE3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南盘江干流</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DC48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9700kW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65D0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4.76m³/s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51E0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在引水渠采用泄水侧堰泄放生态流量</w:t>
            </w:r>
          </w:p>
        </w:tc>
      </w:tr>
      <w:tr w14:paraId="44533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CA84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九龙河水电站</w:t>
            </w:r>
          </w:p>
        </w:tc>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9490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罗平县</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8ECD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BC2E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4800kW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676E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2.99m³/s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ED89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259C0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3772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腊者电站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1D33C">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8EA5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多依河</w:t>
            </w:r>
          </w:p>
        </w:tc>
        <w:tc>
          <w:tcPr>
            <w:tcW w:w="6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2F27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30000kW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7CE4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0.567m³/s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202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16A90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576"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61C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阿耶灌渠电站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950A">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6ED9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6DE1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1260kW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DE0DD">
            <w:pPr>
              <w:pStyle w:val="30"/>
              <w:bidi w:val="0"/>
              <w:jc w:val="center"/>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89CC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利用腊庄电站压力引水隧洞排放</w:t>
            </w:r>
          </w:p>
        </w:tc>
      </w:tr>
      <w:tr w14:paraId="15031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2817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以德水电站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B2EB">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69FE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7F87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DFFB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1.81m³/s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5781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1937F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304F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花滩电站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8A00C">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953E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B130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6400kW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6F33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3.6m³/s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2801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4440F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F33D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新石桥水电站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DBB62">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C523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初纳河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E3EB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2520kW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35A5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1.47m³/s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D9CC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687CD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91B0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虎跳岩水电站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C9601">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DC4A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初纳河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E59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E25A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4.56m³/s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0746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29A90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F743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小龙洞电站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3FA6">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E122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牛街河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D12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4550kW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AF1A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1.77m³/s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1743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3003C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BCAE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水寨电站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9F7B2">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D8C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牛街河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2606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8400kW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6D4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1.77m³/s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B17B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618AD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E242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老渡口电站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957DA">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0789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块择河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8A71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36000kW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B4D0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0.5m³/s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3C4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63FB2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D521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小洪麦水电站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C905C">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16BE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块择河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5DB8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7200kW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C88A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5.08m³/s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F34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发电尾水</w:t>
            </w:r>
          </w:p>
        </w:tc>
      </w:tr>
      <w:tr w14:paraId="1A450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4E5A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色依水电站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C62E4">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F4E4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块择河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BF1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EF16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3.93m³/s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BCA7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2E00D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3F63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长底水电站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982F2">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BC33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黄泥河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47DC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16000kW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0A6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11.65m³/s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9269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发电尾水</w:t>
            </w:r>
          </w:p>
        </w:tc>
      </w:tr>
      <w:tr w14:paraId="65B3F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F9D0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红岩水电站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B315D">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A380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嘎耶小河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1132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E644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0.32m³/s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4BD6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5048B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D48C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红石岩水电站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EC754">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A6FE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菠萝弯小河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671E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2520kW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5A75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0.15m³/s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4C86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泄水闸</w:t>
            </w:r>
          </w:p>
        </w:tc>
      </w:tr>
      <w:tr w14:paraId="0C6C7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864"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9D04D">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独木电站</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B181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麒麟区</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A9D1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篆长河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7360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8099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12月1.1m³/s，1月1.1m³/s,2月m³/s,3月m³/s,4月m³/s,5月m³/s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C5A2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泄流闸</w:t>
            </w:r>
          </w:p>
        </w:tc>
      </w:tr>
      <w:tr w14:paraId="55AD5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32DE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阿那黑河一级电站</w:t>
            </w:r>
          </w:p>
        </w:tc>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7F19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师宗县</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7B4A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阿那黑河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F241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3200kW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4E96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0.50m³/s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45C8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生态泄流闸</w:t>
            </w:r>
          </w:p>
        </w:tc>
      </w:tr>
      <w:tr w14:paraId="7644E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37BB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阿那黑河二级电站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D993">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0BB4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阿那黑河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9326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2700kW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B804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0.54m³/s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B70B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生态泄流闸</w:t>
            </w:r>
          </w:p>
        </w:tc>
      </w:tr>
      <w:tr w14:paraId="4FE81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383E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大龙潭电站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DDC4A">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7E21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五洛河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CE95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250kW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EBC3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0.18m³/s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A7D1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生态泄流闸</w:t>
            </w:r>
          </w:p>
        </w:tc>
      </w:tr>
      <w:tr w14:paraId="4CDE1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7381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高良电站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CB323">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466B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91F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09E88">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37.33m³/s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44817">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生态泄流闸</w:t>
            </w:r>
          </w:p>
        </w:tc>
      </w:tr>
      <w:tr w14:paraId="4CF3A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5564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科白电站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69712">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413A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设里河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9732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2100kW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84B2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0.2m³/s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A92B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生态泄流闸</w:t>
            </w:r>
          </w:p>
        </w:tc>
      </w:tr>
      <w:tr w14:paraId="3B96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E306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冒水洞水电站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98DBB">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3CA8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纂长河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B2CF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22000kW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3C39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1.75m³/s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2ED3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生态泄流闸</w:t>
            </w:r>
          </w:p>
        </w:tc>
      </w:tr>
      <w:tr w14:paraId="54595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276D5">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七排电站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08350">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AAB5A">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子午河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7D3E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9EFB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0.58m³/s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9490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生态泄流闸</w:t>
            </w:r>
          </w:p>
        </w:tc>
      </w:tr>
      <w:tr w14:paraId="0A61F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288"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CEC8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鲁古电站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C0ACD">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CAA0C">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设里河</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54E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570kW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6B50E">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0.22m³/s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4FFD0">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生态泄流闸</w:t>
            </w:r>
          </w:p>
        </w:tc>
      </w:tr>
      <w:tr w14:paraId="455697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28" w:type="dxa"/>
            <w:bottom w:w="0" w:type="dxa"/>
            <w:right w:w="28" w:type="dxa"/>
          </w:tblCellMar>
        </w:tblPrEx>
        <w:trPr>
          <w:trHeight w:val="864"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EC0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天生坝电站</w:t>
            </w:r>
          </w:p>
        </w:tc>
        <w:tc>
          <w:tcPr>
            <w:tcW w:w="5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DC7A1">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沾益区</w:t>
            </w: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9135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ACD7F">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3220kW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1CCBB">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九龙山滚水坝为 0.49m³/s，天生坝电站 3#机组0.57m³/s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44A6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九龙山滚水坝：冲沙闸</w:t>
            </w:r>
            <w:r>
              <w:rPr>
                <w:rFonts w:hint="default" w:ascii="Times New Roman" w:hAnsi="Times New Roman" w:cs="Times New Roman"/>
                <w:color w:val="auto"/>
                <w:highlight w:val="none"/>
                <w:lang w:val="en-US" w:eastAsia="zh-CN"/>
              </w:rPr>
              <w:br w:type="textWrapping"/>
            </w:r>
            <w:r>
              <w:rPr>
                <w:rFonts w:hint="default" w:ascii="Times New Roman" w:hAnsi="Times New Roman" w:cs="Times New Roman"/>
                <w:color w:val="auto"/>
                <w:highlight w:val="none"/>
                <w:lang w:val="en-US" w:eastAsia="zh-CN"/>
              </w:rPr>
              <w:t>天生坝电站 3#机组：溢洪道闸门泄流。</w:t>
            </w:r>
          </w:p>
        </w:tc>
      </w:tr>
      <w:tr w14:paraId="3957E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28" w:type="dxa"/>
            <w:bottom w:w="0" w:type="dxa"/>
            <w:right w:w="28" w:type="dxa"/>
          </w:tblCellMar>
        </w:tblPrEx>
        <w:trPr>
          <w:trHeight w:val="864" w:hRule="atLeast"/>
        </w:trPr>
        <w:tc>
          <w:tcPr>
            <w:tcW w:w="8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0CC16">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九龙水电站</w:t>
            </w:r>
          </w:p>
        </w:tc>
        <w:tc>
          <w:tcPr>
            <w:tcW w:w="5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6407F">
            <w:pPr>
              <w:pStyle w:val="30"/>
              <w:bidi w:val="0"/>
              <w:jc w:val="center"/>
              <w:rPr>
                <w:rFonts w:hint="default" w:ascii="Times New Roman" w:hAnsi="Times New Roman" w:cs="Times New Roman"/>
                <w:color w:val="auto"/>
                <w:highlight w:val="none"/>
              </w:rPr>
            </w:pPr>
          </w:p>
        </w:tc>
        <w:tc>
          <w:tcPr>
            <w:tcW w:w="5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6CE04">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南盘江</w:t>
            </w:r>
          </w:p>
        </w:tc>
        <w:tc>
          <w:tcPr>
            <w:tcW w:w="6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0CE9">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800kW</w:t>
            </w:r>
          </w:p>
        </w:tc>
        <w:tc>
          <w:tcPr>
            <w:tcW w:w="11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DB93">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九龙电站 1#机组取水口是九龙山滚水坝，九龙山滚水坝为0.49m³/s</w:t>
            </w:r>
          </w:p>
        </w:tc>
        <w:tc>
          <w:tcPr>
            <w:tcW w:w="1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BC642">
            <w:pPr>
              <w:pStyle w:val="30"/>
              <w:bidi w:val="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冲沙闸</w:t>
            </w:r>
          </w:p>
        </w:tc>
      </w:tr>
    </w:tbl>
    <w:p w14:paraId="20A26F2E">
      <w:pPr>
        <w:keepNext w:val="0"/>
        <w:keepLines w:val="0"/>
        <w:widowControl/>
        <w:suppressLineNumbers w:val="0"/>
        <w:jc w:val="left"/>
        <w:rPr>
          <w:rFonts w:hint="default" w:ascii="Times New Roman" w:hAnsi="Times New Roman" w:cs="Times New Roman"/>
          <w:color w:val="auto"/>
          <w:highlight w:val="none"/>
          <w:lang w:val="en-US" w:eastAsia="zh-CN"/>
        </w:rPr>
      </w:pPr>
    </w:p>
    <w:p w14:paraId="61604FC6">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规划</w:t>
      </w:r>
      <w:r>
        <w:rPr>
          <w:rFonts w:hint="default" w:ascii="Times New Roman" w:hAnsi="Times New Roman" w:cs="Times New Roman" w:eastAsiaTheme="minorEastAsia"/>
          <w:color w:val="auto"/>
          <w:highlight w:val="none"/>
          <w:lang w:val="en-US" w:eastAsia="zh-CN"/>
        </w:rPr>
        <w:t>重大水利</w:t>
      </w:r>
      <w:r>
        <w:rPr>
          <w:rFonts w:hint="default" w:ascii="Times New Roman" w:hAnsi="Times New Roman" w:cs="Times New Roman" w:eastAsiaTheme="minorEastAsia"/>
          <w:color w:val="auto"/>
          <w:highlight w:val="none"/>
        </w:rPr>
        <w:t>工程生态流量分析</w:t>
      </w:r>
    </w:p>
    <w:p w14:paraId="3436A84F">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eastAsia="宋体" w:cs="Times New Roman"/>
          <w:color w:val="auto"/>
          <w:sz w:val="24"/>
          <w:szCs w:val="24"/>
          <w:highlight w:val="none"/>
        </w:rPr>
        <w:t>根据《水利水电工程生态流量计算与泄放技术规范》（SL/T820-2023），水利水电工程生态流量的计算与确定应遵循尊重自然、生态安全、统筹兼顾原则，协调工程开发任务与生态保护要求。生态流量包括生态基流和敏感期生态流量。本规划</w:t>
      </w:r>
      <w:r>
        <w:rPr>
          <w:rFonts w:hint="default" w:ascii="Times New Roman" w:hAnsi="Times New Roman" w:eastAsia="宋体" w:cs="Times New Roman"/>
          <w:color w:val="auto"/>
          <w:sz w:val="24"/>
          <w:szCs w:val="24"/>
          <w:highlight w:val="none"/>
          <w:lang w:val="en-US" w:eastAsia="zh-CN"/>
        </w:rPr>
        <w:t>重大水利</w:t>
      </w:r>
      <w:r>
        <w:rPr>
          <w:rFonts w:hint="default" w:ascii="Times New Roman" w:hAnsi="Times New Roman" w:eastAsia="宋体" w:cs="Times New Roman"/>
          <w:color w:val="auto"/>
          <w:sz w:val="24"/>
          <w:szCs w:val="24"/>
          <w:highlight w:val="none"/>
        </w:rPr>
        <w:t>工程</w:t>
      </w:r>
      <w:r>
        <w:rPr>
          <w:rFonts w:hint="default" w:ascii="Times New Roman" w:hAnsi="Times New Roman" w:eastAsia="宋体" w:cs="Times New Roman"/>
          <w:color w:val="auto"/>
          <w:sz w:val="24"/>
          <w:szCs w:val="24"/>
          <w:highlight w:val="none"/>
          <w:lang w:val="en-US" w:eastAsia="zh-CN"/>
        </w:rPr>
        <w:t>选取罗师灌区工程、富源灌区工程响水坝水库扩建工程</w:t>
      </w:r>
      <w:r>
        <w:rPr>
          <w:rFonts w:hint="default" w:ascii="Times New Roman" w:hAnsi="Times New Roman" w:cs="Times New Roman" w:eastAsiaTheme="minorEastAsia"/>
          <w:color w:val="auto"/>
          <w:highlight w:val="none"/>
        </w:rPr>
        <w:t>进行生态流量分析</w:t>
      </w:r>
      <w:r>
        <w:rPr>
          <w:rFonts w:hint="default" w:ascii="Times New Roman" w:hAnsi="Times New Roman" w:cs="Times New Roman" w:eastAsiaTheme="minorEastAsia"/>
          <w:color w:val="auto"/>
          <w:highlight w:val="none"/>
          <w:lang w:eastAsia="zh-CN"/>
        </w:rPr>
        <w:t>。</w:t>
      </w:r>
    </w:p>
    <w:p w14:paraId="275B37F8">
      <w:pPr>
        <w:pStyle w:val="6"/>
        <w:numPr>
          <w:ilvl w:val="3"/>
          <w:numId w:val="4"/>
        </w:numPr>
        <w:spacing w:before="374" w:after="249" w:line="240" w:lineRule="auto"/>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罗师灌区工程</w:t>
      </w:r>
    </w:p>
    <w:p w14:paraId="600F62EA">
      <w:pPr>
        <w:autoSpaceDE/>
        <w:autoSpaceDN/>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罗师灌区工程</w:t>
      </w:r>
      <w:r>
        <w:rPr>
          <w:rFonts w:hint="default" w:ascii="Times New Roman" w:hAnsi="Times New Roman" w:cs="Times New Roman"/>
          <w:color w:val="auto"/>
          <w:highlight w:val="none"/>
          <w:lang w:val="en-US" w:eastAsia="zh-CN"/>
        </w:rPr>
        <w:t>中</w:t>
      </w:r>
      <w:r>
        <w:rPr>
          <w:rFonts w:hint="default" w:ascii="Times New Roman" w:hAnsi="Times New Roman" w:cs="Times New Roman"/>
          <w:color w:val="auto"/>
          <w:highlight w:val="none"/>
        </w:rPr>
        <w:t>水源工程</w:t>
      </w:r>
      <w:r>
        <w:rPr>
          <w:rFonts w:hint="default" w:ascii="Times New Roman" w:hAnsi="Times New Roman" w:cs="Times New Roman"/>
          <w:color w:val="auto"/>
          <w:highlight w:val="none"/>
          <w:lang w:val="en-US" w:eastAsia="zh-CN"/>
        </w:rPr>
        <w:t>包括</w:t>
      </w:r>
      <w:r>
        <w:rPr>
          <w:rFonts w:hint="default" w:ascii="Times New Roman" w:hAnsi="Times New Roman" w:cs="Times New Roman"/>
          <w:color w:val="auto"/>
          <w:highlight w:val="none"/>
        </w:rPr>
        <w:t>新建阿岗水库浮船泵站、子午河泵站2件，分别从九龙河和子午河取水，设计流量3.9m³/s和0.23m³/s</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新建调蓄工程1座，即小务龙水库扩建工程，水库扩建后总库容3512.2万</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，兴利库容3232万</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，多年平均供水量3827.4万</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w:t>
      </w:r>
    </w:p>
    <w:p w14:paraId="7777156B">
      <w:pPr>
        <w:autoSpaceDE/>
        <w:autoSpaceDN/>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（1）阿岗水库浮船泵站断面</w:t>
      </w:r>
    </w:p>
    <w:p w14:paraId="1D666ECF">
      <w:pPr>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阿岗水库浮船泵站取水口位于库区，取水</w:t>
      </w:r>
      <w:r>
        <w:rPr>
          <w:rFonts w:hint="default" w:ascii="Times New Roman" w:hAnsi="Times New Roman" w:eastAsia="宋体" w:cs="Times New Roman"/>
          <w:color w:val="auto"/>
          <w:highlight w:val="none"/>
          <w:lang w:val="en-US" w:eastAsia="zh-CN"/>
        </w:rPr>
        <w:t>不影响水库生态流量正常下泄，因此，阿岗水库浮船泵站断面按照阿岗水库环评批复的生态流量进行下泄。参考《云南省曲靖市阿岗水库工程环境影响报告书》，阿岗水库浮船泵站断面在汛期生态流量取多年平均流量的30%（6.23m³/s），非汛期取多年平均流量的10%（2.08m³/s）进行下泄，</w:t>
      </w:r>
      <w:r>
        <w:rPr>
          <w:rFonts w:hint="default" w:ascii="Times New Roman" w:hAnsi="Times New Roman" w:cs="Times New Roman" w:eastAsiaTheme="minorEastAsia"/>
          <w:color w:val="auto"/>
          <w:szCs w:val="24"/>
          <w:highlight w:val="none"/>
        </w:rPr>
        <w:t>当来水量小于生态流量时，按天然来水量下泄</w:t>
      </w:r>
      <w:r>
        <w:rPr>
          <w:rFonts w:hint="default" w:ascii="Times New Roman" w:hAnsi="Times New Roman" w:eastAsia="宋体" w:cs="Times New Roman"/>
          <w:color w:val="auto"/>
          <w:highlight w:val="none"/>
          <w:lang w:val="en-US" w:eastAsia="zh-CN"/>
        </w:rPr>
        <w:t>。</w:t>
      </w:r>
    </w:p>
    <w:p w14:paraId="6BB0F9DA">
      <w:pPr>
        <w:autoSpaceDE/>
        <w:autoSpaceDN/>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小务龙水库坝址断面和子午河提水泵站断面</w:t>
      </w:r>
    </w:p>
    <w:p w14:paraId="2E1DF967">
      <w:pPr>
        <w:ind w:firstLine="48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rPr>
        <w:t>采用水文学法Tennant法和Q90法（90%保证率最枯月平均流量法）对小务龙水库坝址断面和子午河提水泵站断面生态流量进行复核、论证分析</w:t>
      </w:r>
      <w:r>
        <w:rPr>
          <w:rFonts w:hint="default" w:ascii="Times New Roman" w:hAnsi="Times New Roman" w:cs="Times New Roman"/>
          <w:color w:val="auto"/>
          <w:highlight w:val="none"/>
          <w:lang w:eastAsia="zh-CN"/>
        </w:rPr>
        <w:t>。</w:t>
      </w:r>
    </w:p>
    <w:p w14:paraId="7754725C">
      <w:pPr>
        <w:ind w:firstLine="480"/>
        <w:rPr>
          <w:rFonts w:hint="default" w:ascii="Times New Roman" w:hAnsi="Times New Roman" w:cs="Times New Roman"/>
          <w:color w:val="auto"/>
          <w:highlight w:val="none"/>
          <w:lang w:bidi="zh-CN"/>
        </w:rPr>
      </w:pPr>
      <w:r>
        <w:rPr>
          <w:rFonts w:hint="default" w:ascii="Times New Roman" w:hAnsi="Times New Roman" w:cs="Times New Roman"/>
          <w:color w:val="auto"/>
          <w:highlight w:val="none"/>
          <w:lang w:bidi="zh-CN"/>
        </w:rPr>
        <w:t>①Tennant法计算生态需水量</w:t>
      </w:r>
    </w:p>
    <w:p w14:paraId="0E18FA0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bidi="zh-CN"/>
        </w:rPr>
        <w:t>根据《水利水电工程生态流量计算与泄放设计规范》（SL/T820-2023），河流生态基流量的推荐值分别为：枯水期取多年平均流量的10%，丰水期取多年平均流量的30%。</w:t>
      </w:r>
      <w:r>
        <w:rPr>
          <w:rFonts w:hint="default" w:ascii="Times New Roman" w:hAnsi="Times New Roman" w:cs="Times New Roman"/>
          <w:color w:val="auto"/>
          <w:highlight w:val="none"/>
        </w:rPr>
        <w:t>参考Tennant河流流量评价标准，在该取值条件下，生境质量对应为一般，即能基本维持水生生态系统的稳定，基本满足栖息地多样性对河道内流量的需求。</w:t>
      </w:r>
    </w:p>
    <w:p w14:paraId="43D448F0">
      <w:pPr>
        <w:ind w:firstLine="480"/>
        <w:rPr>
          <w:rFonts w:hint="default" w:ascii="Times New Roman" w:hAnsi="Times New Roman" w:eastAsia="宋体" w:cs="Times New Roman"/>
          <w:color w:val="auto"/>
          <w:highlight w:val="none"/>
          <w:lang w:bidi="zh-CN"/>
        </w:rPr>
      </w:pPr>
      <w:r>
        <w:rPr>
          <w:rFonts w:hint="default" w:ascii="Times New Roman" w:hAnsi="Times New Roman" w:eastAsia="宋体" w:cs="Times New Roman"/>
          <w:color w:val="auto"/>
          <w:highlight w:val="none"/>
          <w:lang w:bidi="zh-CN"/>
        </w:rPr>
        <w:t>②Q90法计算生态需水量</w:t>
      </w:r>
    </w:p>
    <w:p w14:paraId="41FEFCB3">
      <w:pPr>
        <w:ind w:firstLine="480"/>
        <w:rPr>
          <w:rFonts w:hint="default" w:ascii="Times New Roman" w:hAnsi="Times New Roman" w:eastAsia="宋体" w:cs="Times New Roman"/>
          <w:color w:val="auto"/>
          <w:highlight w:val="none"/>
          <w:lang w:bidi="zh-CN"/>
        </w:rPr>
      </w:pPr>
      <w:r>
        <w:rPr>
          <w:rFonts w:hint="default" w:ascii="Times New Roman" w:hAnsi="Times New Roman" w:eastAsia="宋体" w:cs="Times New Roman"/>
          <w:color w:val="auto"/>
          <w:highlight w:val="none"/>
          <w:lang w:bidi="zh-CN"/>
        </w:rPr>
        <w:t>Q90%法即90%频率最枯月平均值法，用每年的最枯月排频，选择90%频率下的最枯月平均流量作为基本生态环境需水量的最小值。根据下水库坝址断面长系列月流量，选取每一年最小的月流量值，运用Q90法计算断面生态流量。</w:t>
      </w:r>
    </w:p>
    <w:p w14:paraId="66A87A46">
      <w:pPr>
        <w:ind w:firstLine="480"/>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color w:val="auto"/>
          <w:highlight w:val="none"/>
        </w:rPr>
        <w:t>根据Tennant法、Q90法，复核取水断面生态需水量，并按外包线原则确定最小生态流量，枯水期时外延取值。</w:t>
      </w:r>
      <w:r>
        <w:rPr>
          <w:rFonts w:hint="default" w:ascii="Times New Roman" w:hAnsi="Times New Roman" w:cs="Times New Roman"/>
          <w:color w:val="auto"/>
          <w:highlight w:val="none"/>
          <w:lang w:val="en-US" w:eastAsia="zh-CN"/>
        </w:rPr>
        <w:t>根据计算，</w:t>
      </w:r>
      <w:r>
        <w:rPr>
          <w:rFonts w:hint="default" w:ascii="Times New Roman" w:hAnsi="Times New Roman" w:cs="Times New Roman"/>
          <w:color w:val="auto"/>
          <w:highlight w:val="none"/>
        </w:rPr>
        <w:t>拟改扩建小务龙水库和子午河提水泵站生态</w:t>
      </w:r>
      <w:r>
        <w:rPr>
          <w:rFonts w:hint="default" w:ascii="Times New Roman" w:hAnsi="Times New Roman" w:cs="Times New Roman"/>
          <w:color w:val="auto"/>
          <w:highlight w:val="none"/>
          <w:lang w:val="en-US" w:eastAsia="zh-CN"/>
        </w:rPr>
        <w:t>流量下泄值均推荐</w:t>
      </w:r>
      <w:r>
        <w:rPr>
          <w:rFonts w:hint="default" w:ascii="Times New Roman" w:hAnsi="Times New Roman" w:eastAsia="宋体" w:cs="Times New Roman"/>
          <w:color w:val="auto"/>
          <w:highlight w:val="none"/>
          <w:lang w:val="en-US" w:eastAsia="zh-CN"/>
        </w:rPr>
        <w:t>在汛期生态流量取多年平均流量的30%，非汛期取多年平均流量的10%进行下泄，</w:t>
      </w:r>
      <w:r>
        <w:rPr>
          <w:rFonts w:hint="default" w:ascii="Times New Roman" w:hAnsi="Times New Roman" w:cs="Times New Roman" w:eastAsiaTheme="minorEastAsia"/>
          <w:color w:val="auto"/>
          <w:szCs w:val="24"/>
          <w:highlight w:val="none"/>
        </w:rPr>
        <w:t>当来水量小于生态流量时，按天然来水量下泄</w:t>
      </w:r>
      <w:r>
        <w:rPr>
          <w:rFonts w:hint="default" w:ascii="Times New Roman" w:hAnsi="Times New Roman" w:cs="Times New Roman" w:eastAsiaTheme="minorEastAsia"/>
          <w:color w:val="auto"/>
          <w:szCs w:val="24"/>
          <w:highlight w:val="none"/>
          <w:lang w:eastAsia="zh-CN"/>
        </w:rPr>
        <w:t>。</w:t>
      </w:r>
    </w:p>
    <w:p w14:paraId="23C05432">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表5.2.2-1罗师灌区工程</w:t>
      </w:r>
      <w:r>
        <w:rPr>
          <w:rFonts w:hint="default" w:ascii="Times New Roman" w:hAnsi="Times New Roman" w:cs="Times New Roman"/>
          <w:color w:val="auto"/>
          <w:highlight w:val="none"/>
        </w:rPr>
        <w:t>生态流量复核计算结果一览表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4"/>
        <w:gridCol w:w="936"/>
        <w:gridCol w:w="878"/>
        <w:gridCol w:w="1066"/>
        <w:gridCol w:w="1064"/>
        <w:gridCol w:w="1066"/>
        <w:gridCol w:w="1066"/>
        <w:gridCol w:w="1072"/>
      </w:tblGrid>
      <w:tr w14:paraId="593D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6" w:type="pct"/>
            <w:vMerge w:val="restart"/>
            <w:shd w:val="clear" w:color="auto" w:fill="auto"/>
            <w:vAlign w:val="center"/>
          </w:tcPr>
          <w:p w14:paraId="5B9FA63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断面名称</w:t>
            </w:r>
          </w:p>
        </w:tc>
        <w:tc>
          <w:tcPr>
            <w:tcW w:w="1689" w:type="pct"/>
            <w:gridSpan w:val="3"/>
            <w:shd w:val="clear" w:color="auto" w:fill="auto"/>
            <w:vAlign w:val="center"/>
          </w:tcPr>
          <w:p w14:paraId="668DFF5B">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生态基流计算值（</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/s）</w:t>
            </w:r>
          </w:p>
        </w:tc>
        <w:tc>
          <w:tcPr>
            <w:tcW w:w="2503" w:type="pct"/>
            <w:gridSpan w:val="4"/>
            <w:shd w:val="clear" w:color="auto" w:fill="auto"/>
            <w:vAlign w:val="center"/>
          </w:tcPr>
          <w:p w14:paraId="7220D372">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生态基流推荐值</w:t>
            </w:r>
          </w:p>
        </w:tc>
      </w:tr>
      <w:tr w14:paraId="10D78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6" w:type="pct"/>
            <w:vMerge w:val="continue"/>
            <w:vAlign w:val="center"/>
          </w:tcPr>
          <w:p w14:paraId="6C09975A">
            <w:pPr>
              <w:pStyle w:val="35"/>
              <w:rPr>
                <w:rFonts w:hint="default" w:ascii="Times New Roman" w:hAnsi="Times New Roman" w:cs="Times New Roman"/>
                <w:color w:val="auto"/>
                <w:highlight w:val="none"/>
              </w:rPr>
            </w:pPr>
          </w:p>
        </w:tc>
        <w:tc>
          <w:tcPr>
            <w:tcW w:w="1064" w:type="pct"/>
            <w:gridSpan w:val="2"/>
            <w:shd w:val="clear" w:color="auto" w:fill="auto"/>
            <w:vAlign w:val="center"/>
          </w:tcPr>
          <w:p w14:paraId="0BC901F9">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Tennant</w:t>
            </w:r>
            <w:r>
              <w:rPr>
                <w:rFonts w:hint="default" w:ascii="Times New Roman" w:hAnsi="Times New Roman" w:cs="Times New Roman"/>
                <w:color w:val="auto"/>
                <w:highlight w:val="none"/>
              </w:rPr>
              <w:t>法</w:t>
            </w:r>
          </w:p>
        </w:tc>
        <w:tc>
          <w:tcPr>
            <w:tcW w:w="625" w:type="pct"/>
            <w:vMerge w:val="restart"/>
            <w:shd w:val="clear" w:color="auto" w:fill="auto"/>
            <w:vAlign w:val="center"/>
          </w:tcPr>
          <w:p w14:paraId="4D4349B2">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Q90</w:t>
            </w:r>
            <w:r>
              <w:rPr>
                <w:rFonts w:hint="default" w:ascii="Times New Roman" w:hAnsi="Times New Roman" w:cs="Times New Roman"/>
                <w:color w:val="auto"/>
                <w:highlight w:val="none"/>
              </w:rPr>
              <w:t>法</w:t>
            </w:r>
          </w:p>
        </w:tc>
        <w:tc>
          <w:tcPr>
            <w:tcW w:w="1249" w:type="pct"/>
            <w:gridSpan w:val="2"/>
            <w:shd w:val="clear" w:color="auto" w:fill="auto"/>
            <w:vAlign w:val="center"/>
          </w:tcPr>
          <w:p w14:paraId="555C915A">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生态基流（</w:t>
            </w:r>
            <w:r>
              <w:rPr>
                <w:rFonts w:hint="default" w:ascii="Times New Roman" w:hAnsi="Times New Roman" w:cs="Times New Roman"/>
                <w:color w:val="auto"/>
                <w:highlight w:val="none"/>
                <w:lang w:eastAsia="zh-CN"/>
              </w:rPr>
              <w:t>m³</w:t>
            </w:r>
            <w:r>
              <w:rPr>
                <w:rFonts w:hint="default" w:ascii="Times New Roman" w:hAnsi="Times New Roman" w:cs="Times New Roman"/>
                <w:color w:val="auto"/>
                <w:highlight w:val="none"/>
              </w:rPr>
              <w:t>/s）</w:t>
            </w:r>
          </w:p>
        </w:tc>
        <w:tc>
          <w:tcPr>
            <w:tcW w:w="1253" w:type="pct"/>
            <w:gridSpan w:val="2"/>
            <w:shd w:val="clear" w:color="auto" w:fill="auto"/>
            <w:vAlign w:val="center"/>
          </w:tcPr>
          <w:p w14:paraId="61235A8F">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多年平均流量占（%）</w:t>
            </w:r>
          </w:p>
        </w:tc>
      </w:tr>
      <w:tr w14:paraId="1A3F8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6" w:type="pct"/>
            <w:vMerge w:val="continue"/>
            <w:vAlign w:val="center"/>
          </w:tcPr>
          <w:p w14:paraId="453EE1D3">
            <w:pPr>
              <w:pStyle w:val="35"/>
              <w:rPr>
                <w:rFonts w:hint="default" w:ascii="Times New Roman" w:hAnsi="Times New Roman" w:cs="Times New Roman"/>
                <w:color w:val="auto"/>
                <w:highlight w:val="none"/>
              </w:rPr>
            </w:pPr>
          </w:p>
        </w:tc>
        <w:tc>
          <w:tcPr>
            <w:tcW w:w="549" w:type="pct"/>
            <w:shd w:val="clear" w:color="auto" w:fill="auto"/>
            <w:vAlign w:val="center"/>
          </w:tcPr>
          <w:p w14:paraId="4A5CADFC">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6-11</w:t>
            </w:r>
            <w:r>
              <w:rPr>
                <w:rFonts w:hint="default" w:ascii="Times New Roman" w:hAnsi="Times New Roman" w:cs="Times New Roman"/>
                <w:color w:val="auto"/>
                <w:highlight w:val="none"/>
              </w:rPr>
              <w:t>月</w:t>
            </w:r>
          </w:p>
        </w:tc>
        <w:tc>
          <w:tcPr>
            <w:tcW w:w="515" w:type="pct"/>
            <w:shd w:val="clear" w:color="auto" w:fill="auto"/>
            <w:vAlign w:val="center"/>
          </w:tcPr>
          <w:p w14:paraId="676A3599">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12-5</w:t>
            </w:r>
            <w:r>
              <w:rPr>
                <w:rFonts w:hint="default" w:ascii="Times New Roman" w:hAnsi="Times New Roman" w:cs="Times New Roman"/>
                <w:color w:val="auto"/>
                <w:highlight w:val="none"/>
              </w:rPr>
              <w:t>月</w:t>
            </w:r>
          </w:p>
        </w:tc>
        <w:tc>
          <w:tcPr>
            <w:tcW w:w="625" w:type="pct"/>
            <w:vMerge w:val="continue"/>
            <w:vAlign w:val="center"/>
          </w:tcPr>
          <w:p w14:paraId="72D6AF5A">
            <w:pPr>
              <w:pStyle w:val="35"/>
              <w:rPr>
                <w:rFonts w:hint="default" w:ascii="Times New Roman" w:hAnsi="Times New Roman" w:eastAsia="等线" w:cs="Times New Roman"/>
                <w:color w:val="auto"/>
                <w:highlight w:val="none"/>
              </w:rPr>
            </w:pPr>
          </w:p>
        </w:tc>
        <w:tc>
          <w:tcPr>
            <w:tcW w:w="624" w:type="pct"/>
            <w:shd w:val="clear" w:color="auto" w:fill="auto"/>
            <w:vAlign w:val="center"/>
          </w:tcPr>
          <w:p w14:paraId="6CFD4A76">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6-11</w:t>
            </w:r>
            <w:r>
              <w:rPr>
                <w:rFonts w:hint="default" w:ascii="Times New Roman" w:hAnsi="Times New Roman" w:cs="Times New Roman"/>
                <w:color w:val="auto"/>
                <w:highlight w:val="none"/>
              </w:rPr>
              <w:t>月</w:t>
            </w:r>
          </w:p>
        </w:tc>
        <w:tc>
          <w:tcPr>
            <w:tcW w:w="625" w:type="pct"/>
            <w:shd w:val="clear" w:color="auto" w:fill="auto"/>
            <w:vAlign w:val="center"/>
          </w:tcPr>
          <w:p w14:paraId="6CF95269">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12-5</w:t>
            </w:r>
            <w:r>
              <w:rPr>
                <w:rFonts w:hint="default" w:ascii="Times New Roman" w:hAnsi="Times New Roman" w:cs="Times New Roman"/>
                <w:color w:val="auto"/>
                <w:highlight w:val="none"/>
              </w:rPr>
              <w:t>月</w:t>
            </w:r>
          </w:p>
        </w:tc>
        <w:tc>
          <w:tcPr>
            <w:tcW w:w="625" w:type="pct"/>
            <w:shd w:val="clear" w:color="auto" w:fill="auto"/>
            <w:vAlign w:val="center"/>
          </w:tcPr>
          <w:p w14:paraId="391BB69E">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6-11</w:t>
            </w:r>
            <w:r>
              <w:rPr>
                <w:rFonts w:hint="default" w:ascii="Times New Roman" w:hAnsi="Times New Roman" w:cs="Times New Roman"/>
                <w:color w:val="auto"/>
                <w:highlight w:val="none"/>
              </w:rPr>
              <w:t>月</w:t>
            </w:r>
          </w:p>
        </w:tc>
        <w:tc>
          <w:tcPr>
            <w:tcW w:w="628" w:type="pct"/>
            <w:shd w:val="clear" w:color="auto" w:fill="auto"/>
            <w:vAlign w:val="center"/>
          </w:tcPr>
          <w:p w14:paraId="5BD68A3F">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12-5</w:t>
            </w:r>
            <w:r>
              <w:rPr>
                <w:rFonts w:hint="default" w:ascii="Times New Roman" w:hAnsi="Times New Roman" w:cs="Times New Roman"/>
                <w:color w:val="auto"/>
                <w:highlight w:val="none"/>
              </w:rPr>
              <w:t>月</w:t>
            </w:r>
          </w:p>
        </w:tc>
      </w:tr>
      <w:tr w14:paraId="74099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6" w:type="pct"/>
            <w:shd w:val="clear" w:color="auto" w:fill="auto"/>
            <w:vAlign w:val="center"/>
          </w:tcPr>
          <w:p w14:paraId="5F5B6F80">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子午河泵站</w:t>
            </w:r>
          </w:p>
        </w:tc>
        <w:tc>
          <w:tcPr>
            <w:tcW w:w="549" w:type="pct"/>
            <w:shd w:val="clear" w:color="auto" w:fill="auto"/>
            <w:vAlign w:val="center"/>
          </w:tcPr>
          <w:p w14:paraId="6B027771">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0.97</w:t>
            </w:r>
          </w:p>
        </w:tc>
        <w:tc>
          <w:tcPr>
            <w:tcW w:w="515" w:type="pct"/>
            <w:shd w:val="clear" w:color="auto" w:fill="auto"/>
            <w:vAlign w:val="center"/>
          </w:tcPr>
          <w:p w14:paraId="31D89546">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0.32</w:t>
            </w:r>
          </w:p>
        </w:tc>
        <w:tc>
          <w:tcPr>
            <w:tcW w:w="625" w:type="pct"/>
            <w:shd w:val="clear" w:color="auto" w:fill="auto"/>
            <w:vAlign w:val="center"/>
          </w:tcPr>
          <w:p w14:paraId="40BCFAC5">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0.012</w:t>
            </w:r>
          </w:p>
        </w:tc>
        <w:tc>
          <w:tcPr>
            <w:tcW w:w="624" w:type="pct"/>
            <w:shd w:val="clear" w:color="auto" w:fill="auto"/>
            <w:vAlign w:val="center"/>
          </w:tcPr>
          <w:p w14:paraId="57ABA6E4">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0.97</w:t>
            </w:r>
          </w:p>
        </w:tc>
        <w:tc>
          <w:tcPr>
            <w:tcW w:w="625" w:type="pct"/>
            <w:shd w:val="clear" w:color="auto" w:fill="auto"/>
            <w:vAlign w:val="center"/>
          </w:tcPr>
          <w:p w14:paraId="18E10605">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0.32</w:t>
            </w:r>
          </w:p>
        </w:tc>
        <w:tc>
          <w:tcPr>
            <w:tcW w:w="625" w:type="pct"/>
            <w:shd w:val="clear" w:color="auto" w:fill="auto"/>
            <w:vAlign w:val="center"/>
          </w:tcPr>
          <w:p w14:paraId="151BA8A3">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30</w:t>
            </w:r>
          </w:p>
        </w:tc>
        <w:tc>
          <w:tcPr>
            <w:tcW w:w="628" w:type="pct"/>
            <w:shd w:val="clear" w:color="auto" w:fill="auto"/>
            <w:vAlign w:val="center"/>
          </w:tcPr>
          <w:p w14:paraId="5783B799">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10</w:t>
            </w:r>
          </w:p>
        </w:tc>
      </w:tr>
      <w:tr w14:paraId="70CD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806" w:type="pct"/>
            <w:shd w:val="clear" w:color="auto" w:fill="auto"/>
            <w:vAlign w:val="center"/>
          </w:tcPr>
          <w:p w14:paraId="28087E34">
            <w:pPr>
              <w:pStyle w:val="35"/>
              <w:rPr>
                <w:rFonts w:hint="default" w:ascii="Times New Roman" w:hAnsi="Times New Roman" w:cs="Times New Roman"/>
                <w:color w:val="auto"/>
                <w:highlight w:val="none"/>
              </w:rPr>
            </w:pPr>
            <w:r>
              <w:rPr>
                <w:rFonts w:hint="default" w:ascii="Times New Roman" w:hAnsi="Times New Roman" w:cs="Times New Roman"/>
                <w:color w:val="auto"/>
                <w:highlight w:val="none"/>
              </w:rPr>
              <w:t>小务龙水库</w:t>
            </w:r>
          </w:p>
        </w:tc>
        <w:tc>
          <w:tcPr>
            <w:tcW w:w="549" w:type="pct"/>
            <w:shd w:val="clear" w:color="auto" w:fill="auto"/>
            <w:vAlign w:val="center"/>
          </w:tcPr>
          <w:p w14:paraId="789CB606">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0.016</w:t>
            </w:r>
          </w:p>
        </w:tc>
        <w:tc>
          <w:tcPr>
            <w:tcW w:w="515" w:type="pct"/>
            <w:shd w:val="clear" w:color="auto" w:fill="auto"/>
            <w:vAlign w:val="center"/>
          </w:tcPr>
          <w:p w14:paraId="4C218017">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0.005</w:t>
            </w:r>
          </w:p>
        </w:tc>
        <w:tc>
          <w:tcPr>
            <w:tcW w:w="625" w:type="pct"/>
            <w:shd w:val="clear" w:color="auto" w:fill="auto"/>
            <w:vAlign w:val="center"/>
          </w:tcPr>
          <w:p w14:paraId="428C2DE9">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0.0049</w:t>
            </w:r>
          </w:p>
        </w:tc>
        <w:tc>
          <w:tcPr>
            <w:tcW w:w="624" w:type="pct"/>
            <w:shd w:val="clear" w:color="auto" w:fill="auto"/>
            <w:vAlign w:val="center"/>
          </w:tcPr>
          <w:p w14:paraId="39553836">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0.018</w:t>
            </w:r>
          </w:p>
        </w:tc>
        <w:tc>
          <w:tcPr>
            <w:tcW w:w="625" w:type="pct"/>
            <w:shd w:val="clear" w:color="auto" w:fill="auto"/>
            <w:vAlign w:val="center"/>
          </w:tcPr>
          <w:p w14:paraId="41C5B490">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0.006</w:t>
            </w:r>
          </w:p>
        </w:tc>
        <w:tc>
          <w:tcPr>
            <w:tcW w:w="625" w:type="pct"/>
            <w:shd w:val="clear" w:color="auto" w:fill="auto"/>
            <w:vAlign w:val="center"/>
          </w:tcPr>
          <w:p w14:paraId="2D1EF031">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30</w:t>
            </w:r>
          </w:p>
        </w:tc>
        <w:tc>
          <w:tcPr>
            <w:tcW w:w="628" w:type="pct"/>
            <w:shd w:val="clear" w:color="auto" w:fill="auto"/>
            <w:vAlign w:val="center"/>
          </w:tcPr>
          <w:p w14:paraId="14695366">
            <w:pPr>
              <w:pStyle w:val="35"/>
              <w:rPr>
                <w:rFonts w:hint="default" w:ascii="Times New Roman" w:hAnsi="Times New Roman" w:eastAsia="等线" w:cs="Times New Roman"/>
                <w:color w:val="auto"/>
                <w:highlight w:val="none"/>
              </w:rPr>
            </w:pPr>
            <w:r>
              <w:rPr>
                <w:rFonts w:hint="default" w:ascii="Times New Roman" w:hAnsi="Times New Roman" w:eastAsia="等线" w:cs="Times New Roman"/>
                <w:color w:val="auto"/>
                <w:highlight w:val="none"/>
              </w:rPr>
              <w:t>10</w:t>
            </w:r>
          </w:p>
        </w:tc>
      </w:tr>
    </w:tbl>
    <w:p w14:paraId="2CE0B52F">
      <w:pPr>
        <w:pStyle w:val="6"/>
        <w:numPr>
          <w:ilvl w:val="3"/>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富源灌区工程</w:t>
      </w:r>
    </w:p>
    <w:p w14:paraId="31E31216">
      <w:pPr>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富源灌区工程中蓄水工程包括</w:t>
      </w:r>
      <w:r>
        <w:rPr>
          <w:rFonts w:hint="default" w:ascii="Times New Roman" w:hAnsi="Times New Roman" w:eastAsia="宋体" w:cs="Times New Roman"/>
          <w:color w:val="auto"/>
          <w:highlight w:val="none"/>
        </w:rPr>
        <w:t>新建大河中型水库</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新建</w:t>
      </w:r>
      <w:r>
        <w:rPr>
          <w:rFonts w:hint="default" w:ascii="Times New Roman" w:hAnsi="Times New Roman" w:eastAsia="宋体" w:cs="Times New Roman"/>
          <w:color w:val="auto"/>
          <w:highlight w:val="none"/>
        </w:rPr>
        <w:t>龙潭小（1）型水库</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新建大凹子河取水坝</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其中</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新建大河中型</w:t>
      </w:r>
      <w:r>
        <w:rPr>
          <w:rFonts w:hint="default" w:ascii="Times New Roman" w:hAnsi="Times New Roman" w:eastAsia="宋体" w:cs="Times New Roman"/>
          <w:color w:val="auto"/>
          <w:highlight w:val="none"/>
          <w:lang w:eastAsia="zh-CN"/>
        </w:rPr>
        <w:t>水库</w:t>
      </w:r>
      <w:r>
        <w:rPr>
          <w:rFonts w:hint="default" w:ascii="Times New Roman" w:hAnsi="Times New Roman" w:eastAsia="宋体" w:cs="Times New Roman"/>
          <w:color w:val="auto"/>
          <w:highlight w:val="none"/>
        </w:rPr>
        <w:t>总库容6336.8万m³，兴利库容3621.5万m³</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新建</w:t>
      </w:r>
      <w:r>
        <w:rPr>
          <w:rFonts w:hint="default" w:ascii="Times New Roman" w:hAnsi="Times New Roman" w:eastAsia="宋体" w:cs="Times New Roman"/>
          <w:color w:val="auto"/>
          <w:highlight w:val="none"/>
        </w:rPr>
        <w:t>龙潭小（1）型水库</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总库容281.7万m³</w:t>
      </w:r>
      <w:r>
        <w:rPr>
          <w:rFonts w:hint="default" w:ascii="Times New Roman" w:hAnsi="Times New Roman" w:eastAsia="宋体" w:cs="Times New Roman"/>
          <w:color w:val="auto"/>
          <w:highlight w:val="none"/>
          <w:lang w:eastAsia="zh-CN"/>
        </w:rPr>
        <w:t>。</w:t>
      </w:r>
    </w:p>
    <w:p w14:paraId="184C3203">
      <w:pPr>
        <w:ind w:firstLine="480"/>
        <w:rPr>
          <w:rFonts w:hint="default" w:ascii="Times New Roman" w:hAnsi="Times New Roman" w:cs="Times New Roman" w:eastAsiaTheme="minorEastAsia"/>
          <w:color w:val="auto"/>
          <w:highlight w:val="none"/>
          <w:lang w:val="en-US" w:eastAsia="zh-CN"/>
        </w:rPr>
      </w:pPr>
      <w:r>
        <w:rPr>
          <w:rFonts w:hint="default" w:ascii="Times New Roman" w:hAnsi="Times New Roman" w:eastAsia="宋体" w:cs="Times New Roman"/>
          <w:color w:val="auto"/>
          <w:highlight w:val="none"/>
          <w:lang w:val="en-US" w:eastAsia="zh-CN"/>
        </w:rPr>
        <w:t>采用</w:t>
      </w:r>
      <w:r>
        <w:rPr>
          <w:rFonts w:hint="default" w:ascii="Times New Roman" w:hAnsi="Times New Roman" w:eastAsia="宋体" w:cs="Times New Roman"/>
          <w:color w:val="auto"/>
          <w:highlight w:val="none"/>
        </w:rPr>
        <w:t>Tennant法</w:t>
      </w:r>
      <w:r>
        <w:rPr>
          <w:rFonts w:hint="default" w:ascii="Times New Roman" w:hAnsi="Times New Roman" w:eastAsia="宋体" w:cs="Times New Roman"/>
          <w:color w:val="auto"/>
          <w:highlight w:val="none"/>
          <w:lang w:val="en-US" w:eastAsia="zh-CN"/>
        </w:rPr>
        <w:t>和Q</w:t>
      </w:r>
      <w:r>
        <w:rPr>
          <w:rFonts w:hint="default" w:ascii="Times New Roman" w:hAnsi="Times New Roman" w:eastAsia="宋体" w:cs="Times New Roman"/>
          <w:color w:val="auto"/>
          <w:highlight w:val="none"/>
          <w:vertAlign w:val="subscript"/>
          <w:lang w:val="en-US" w:eastAsia="zh-CN"/>
        </w:rPr>
        <w:t>90</w:t>
      </w:r>
      <w:r>
        <w:rPr>
          <w:rFonts w:hint="default" w:ascii="Times New Roman" w:hAnsi="Times New Roman" w:eastAsia="宋体" w:cs="Times New Roman"/>
          <w:color w:val="auto"/>
          <w:highlight w:val="none"/>
          <w:lang w:val="en-US" w:eastAsia="zh-CN"/>
        </w:rPr>
        <w:t>法对取水断面生态流量进行复核、论证分析。其中，</w:t>
      </w:r>
      <w:r>
        <w:rPr>
          <w:rFonts w:hint="default" w:ascii="Times New Roman" w:hAnsi="Times New Roman" w:eastAsia="宋体" w:cs="Times New Roman"/>
          <w:color w:val="auto"/>
          <w:highlight w:val="none"/>
        </w:rPr>
        <w:t>根据《河湖生态环境需水计算规范》（SL/Z712-2021），河流生态基流量的推荐值分别为：非汛期取多年平均流量的10%，汛期取多年平均流量的30%</w:t>
      </w:r>
      <w:r>
        <w:rPr>
          <w:rFonts w:hint="default" w:ascii="Times New Roman" w:hAnsi="Times New Roman" w:eastAsia="宋体" w:cs="Times New Roman"/>
          <w:color w:val="auto"/>
          <w:highlight w:val="none"/>
          <w:lang w:val="en-US" w:eastAsia="zh-CN"/>
        </w:rPr>
        <w:t>进行复核</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根据计算，富源灌区工程大河水库、龙潭水库、</w:t>
      </w:r>
      <w:r>
        <w:rPr>
          <w:rFonts w:hint="default" w:ascii="Times New Roman" w:hAnsi="Times New Roman" w:eastAsia="宋体" w:cs="Times New Roman"/>
          <w:color w:val="auto"/>
          <w:highlight w:val="none"/>
        </w:rPr>
        <w:t>大凹子河引水工程</w:t>
      </w:r>
      <w:r>
        <w:rPr>
          <w:rFonts w:hint="default" w:ascii="Times New Roman" w:hAnsi="Times New Roman" w:eastAsia="宋体" w:cs="Times New Roman"/>
          <w:color w:val="auto"/>
          <w:highlight w:val="none"/>
          <w:lang w:val="en-US" w:eastAsia="zh-CN"/>
        </w:rPr>
        <w:t>均推荐在汛期生态流量取多年平均流量的30%，非汛期取多年平均流量的10%进行下泄，</w:t>
      </w:r>
      <w:r>
        <w:rPr>
          <w:rFonts w:hint="default" w:ascii="Times New Roman" w:hAnsi="Times New Roman" w:cs="Times New Roman" w:eastAsiaTheme="minorEastAsia"/>
          <w:color w:val="auto"/>
          <w:szCs w:val="24"/>
          <w:highlight w:val="none"/>
        </w:rPr>
        <w:t>当来水量小于生态流量时，按天然来水量下泄</w:t>
      </w:r>
      <w:r>
        <w:rPr>
          <w:rFonts w:hint="default" w:ascii="Times New Roman" w:hAnsi="Times New Roman" w:cs="Times New Roman" w:eastAsiaTheme="minorEastAsia"/>
          <w:color w:val="auto"/>
          <w:szCs w:val="24"/>
          <w:highlight w:val="none"/>
          <w:lang w:eastAsia="zh-CN"/>
        </w:rPr>
        <w:t>。</w:t>
      </w:r>
    </w:p>
    <w:p w14:paraId="72A1D78F">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表5.2.2-2富源灌区工程生态流量复核计算结果一览表</w:t>
      </w:r>
    </w:p>
    <w:tbl>
      <w:tblPr>
        <w:tblStyle w:val="22"/>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1"/>
        <w:gridCol w:w="907"/>
        <w:gridCol w:w="880"/>
        <w:gridCol w:w="733"/>
        <w:gridCol w:w="840"/>
        <w:gridCol w:w="853"/>
        <w:gridCol w:w="1288"/>
        <w:gridCol w:w="1054"/>
      </w:tblGrid>
      <w:tr w14:paraId="6AB8A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51" w:type="pct"/>
            <w:vMerge w:val="restart"/>
            <w:vAlign w:val="center"/>
          </w:tcPr>
          <w:p w14:paraId="45D77AC4">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断面名称</w:t>
            </w:r>
          </w:p>
        </w:tc>
        <w:tc>
          <w:tcPr>
            <w:tcW w:w="1479" w:type="pct"/>
            <w:gridSpan w:val="3"/>
            <w:vAlign w:val="center"/>
          </w:tcPr>
          <w:p w14:paraId="768D87BE">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生态基流计算值（</w:t>
            </w:r>
            <w:r>
              <w:rPr>
                <w:rFonts w:hint="default" w:ascii="Times New Roman" w:hAnsi="Times New Roman" w:eastAsia="宋体" w:cs="Times New Roman"/>
                <w:color w:val="auto"/>
                <w:sz w:val="21"/>
                <w:szCs w:val="21"/>
                <w:highlight w:val="none"/>
                <w:lang w:eastAsia="zh-CN"/>
              </w:rPr>
              <w:t>m³</w:t>
            </w:r>
            <w:r>
              <w:rPr>
                <w:rFonts w:hint="default" w:ascii="Times New Roman" w:hAnsi="Times New Roman" w:eastAsia="宋体" w:cs="Times New Roman"/>
                <w:color w:val="auto"/>
                <w:sz w:val="21"/>
                <w:szCs w:val="21"/>
                <w:highlight w:val="none"/>
              </w:rPr>
              <w:t>/s）</w:t>
            </w:r>
          </w:p>
        </w:tc>
        <w:tc>
          <w:tcPr>
            <w:tcW w:w="2369" w:type="pct"/>
            <w:gridSpan w:val="4"/>
            <w:vAlign w:val="center"/>
          </w:tcPr>
          <w:p w14:paraId="2E9D7C5C">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生态基流推荐值</w:t>
            </w:r>
          </w:p>
        </w:tc>
      </w:tr>
      <w:tr w14:paraId="210BF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51" w:type="pct"/>
            <w:vMerge w:val="continue"/>
            <w:vAlign w:val="center"/>
          </w:tcPr>
          <w:p w14:paraId="488A81A2">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1049" w:type="pct"/>
            <w:gridSpan w:val="2"/>
            <w:vAlign w:val="center"/>
          </w:tcPr>
          <w:p w14:paraId="049C0F3A">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Tennant法</w:t>
            </w:r>
          </w:p>
        </w:tc>
        <w:tc>
          <w:tcPr>
            <w:tcW w:w="430" w:type="pct"/>
            <w:vMerge w:val="restart"/>
            <w:vAlign w:val="center"/>
          </w:tcPr>
          <w:p w14:paraId="340FC795">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Q</w:t>
            </w:r>
            <w:r>
              <w:rPr>
                <w:rFonts w:hint="default" w:ascii="Times New Roman" w:hAnsi="Times New Roman" w:eastAsia="宋体" w:cs="Times New Roman"/>
                <w:color w:val="auto"/>
                <w:sz w:val="21"/>
                <w:szCs w:val="21"/>
                <w:highlight w:val="none"/>
                <w:vertAlign w:val="subscript"/>
              </w:rPr>
              <w:t>90</w:t>
            </w:r>
            <w:r>
              <w:rPr>
                <w:rFonts w:hint="default" w:ascii="Times New Roman" w:hAnsi="Times New Roman" w:eastAsia="宋体" w:cs="Times New Roman"/>
                <w:color w:val="auto"/>
                <w:sz w:val="21"/>
                <w:szCs w:val="21"/>
                <w:highlight w:val="none"/>
              </w:rPr>
              <w:t>法</w:t>
            </w:r>
          </w:p>
        </w:tc>
        <w:tc>
          <w:tcPr>
            <w:tcW w:w="994" w:type="pct"/>
            <w:gridSpan w:val="2"/>
            <w:vAlign w:val="center"/>
          </w:tcPr>
          <w:p w14:paraId="2B215FDE">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生态基流</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eastAsia="zh-CN"/>
              </w:rPr>
              <w:t>m³</w:t>
            </w:r>
            <w:r>
              <w:rPr>
                <w:rFonts w:hint="default" w:ascii="Times New Roman" w:hAnsi="Times New Roman" w:eastAsia="宋体" w:cs="Times New Roman"/>
                <w:color w:val="auto"/>
                <w:sz w:val="21"/>
                <w:szCs w:val="21"/>
                <w:highlight w:val="none"/>
              </w:rPr>
              <w:t>/s</w:t>
            </w:r>
            <w:r>
              <w:rPr>
                <w:rFonts w:hint="default" w:ascii="Times New Roman" w:hAnsi="Times New Roman" w:cs="Times New Roman"/>
                <w:color w:val="auto"/>
                <w:sz w:val="21"/>
                <w:szCs w:val="21"/>
                <w:highlight w:val="none"/>
                <w:lang w:eastAsia="zh-CN"/>
              </w:rPr>
              <w:t>）</w:t>
            </w:r>
          </w:p>
        </w:tc>
        <w:tc>
          <w:tcPr>
            <w:tcW w:w="1375" w:type="pct"/>
            <w:gridSpan w:val="2"/>
            <w:vAlign w:val="center"/>
          </w:tcPr>
          <w:p w14:paraId="327A834D">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多年平均流量占比（%）</w:t>
            </w:r>
          </w:p>
        </w:tc>
      </w:tr>
      <w:tr w14:paraId="017DF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51" w:type="pct"/>
            <w:vMerge w:val="continue"/>
            <w:vAlign w:val="center"/>
          </w:tcPr>
          <w:p w14:paraId="6342F380">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532" w:type="pct"/>
            <w:vAlign w:val="center"/>
          </w:tcPr>
          <w:p w14:paraId="1A8463CC">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6-11月</w:t>
            </w:r>
          </w:p>
        </w:tc>
        <w:tc>
          <w:tcPr>
            <w:tcW w:w="516" w:type="pct"/>
            <w:vAlign w:val="center"/>
          </w:tcPr>
          <w:p w14:paraId="63F54AF8">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12-5月</w:t>
            </w:r>
          </w:p>
        </w:tc>
        <w:tc>
          <w:tcPr>
            <w:tcW w:w="430" w:type="pct"/>
            <w:vMerge w:val="continue"/>
            <w:vAlign w:val="center"/>
          </w:tcPr>
          <w:p w14:paraId="5449FF55">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p>
        </w:tc>
        <w:tc>
          <w:tcPr>
            <w:tcW w:w="493" w:type="pct"/>
            <w:vAlign w:val="center"/>
          </w:tcPr>
          <w:p w14:paraId="35D547A8">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6-11月</w:t>
            </w:r>
          </w:p>
        </w:tc>
        <w:tc>
          <w:tcPr>
            <w:tcW w:w="500" w:type="pct"/>
            <w:vAlign w:val="center"/>
          </w:tcPr>
          <w:p w14:paraId="522AC176">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12-5月</w:t>
            </w:r>
          </w:p>
        </w:tc>
        <w:tc>
          <w:tcPr>
            <w:tcW w:w="756" w:type="pct"/>
            <w:vAlign w:val="center"/>
          </w:tcPr>
          <w:p w14:paraId="4D4CA601">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6-11月</w:t>
            </w:r>
          </w:p>
        </w:tc>
        <w:tc>
          <w:tcPr>
            <w:tcW w:w="618" w:type="pct"/>
            <w:vAlign w:val="center"/>
          </w:tcPr>
          <w:p w14:paraId="108961E9">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12-5月</w:t>
            </w:r>
          </w:p>
        </w:tc>
      </w:tr>
      <w:tr w14:paraId="7778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51" w:type="pct"/>
            <w:vAlign w:val="center"/>
          </w:tcPr>
          <w:p w14:paraId="578220F2">
            <w:pPr>
              <w:pStyle w:val="36"/>
              <w:keepNext w:val="0"/>
              <w:keepLines w:val="0"/>
              <w:pageBreakBefore w:val="0"/>
              <w:widowControl w:val="0"/>
              <w:kinsoku/>
              <w:wordWrap/>
              <w:overflowPunct/>
              <w:topLinePunct w:val="0"/>
              <w:autoSpaceDE/>
              <w:autoSpaceDN/>
              <w:bidi w:val="0"/>
              <w:snapToGrid w:val="0"/>
              <w:spacing w:line="240" w:lineRule="auto"/>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大河水库</w:t>
            </w:r>
          </w:p>
        </w:tc>
        <w:tc>
          <w:tcPr>
            <w:tcW w:w="532" w:type="pct"/>
            <w:vAlign w:val="center"/>
          </w:tcPr>
          <w:p w14:paraId="3636C7F2">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p>
        </w:tc>
        <w:tc>
          <w:tcPr>
            <w:tcW w:w="516" w:type="pct"/>
            <w:vAlign w:val="center"/>
          </w:tcPr>
          <w:p w14:paraId="6EA160A9">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3.6</w:t>
            </w:r>
          </w:p>
        </w:tc>
        <w:tc>
          <w:tcPr>
            <w:tcW w:w="430" w:type="pct"/>
            <w:vAlign w:val="center"/>
          </w:tcPr>
          <w:p w14:paraId="400613C1">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1.02</w:t>
            </w:r>
          </w:p>
        </w:tc>
        <w:tc>
          <w:tcPr>
            <w:tcW w:w="493" w:type="pct"/>
            <w:vAlign w:val="center"/>
          </w:tcPr>
          <w:p w14:paraId="44309D5E">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p>
        </w:tc>
        <w:tc>
          <w:tcPr>
            <w:tcW w:w="500" w:type="pct"/>
            <w:vAlign w:val="center"/>
          </w:tcPr>
          <w:p w14:paraId="1811F937">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1.2</w:t>
            </w:r>
          </w:p>
        </w:tc>
        <w:tc>
          <w:tcPr>
            <w:tcW w:w="756" w:type="pct"/>
            <w:vAlign w:val="center"/>
          </w:tcPr>
          <w:p w14:paraId="04927333">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618" w:type="pct"/>
            <w:vAlign w:val="center"/>
          </w:tcPr>
          <w:p w14:paraId="015A1232">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14:paraId="08D6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51" w:type="pct"/>
            <w:vAlign w:val="center"/>
          </w:tcPr>
          <w:p w14:paraId="6C30E65B">
            <w:pPr>
              <w:pStyle w:val="36"/>
              <w:keepNext w:val="0"/>
              <w:keepLines w:val="0"/>
              <w:pageBreakBefore w:val="0"/>
              <w:widowControl w:val="0"/>
              <w:kinsoku/>
              <w:wordWrap/>
              <w:overflowPunct/>
              <w:topLinePunct w:val="0"/>
              <w:autoSpaceDE/>
              <w:autoSpaceDN/>
              <w:bidi w:val="0"/>
              <w:snapToGrid w:val="0"/>
              <w:spacing w:line="240" w:lineRule="auto"/>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龙潭水库</w:t>
            </w:r>
          </w:p>
        </w:tc>
        <w:tc>
          <w:tcPr>
            <w:tcW w:w="532" w:type="pct"/>
            <w:vAlign w:val="center"/>
          </w:tcPr>
          <w:p w14:paraId="2B02177D">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0.019</w:t>
            </w:r>
          </w:p>
        </w:tc>
        <w:tc>
          <w:tcPr>
            <w:tcW w:w="516" w:type="pct"/>
            <w:vAlign w:val="center"/>
          </w:tcPr>
          <w:p w14:paraId="0A4BD594">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0.057</w:t>
            </w:r>
          </w:p>
        </w:tc>
        <w:tc>
          <w:tcPr>
            <w:tcW w:w="430" w:type="pct"/>
            <w:vAlign w:val="center"/>
          </w:tcPr>
          <w:p w14:paraId="1A4D46F7">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0.015</w:t>
            </w:r>
          </w:p>
        </w:tc>
        <w:tc>
          <w:tcPr>
            <w:tcW w:w="493" w:type="pct"/>
            <w:vAlign w:val="center"/>
          </w:tcPr>
          <w:p w14:paraId="21A82E0D">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0.019</w:t>
            </w:r>
          </w:p>
        </w:tc>
        <w:tc>
          <w:tcPr>
            <w:tcW w:w="500" w:type="pct"/>
            <w:vAlign w:val="center"/>
          </w:tcPr>
          <w:p w14:paraId="4BFB64AA">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0.057</w:t>
            </w:r>
          </w:p>
        </w:tc>
        <w:tc>
          <w:tcPr>
            <w:tcW w:w="756" w:type="pct"/>
            <w:vAlign w:val="center"/>
          </w:tcPr>
          <w:p w14:paraId="0651B397">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618" w:type="pct"/>
            <w:vAlign w:val="center"/>
          </w:tcPr>
          <w:p w14:paraId="07635591">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r w14:paraId="671B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51" w:type="pct"/>
            <w:vAlign w:val="center"/>
          </w:tcPr>
          <w:p w14:paraId="1F822A09">
            <w:pPr>
              <w:pStyle w:val="36"/>
              <w:keepNext w:val="0"/>
              <w:keepLines w:val="0"/>
              <w:pageBreakBefore w:val="0"/>
              <w:widowControl w:val="0"/>
              <w:kinsoku/>
              <w:wordWrap/>
              <w:overflowPunct/>
              <w:topLinePunct w:val="0"/>
              <w:autoSpaceDE/>
              <w:autoSpaceDN/>
              <w:bidi w:val="0"/>
              <w:snapToGrid w:val="0"/>
              <w:spacing w:line="240" w:lineRule="auto"/>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大凹子河引水工程</w:t>
            </w:r>
          </w:p>
        </w:tc>
        <w:tc>
          <w:tcPr>
            <w:tcW w:w="532" w:type="pct"/>
            <w:vAlign w:val="center"/>
          </w:tcPr>
          <w:p w14:paraId="5F934CA5">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0.10</w:t>
            </w:r>
          </w:p>
        </w:tc>
        <w:tc>
          <w:tcPr>
            <w:tcW w:w="516" w:type="pct"/>
            <w:vAlign w:val="center"/>
          </w:tcPr>
          <w:p w14:paraId="30F04AAE">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w:t>
            </w:r>
          </w:p>
        </w:tc>
        <w:tc>
          <w:tcPr>
            <w:tcW w:w="430" w:type="pct"/>
            <w:vAlign w:val="center"/>
          </w:tcPr>
          <w:p w14:paraId="0D6DCEE7">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0.07</w:t>
            </w:r>
          </w:p>
        </w:tc>
        <w:tc>
          <w:tcPr>
            <w:tcW w:w="493" w:type="pct"/>
            <w:shd w:val="clear" w:color="auto" w:fill="auto"/>
            <w:vAlign w:val="center"/>
          </w:tcPr>
          <w:p w14:paraId="48A737A7">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0.10</w:t>
            </w:r>
          </w:p>
        </w:tc>
        <w:tc>
          <w:tcPr>
            <w:tcW w:w="500" w:type="pct"/>
            <w:shd w:val="clear" w:color="auto" w:fill="auto"/>
            <w:vAlign w:val="center"/>
          </w:tcPr>
          <w:p w14:paraId="520EE34C">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0.3</w:t>
            </w:r>
          </w:p>
        </w:tc>
        <w:tc>
          <w:tcPr>
            <w:tcW w:w="756" w:type="pct"/>
            <w:shd w:val="clear" w:color="auto" w:fill="auto"/>
            <w:vAlign w:val="center"/>
          </w:tcPr>
          <w:p w14:paraId="2032CE73">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w:t>
            </w:r>
          </w:p>
        </w:tc>
        <w:tc>
          <w:tcPr>
            <w:tcW w:w="618" w:type="pct"/>
            <w:shd w:val="clear" w:color="auto" w:fill="auto"/>
            <w:vAlign w:val="center"/>
          </w:tcPr>
          <w:p w14:paraId="5826E492">
            <w:pPr>
              <w:keepNext w:val="0"/>
              <w:keepLines w:val="0"/>
              <w:pageBreakBefore w:val="0"/>
              <w:widowControl w:val="0"/>
              <w:kinsoku/>
              <w:wordWrap/>
              <w:overflowPunct/>
              <w:topLinePunct w:val="0"/>
              <w:autoSpaceDE/>
              <w:autoSpaceDN/>
              <w:bidi w:val="0"/>
              <w:snapToGrid w:val="0"/>
              <w:spacing w:line="240" w:lineRule="auto"/>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10</w:t>
            </w:r>
          </w:p>
        </w:tc>
      </w:tr>
    </w:tbl>
    <w:p w14:paraId="52B34102">
      <w:pPr>
        <w:pStyle w:val="6"/>
        <w:numPr>
          <w:ilvl w:val="3"/>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响水坝水库扩建</w:t>
      </w:r>
    </w:p>
    <w:p w14:paraId="6B96D7B5">
      <w:pPr>
        <w:ind w:firstLine="480"/>
        <w:rPr>
          <w:rFonts w:hint="default" w:ascii="Times New Roman" w:hAnsi="Times New Roman" w:cs="Times New Roman" w:eastAsiaTheme="minorEastAsia"/>
          <w:color w:val="auto"/>
          <w:szCs w:val="21"/>
          <w:highlight w:val="none"/>
          <w:lang w:val="en-US" w:eastAsia="zh-CN"/>
          <w14:ligatures w14:val="none"/>
        </w:rPr>
      </w:pPr>
      <w:r>
        <w:rPr>
          <w:rFonts w:hint="default" w:ascii="Times New Roman" w:hAnsi="Times New Roman" w:eastAsia="宋体" w:cs="Times New Roman"/>
          <w:color w:val="auto"/>
          <w:szCs w:val="21"/>
          <w:highlight w:val="none"/>
          <w:lang w:val="en-US" w:eastAsia="zh-CN"/>
          <w14:ligatures w14:val="none"/>
        </w:rPr>
        <w:t>根据《</w:t>
      </w:r>
      <w:r>
        <w:rPr>
          <w:rFonts w:hint="default" w:ascii="Times New Roman" w:hAnsi="Times New Roman" w:eastAsia="宋体" w:cs="Times New Roman"/>
          <w:color w:val="auto"/>
          <w:szCs w:val="21"/>
          <w:highlight w:val="none"/>
          <w14:ligatures w14:val="none"/>
        </w:rPr>
        <w:t>云南省曲靖市响水坝水库扩建工程规模论证报告</w:t>
      </w:r>
      <w:r>
        <w:rPr>
          <w:rFonts w:hint="default" w:ascii="Times New Roman" w:hAnsi="Times New Roman" w:eastAsia="宋体" w:cs="Times New Roman"/>
          <w:color w:val="auto"/>
          <w:szCs w:val="21"/>
          <w:highlight w:val="none"/>
          <w:lang w:eastAsia="zh-CN"/>
          <w14:ligatures w14:val="none"/>
        </w:rPr>
        <w:t>》，</w:t>
      </w:r>
      <w:r>
        <w:rPr>
          <w:rFonts w:hint="default" w:ascii="Times New Roman" w:hAnsi="Times New Roman" w:cs="Times New Roman"/>
          <w:color w:val="auto"/>
          <w:szCs w:val="21"/>
          <w:highlight w:val="none"/>
          <w:lang w:eastAsia="zh-CN"/>
          <w14:ligatures w14:val="none"/>
        </w:rPr>
        <w:t>响水坝水库</w:t>
      </w:r>
      <w:r>
        <w:rPr>
          <w:rFonts w:hint="default" w:ascii="Times New Roman" w:hAnsi="Times New Roman" w:cs="Times New Roman"/>
          <w:color w:val="auto"/>
          <w:szCs w:val="21"/>
          <w:highlight w:val="none"/>
          <w14:ligatures w14:val="none"/>
        </w:rPr>
        <w:t>坝址以上控制径流面积2486km</w:t>
      </w:r>
      <w:r>
        <w:rPr>
          <w:rFonts w:hint="default" w:ascii="Times New Roman" w:hAnsi="Times New Roman" w:cs="Times New Roman"/>
          <w:color w:val="auto"/>
          <w:szCs w:val="21"/>
          <w:highlight w:val="none"/>
          <w:vertAlign w:val="superscript"/>
          <w14:ligatures w14:val="none"/>
        </w:rPr>
        <w:t>2</w:t>
      </w:r>
      <w:r>
        <w:rPr>
          <w:rFonts w:hint="default" w:ascii="Times New Roman" w:hAnsi="Times New Roman" w:cs="Times New Roman"/>
          <w:color w:val="auto"/>
          <w:szCs w:val="21"/>
          <w:highlight w:val="none"/>
          <w14:ligatures w14:val="none"/>
        </w:rPr>
        <w:t>，水库实测还原多年平均入库径流量为71060万m</w:t>
      </w:r>
      <w:r>
        <w:rPr>
          <w:rFonts w:hint="default" w:ascii="Times New Roman" w:hAnsi="Times New Roman" w:cs="Times New Roman"/>
          <w:color w:val="auto"/>
          <w:szCs w:val="21"/>
          <w:highlight w:val="none"/>
          <w:vertAlign w:val="superscript"/>
          <w14:ligatures w14:val="none"/>
        </w:rPr>
        <w:t>3</w:t>
      </w:r>
      <w:r>
        <w:rPr>
          <w:rFonts w:hint="default" w:ascii="Times New Roman" w:hAnsi="Times New Roman" w:cs="Times New Roman"/>
          <w:color w:val="auto"/>
          <w:szCs w:val="21"/>
          <w:highlight w:val="none"/>
          <w:vertAlign w:val="baseline"/>
          <w:lang w:eastAsia="zh-CN"/>
          <w14:ligatures w14:val="none"/>
        </w:rPr>
        <w:t>。</w:t>
      </w:r>
      <w:r>
        <w:rPr>
          <w:rFonts w:hint="default" w:ascii="Times New Roman" w:hAnsi="Times New Roman" w:cs="Times New Roman"/>
          <w:color w:val="auto"/>
          <w:szCs w:val="21"/>
          <w:highlight w:val="none"/>
          <w:vertAlign w:val="baseline"/>
          <w:lang w:val="en-US" w:eastAsia="zh-CN"/>
          <w14:ligatures w14:val="none"/>
        </w:rPr>
        <w:t>根据相关水资源配置章节，响水坝</w:t>
      </w:r>
      <w:r>
        <w:rPr>
          <w:rFonts w:hint="default" w:ascii="Times New Roman" w:hAnsi="Times New Roman" w:eastAsia="宋体" w:cs="Times New Roman"/>
          <w:color w:val="auto"/>
          <w:szCs w:val="21"/>
          <w:highlight w:val="none"/>
          <w14:ligatures w14:val="none"/>
        </w:rPr>
        <w:t>水库坝下游河道生态用水汛期按实测多年平均径流量的30%，枯期按实测多年平均径流量的15%</w:t>
      </w:r>
      <w:r>
        <w:rPr>
          <w:rFonts w:hint="default" w:ascii="Times New Roman" w:hAnsi="Times New Roman" w:eastAsia="宋体" w:cs="Times New Roman"/>
          <w:color w:val="auto"/>
          <w:szCs w:val="21"/>
          <w:highlight w:val="none"/>
          <w:lang w:val="en-US" w:eastAsia="zh-CN"/>
          <w14:ligatures w14:val="none"/>
        </w:rPr>
        <w:t>的原则进行下泄，</w:t>
      </w:r>
      <w:r>
        <w:rPr>
          <w:rFonts w:hint="default" w:ascii="Times New Roman" w:hAnsi="Times New Roman" w:cs="Times New Roman" w:eastAsiaTheme="minorEastAsia"/>
          <w:color w:val="auto"/>
          <w:szCs w:val="24"/>
          <w:highlight w:val="none"/>
        </w:rPr>
        <w:t>当来水量小于生态流量时，按天然来水量下泄</w:t>
      </w:r>
      <w:r>
        <w:rPr>
          <w:rFonts w:hint="default" w:ascii="Times New Roman" w:hAnsi="Times New Roman" w:cs="Times New Roman" w:eastAsiaTheme="minorEastAsia"/>
          <w:color w:val="auto"/>
          <w:szCs w:val="24"/>
          <w:highlight w:val="none"/>
          <w:lang w:eastAsia="zh-CN"/>
        </w:rPr>
        <w:t>。</w:t>
      </w:r>
    </w:p>
    <w:p w14:paraId="7545A8C0">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生态流量合理性分析</w:t>
      </w:r>
    </w:p>
    <w:p w14:paraId="4EC30A22">
      <w:pPr>
        <w:adjustRightInd w:val="0"/>
        <w:snapToGrid w:val="0"/>
        <w:spacing w:line="360" w:lineRule="auto"/>
        <w:ind w:firstLine="480" w:firstLineChars="200"/>
        <w:rPr>
          <w:rFonts w:hint="default" w:ascii="Times New Roman" w:hAnsi="Times New Roman" w:cs="Times New Roman" w:eastAsiaTheme="minorEastAsia"/>
          <w:color w:val="auto"/>
          <w:szCs w:val="24"/>
          <w:highlight w:val="none"/>
        </w:rPr>
      </w:pPr>
      <w:r>
        <w:rPr>
          <w:rFonts w:hint="default" w:ascii="Times New Roman" w:hAnsi="Times New Roman" w:cs="Times New Roman" w:eastAsiaTheme="minorEastAsia"/>
          <w:color w:val="auto"/>
          <w:szCs w:val="24"/>
          <w:highlight w:val="none"/>
        </w:rPr>
        <w:t>按照《全国水中长期供求规划技术大纲》要求和《云南省水中长期供求规划》中关于</w:t>
      </w:r>
      <w:r>
        <w:rPr>
          <w:rFonts w:hint="default" w:ascii="Times New Roman" w:hAnsi="Times New Roman" w:cs="Times New Roman" w:eastAsiaTheme="minorEastAsia"/>
          <w:color w:val="auto"/>
          <w:szCs w:val="24"/>
          <w:highlight w:val="none"/>
          <w:lang w:val="en-US" w:eastAsia="zh-CN"/>
        </w:rPr>
        <w:t>云南</w:t>
      </w:r>
      <w:r>
        <w:rPr>
          <w:rFonts w:hint="default" w:ascii="Times New Roman" w:hAnsi="Times New Roman" w:cs="Times New Roman" w:eastAsiaTheme="minorEastAsia"/>
          <w:color w:val="auto"/>
          <w:szCs w:val="24"/>
          <w:highlight w:val="none"/>
        </w:rPr>
        <w:t>省生态用水退还方案，为保障河流基本的生态环境用水，</w:t>
      </w:r>
      <w:r>
        <w:rPr>
          <w:rFonts w:hint="default" w:ascii="Times New Roman" w:hAnsi="Times New Roman" w:cs="Times New Roman" w:eastAsiaTheme="minorEastAsia"/>
          <w:color w:val="auto"/>
          <w:szCs w:val="24"/>
          <w:highlight w:val="none"/>
          <w:lang w:val="en-US" w:eastAsia="zh-CN"/>
        </w:rPr>
        <w:t>本规划中各类水利工程生态流量下泄原则为：</w:t>
      </w:r>
      <w:r>
        <w:rPr>
          <w:rFonts w:hint="default" w:ascii="Times New Roman" w:hAnsi="Times New Roman" w:cs="Times New Roman" w:eastAsiaTheme="minorEastAsia"/>
          <w:color w:val="auto"/>
          <w:szCs w:val="24"/>
          <w:highlight w:val="none"/>
        </w:rPr>
        <w:t>已批复项目生态基流按批复</w:t>
      </w:r>
      <w:r>
        <w:rPr>
          <w:rFonts w:hint="default" w:ascii="Times New Roman" w:hAnsi="Times New Roman" w:cs="Times New Roman" w:eastAsiaTheme="minorEastAsia"/>
          <w:color w:val="auto"/>
          <w:szCs w:val="24"/>
          <w:highlight w:val="none"/>
          <w:lang w:val="en-US" w:eastAsia="zh-CN"/>
        </w:rPr>
        <w:t>规定的生态流量</w:t>
      </w:r>
      <w:r>
        <w:rPr>
          <w:rFonts w:hint="default" w:ascii="Times New Roman" w:hAnsi="Times New Roman" w:cs="Times New Roman" w:eastAsiaTheme="minorEastAsia"/>
          <w:color w:val="auto"/>
          <w:szCs w:val="24"/>
          <w:highlight w:val="none"/>
        </w:rPr>
        <w:t>值</w:t>
      </w:r>
      <w:r>
        <w:rPr>
          <w:rFonts w:hint="default" w:ascii="Times New Roman" w:hAnsi="Times New Roman" w:cs="Times New Roman" w:eastAsiaTheme="minorEastAsia"/>
          <w:color w:val="auto"/>
          <w:szCs w:val="24"/>
          <w:highlight w:val="none"/>
          <w:lang w:val="en-US" w:eastAsia="zh-CN"/>
        </w:rPr>
        <w:t>进行</w:t>
      </w:r>
      <w:r>
        <w:rPr>
          <w:rFonts w:hint="default" w:ascii="Times New Roman" w:hAnsi="Times New Roman" w:cs="Times New Roman" w:eastAsiaTheme="minorEastAsia"/>
          <w:color w:val="auto"/>
          <w:szCs w:val="24"/>
          <w:highlight w:val="none"/>
        </w:rPr>
        <w:t>下泄，已核准生态流量的项目按核准生态流量值下泄；</w:t>
      </w:r>
      <w:r>
        <w:rPr>
          <w:rFonts w:hint="default" w:ascii="Times New Roman" w:hAnsi="Times New Roman" w:cs="Times New Roman"/>
          <w:color w:val="auto"/>
          <w:sz w:val="24"/>
          <w:highlight w:val="none"/>
        </w:rPr>
        <w:t>未开展水资源论证、环评</w:t>
      </w:r>
      <w:r>
        <w:rPr>
          <w:rFonts w:hint="default" w:ascii="Times New Roman" w:hAnsi="Times New Roman" w:cs="Times New Roman"/>
          <w:color w:val="auto"/>
          <w:sz w:val="24"/>
          <w:highlight w:val="none"/>
          <w:lang w:val="en-US" w:eastAsia="zh-CN"/>
        </w:rPr>
        <w:t>的已建工程</w:t>
      </w:r>
      <w:r>
        <w:rPr>
          <w:rFonts w:hint="default" w:ascii="Times New Roman" w:hAnsi="Times New Roman" w:cs="Times New Roman"/>
          <w:color w:val="auto"/>
          <w:sz w:val="24"/>
          <w:highlight w:val="none"/>
        </w:rPr>
        <w:t>，依据相关生态环境需水计算规范，选用多年平均流量的10%</w:t>
      </w:r>
      <w:r>
        <w:rPr>
          <w:rFonts w:hint="default" w:ascii="Times New Roman" w:hAnsi="Times New Roman" w:cs="Times New Roman"/>
          <w:color w:val="auto"/>
          <w:sz w:val="24"/>
          <w:highlight w:val="none"/>
          <w:lang w:val="en-US" w:eastAsia="zh-CN"/>
        </w:rPr>
        <w:t>进行核定。至</w:t>
      </w:r>
      <w:r>
        <w:rPr>
          <w:rFonts w:hint="default" w:ascii="Times New Roman" w:hAnsi="Times New Roman" w:cs="Times New Roman" w:eastAsiaTheme="minorEastAsia"/>
          <w:color w:val="auto"/>
          <w:szCs w:val="24"/>
          <w:highlight w:val="none"/>
        </w:rPr>
        <w:t>2035年，规划</w:t>
      </w:r>
      <w:r>
        <w:rPr>
          <w:rFonts w:hint="default" w:ascii="Times New Roman" w:hAnsi="Times New Roman" w:cs="Times New Roman" w:eastAsiaTheme="minorEastAsia"/>
          <w:color w:val="auto"/>
          <w:szCs w:val="24"/>
          <w:highlight w:val="none"/>
          <w:lang w:val="en-US" w:eastAsia="zh-CN"/>
        </w:rPr>
        <w:t>工程中涉及新建、改扩建水库</w:t>
      </w:r>
      <w:r>
        <w:rPr>
          <w:rFonts w:hint="default" w:ascii="Times New Roman" w:hAnsi="Times New Roman" w:cs="Times New Roman" w:eastAsiaTheme="minorEastAsia"/>
          <w:color w:val="auto"/>
          <w:szCs w:val="24"/>
          <w:highlight w:val="none"/>
        </w:rPr>
        <w:t>和拦河闸断面枯期按多年平均来水量的10%下泄，汛期按30%下泄。</w:t>
      </w:r>
    </w:p>
    <w:p w14:paraId="4CF07D23">
      <w:pPr>
        <w:pStyle w:val="37"/>
        <w:rPr>
          <w:rFonts w:hint="default" w:ascii="Times New Roman" w:hAnsi="Times New Roman" w:cs="Times New Roman" w:eastAsiaTheme="minorEastAsia"/>
          <w:color w:val="auto"/>
          <w:szCs w:val="24"/>
          <w:highlight w:val="none"/>
        </w:rPr>
      </w:pPr>
      <w:r>
        <w:rPr>
          <w:rFonts w:hint="default" w:ascii="Times New Roman" w:hAnsi="Times New Roman" w:cs="Times New Roman" w:eastAsiaTheme="minorEastAsia"/>
          <w:color w:val="auto"/>
          <w:szCs w:val="24"/>
          <w:highlight w:val="none"/>
          <w:lang w:val="en-US" w:eastAsia="zh-CN"/>
        </w:rPr>
        <w:t>南盘江（曲靖市境内）流域内已建水库中，湾子水库暂未核定生态流量。根据《曲靖市罗师灌区工程环境影响报告书》初步成果，本规划重大水工程中罗师灌区在水资源配置中按照湾子水库</w:t>
      </w:r>
      <w:r>
        <w:rPr>
          <w:rFonts w:hint="default" w:ascii="Times New Roman" w:hAnsi="Times New Roman" w:cs="Times New Roman"/>
          <w:color w:val="auto"/>
          <w:highlight w:val="none"/>
        </w:rPr>
        <w:t>按多年平均来水量的10%下泄生态流量</w:t>
      </w:r>
      <w:r>
        <w:rPr>
          <w:rFonts w:hint="default" w:ascii="Times New Roman" w:hAnsi="Times New Roman" w:cs="Times New Roman"/>
          <w:color w:val="auto"/>
          <w:highlight w:val="none"/>
          <w:lang w:eastAsia="zh-CN"/>
        </w:rPr>
        <w:t>，</w:t>
      </w:r>
      <w:r>
        <w:rPr>
          <w:rFonts w:hint="default" w:ascii="Times New Roman" w:hAnsi="Times New Roman" w:cs="Times New Roman" w:eastAsiaTheme="minorEastAsia"/>
          <w:color w:val="auto"/>
          <w:highlight w:val="none"/>
        </w:rPr>
        <w:t>生态泄放量满足要求</w:t>
      </w:r>
      <w:r>
        <w:rPr>
          <w:rFonts w:hint="default" w:ascii="Times New Roman" w:hAnsi="Times New Roman" w:cs="Times New Roman" w:eastAsiaTheme="minorEastAsia"/>
          <w:color w:val="auto"/>
          <w:highlight w:val="none"/>
          <w:lang w:eastAsia="zh-CN"/>
        </w:rPr>
        <w:t>；</w:t>
      </w:r>
      <w:r>
        <w:rPr>
          <w:rFonts w:hint="default" w:ascii="Times New Roman" w:hAnsi="Times New Roman" w:eastAsia="宋体" w:cs="Times New Roman"/>
          <w:color w:val="auto"/>
          <w:highlight w:val="none"/>
          <w:lang w:val="en-US" w:eastAsia="zh-CN"/>
        </w:rPr>
        <w:t>阿岗水库枯期按多年平均天然径流量的10%下泄（2.08m³/s）；汛期按断面多年平均天然径流量的30%下泄（6.23m³/s），并建有生态流量下泄措施；大坝冲水库根据取水许可证规定的下泄流量要求，大坝冲水库按多年平均流量的10%（0.0643m³/s）下泄生态流量，建有生态流量泄放监测设施；龙潭河水库根据环评批复，</w:t>
      </w:r>
      <w:r>
        <w:rPr>
          <w:rFonts w:hint="default" w:ascii="Times New Roman" w:hAnsi="Times New Roman" w:cs="Times New Roman"/>
          <w:color w:val="auto"/>
          <w:highlight w:val="none"/>
          <w:lang w:val="en-US" w:eastAsia="zh-CN"/>
        </w:rPr>
        <w:t>按照</w:t>
      </w:r>
      <w:r>
        <w:rPr>
          <w:rFonts w:hint="default" w:ascii="Times New Roman" w:hAnsi="Times New Roman" w:eastAsia="宋体" w:cs="Times New Roman"/>
          <w:color w:val="auto"/>
          <w:kern w:val="0"/>
          <w:sz w:val="24"/>
          <w:szCs w:val="24"/>
          <w:highlight w:val="none"/>
          <w:lang w:val="en-US" w:eastAsia="zh-CN" w:bidi="ar"/>
        </w:rPr>
        <w:t>水库多年平均来水量的10%下泄生态流量（0.316m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/s），通过输水隧洞生态用水控制闸阀下放生态流量。当前流域内运行的小水电站共有</w:t>
      </w:r>
      <w:r>
        <w:rPr>
          <w:rFonts w:hint="default" w:ascii="Times New Roman" w:hAnsi="Times New Roman" w:eastAsia="宋体" w:cs="Times New Roman"/>
          <w:color w:val="auto"/>
          <w:szCs w:val="24"/>
          <w:highlight w:val="none"/>
          <w:lang w:val="en-US" w:eastAsia="zh-CN"/>
        </w:rPr>
        <w:t>36个，根据《曲靖市整改类电站生态流量整改情况表》等相关文件，小水电站均已完成整改和生态流量的核定，电站均有下放生态流量并配备生态流量泄放措施，</w:t>
      </w:r>
      <w:r>
        <w:rPr>
          <w:rFonts w:hint="default" w:ascii="Times New Roman" w:hAnsi="Times New Roman" w:cs="Times New Roman" w:eastAsiaTheme="minorEastAsia"/>
          <w:color w:val="auto"/>
          <w:highlight w:val="none"/>
        </w:rPr>
        <w:t>生态泄放量</w:t>
      </w:r>
      <w:r>
        <w:rPr>
          <w:rFonts w:hint="default" w:ascii="Times New Roman" w:hAnsi="Times New Roman" w:cs="Times New Roman" w:eastAsiaTheme="minorEastAsia"/>
          <w:color w:val="auto"/>
          <w:highlight w:val="none"/>
          <w:lang w:val="en-US" w:eastAsia="zh-CN"/>
        </w:rPr>
        <w:t>均</w:t>
      </w:r>
      <w:r>
        <w:rPr>
          <w:rFonts w:hint="default" w:ascii="Times New Roman" w:hAnsi="Times New Roman" w:cs="Times New Roman" w:eastAsiaTheme="minorEastAsia"/>
          <w:color w:val="auto"/>
          <w:highlight w:val="none"/>
        </w:rPr>
        <w:t>满足要求。</w:t>
      </w:r>
    </w:p>
    <w:p w14:paraId="1EF2D51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罗师灌区工程中</w:t>
      </w:r>
      <w:r>
        <w:rPr>
          <w:rFonts w:hint="default" w:ascii="Times New Roman" w:hAnsi="Times New Roman" w:cs="Times New Roman"/>
          <w:color w:val="auto"/>
          <w:highlight w:val="none"/>
        </w:rPr>
        <w:t>新建阿岗水库浮船泵站</w:t>
      </w:r>
      <w:r>
        <w:rPr>
          <w:rFonts w:hint="default" w:ascii="Times New Roman" w:hAnsi="Times New Roman" w:eastAsia="宋体" w:cs="Times New Roman"/>
          <w:color w:val="auto"/>
          <w:highlight w:val="none"/>
          <w:lang w:val="en-US" w:eastAsia="zh-CN"/>
        </w:rPr>
        <w:t>参考《云南省曲靖市阿岗水库工程环境影响报告书》，在汛期生态流量取多年平均流量的30%，非汛期取多年平均流量的10%进行下泄；</w:t>
      </w:r>
      <w:r>
        <w:rPr>
          <w:rFonts w:hint="default" w:ascii="Times New Roman" w:hAnsi="Times New Roman" w:cs="Times New Roman"/>
          <w:color w:val="auto"/>
          <w:highlight w:val="none"/>
        </w:rPr>
        <w:t>拟改扩建小务龙水库和子午河提水泵站生态</w:t>
      </w:r>
      <w:r>
        <w:rPr>
          <w:rFonts w:hint="default" w:ascii="Times New Roman" w:hAnsi="Times New Roman" w:cs="Times New Roman"/>
          <w:color w:val="auto"/>
          <w:highlight w:val="none"/>
          <w:lang w:val="en-US" w:eastAsia="zh-CN"/>
        </w:rPr>
        <w:t>流量</w:t>
      </w:r>
      <w:r>
        <w:rPr>
          <w:rFonts w:hint="default" w:ascii="Times New Roman" w:hAnsi="Times New Roman" w:eastAsia="宋体" w:cs="Times New Roman"/>
          <w:color w:val="auto"/>
          <w:highlight w:val="none"/>
          <w:lang w:val="en-US" w:eastAsia="zh-CN"/>
        </w:rPr>
        <w:t>取多年平均流量的30%，非汛期取多年平均流量的10%进行下泄，</w:t>
      </w:r>
      <w:r>
        <w:rPr>
          <w:rFonts w:hint="default" w:ascii="Times New Roman" w:hAnsi="Times New Roman" w:cs="Times New Roman" w:eastAsiaTheme="minorEastAsia"/>
          <w:color w:val="auto"/>
          <w:szCs w:val="24"/>
          <w:highlight w:val="none"/>
        </w:rPr>
        <w:t>生态流量泄放</w:t>
      </w:r>
      <w:r>
        <w:rPr>
          <w:rFonts w:hint="default" w:ascii="Times New Roman" w:hAnsi="Times New Roman" w:cs="Times New Roman" w:eastAsiaTheme="minorEastAsia"/>
          <w:color w:val="auto"/>
          <w:szCs w:val="24"/>
          <w:highlight w:val="none"/>
          <w:lang w:val="en-US" w:eastAsia="zh-CN"/>
        </w:rPr>
        <w:t>均</w:t>
      </w:r>
      <w:r>
        <w:rPr>
          <w:rFonts w:hint="default" w:ascii="Times New Roman" w:hAnsi="Times New Roman" w:cs="Times New Roman" w:eastAsiaTheme="minorEastAsia"/>
          <w:color w:val="auto"/>
          <w:szCs w:val="24"/>
          <w:highlight w:val="none"/>
        </w:rPr>
        <w:t>满足要求</w:t>
      </w:r>
      <w:r>
        <w:rPr>
          <w:rFonts w:hint="default" w:ascii="Times New Roman" w:hAnsi="Times New Roman" w:cs="Times New Roman" w:eastAsiaTheme="minorEastAsia"/>
          <w:color w:val="auto"/>
          <w:szCs w:val="24"/>
          <w:highlight w:val="none"/>
          <w:lang w:eastAsia="zh-CN"/>
        </w:rPr>
        <w:t>。</w:t>
      </w:r>
      <w:r>
        <w:rPr>
          <w:rFonts w:hint="default" w:ascii="Times New Roman" w:hAnsi="Times New Roman" w:cs="Times New Roman"/>
          <w:color w:val="auto"/>
          <w:highlight w:val="none"/>
        </w:rPr>
        <w:t>拟在小务龙水库生态放流管内，按照一套流量计，对下泄流量进行监控，并与相关监管部门联网，以加强对工程生态流量下泄的监管，以确保生态流量按要求下放</w:t>
      </w:r>
      <w:r>
        <w:rPr>
          <w:rFonts w:hint="default" w:ascii="Times New Roman" w:hAnsi="Times New Roman" w:cs="Times New Roman"/>
          <w:color w:val="auto"/>
          <w:highlight w:val="none"/>
          <w:lang w:eastAsia="zh-CN"/>
        </w:rPr>
        <w:t>，</w:t>
      </w:r>
      <w:r>
        <w:rPr>
          <w:rFonts w:hint="default" w:ascii="Times New Roman" w:hAnsi="Times New Roman" w:eastAsia="宋体" w:cs="Times New Roman"/>
          <w:color w:val="auto"/>
          <w:highlight w:val="none"/>
          <w:lang w:val="en-US" w:eastAsia="zh-CN"/>
        </w:rPr>
        <w:t>小</w:t>
      </w:r>
      <w:r>
        <w:rPr>
          <w:rFonts w:hint="default" w:ascii="Times New Roman" w:hAnsi="Times New Roman" w:cs="Times New Roman"/>
          <w:color w:val="auto"/>
          <w:highlight w:val="none"/>
        </w:rPr>
        <w:t>务龙扩建工程在</w:t>
      </w:r>
      <w:r>
        <w:rPr>
          <w:rFonts w:hint="default" w:ascii="Times New Roman" w:hAnsi="Times New Roman" w:cs="Times New Roman"/>
          <w:color w:val="auto"/>
          <w:highlight w:val="none"/>
          <w:lang w:val="en-US" w:eastAsia="zh-CN"/>
        </w:rPr>
        <w:t>保障</w:t>
      </w:r>
      <w:r>
        <w:rPr>
          <w:rFonts w:hint="default" w:ascii="Times New Roman" w:hAnsi="Times New Roman" w:cs="Times New Roman"/>
          <w:color w:val="auto"/>
          <w:highlight w:val="none"/>
        </w:rPr>
        <w:t>生态流量</w:t>
      </w:r>
      <w:r>
        <w:rPr>
          <w:rFonts w:hint="default" w:ascii="Times New Roman" w:hAnsi="Times New Roman" w:cs="Times New Roman"/>
          <w:color w:val="auto"/>
          <w:highlight w:val="none"/>
          <w:lang w:val="en-US" w:eastAsia="zh-CN"/>
        </w:rPr>
        <w:t>下泄的前提下</w:t>
      </w:r>
      <w:r>
        <w:rPr>
          <w:rFonts w:hint="default" w:ascii="Times New Roman" w:hAnsi="Times New Roman" w:cs="Times New Roman"/>
          <w:color w:val="auto"/>
          <w:highlight w:val="none"/>
        </w:rPr>
        <w:t>，对该水域的保护鱼类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狭孔金线鲃）</w:t>
      </w:r>
      <w:r>
        <w:rPr>
          <w:rFonts w:hint="default" w:ascii="Times New Roman" w:hAnsi="Times New Roman" w:cs="Times New Roman"/>
          <w:color w:val="auto"/>
          <w:highlight w:val="none"/>
        </w:rPr>
        <w:t>有一定的有利影响，小务龙扩建工程生态流量配置是合理的。子午河泵站从河道取水，不设置拦河坝等水工建筑物</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设置监控设施一套。拟在取水口下游河道设置一套超声波流量计以及视频监控进行在线监测，并与相关监管部门联网，以加强对工程生态流量下泄的监管，以确保生态流量按要求下放。</w:t>
      </w:r>
      <w:r>
        <w:rPr>
          <w:rFonts w:hint="default" w:ascii="Times New Roman" w:hAnsi="Times New Roman" w:eastAsia="宋体" w:cs="Times New Roman"/>
          <w:color w:val="auto"/>
          <w:highlight w:val="none"/>
          <w:lang w:val="en-US" w:eastAsia="zh-CN"/>
        </w:rPr>
        <w:t>富源灌区工程中</w:t>
      </w:r>
      <w:r>
        <w:rPr>
          <w:rFonts w:hint="default" w:ascii="Times New Roman" w:hAnsi="Times New Roman" w:eastAsia="宋体" w:cs="Times New Roman"/>
          <w:color w:val="auto"/>
          <w:highlight w:val="none"/>
        </w:rPr>
        <w:t>新建大河中型水库</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新建</w:t>
      </w:r>
      <w:r>
        <w:rPr>
          <w:rFonts w:hint="default" w:ascii="Times New Roman" w:hAnsi="Times New Roman" w:eastAsia="宋体" w:cs="Times New Roman"/>
          <w:color w:val="auto"/>
          <w:highlight w:val="none"/>
        </w:rPr>
        <w:t>龙潭小（1）型水库</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新建大凹子河取水坝</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lang w:val="en-US" w:eastAsia="zh-CN"/>
        </w:rPr>
        <w:t>生态流量在汛期取多年平均流量的30%，非汛期取多年平均流量的10%进行下泄</w:t>
      </w:r>
      <w:r>
        <w:rPr>
          <w:rFonts w:hint="default" w:ascii="Times New Roman" w:hAnsi="Times New Roman" w:cs="Times New Roman"/>
          <w:color w:val="auto"/>
          <w:highlight w:val="none"/>
        </w:rPr>
        <w:t>。</w:t>
      </w:r>
      <w:r>
        <w:rPr>
          <w:rFonts w:hint="default" w:ascii="Times New Roman" w:hAnsi="Times New Roman" w:eastAsia="宋体" w:cs="Times New Roman"/>
          <w:color w:val="auto"/>
          <w:szCs w:val="21"/>
          <w:highlight w:val="none"/>
          <w14:ligatures w14:val="none"/>
        </w:rPr>
        <w:t>响水坝水库扩建</w:t>
      </w:r>
      <w:r>
        <w:rPr>
          <w:rFonts w:hint="default" w:ascii="Times New Roman" w:hAnsi="Times New Roman" w:eastAsia="宋体" w:cs="Times New Roman"/>
          <w:color w:val="auto"/>
          <w:szCs w:val="21"/>
          <w:highlight w:val="none"/>
          <w:lang w:val="en-US" w:eastAsia="zh-CN"/>
          <w14:ligatures w14:val="none"/>
        </w:rPr>
        <w:t>工程</w:t>
      </w:r>
      <w:r>
        <w:rPr>
          <w:rFonts w:hint="default" w:ascii="Times New Roman" w:hAnsi="Times New Roman" w:eastAsia="宋体" w:cs="Times New Roman"/>
          <w:color w:val="auto"/>
          <w:szCs w:val="21"/>
          <w:highlight w:val="none"/>
          <w14:ligatures w14:val="none"/>
        </w:rPr>
        <w:t>生态用水汛期按实测多年平均径流量的30%，枯期按实测多年平均径流量的15%</w:t>
      </w:r>
      <w:r>
        <w:rPr>
          <w:rFonts w:hint="default" w:ascii="Times New Roman" w:hAnsi="Times New Roman" w:eastAsia="宋体" w:cs="Times New Roman"/>
          <w:color w:val="auto"/>
          <w:szCs w:val="21"/>
          <w:highlight w:val="none"/>
          <w:lang w:val="en-US" w:eastAsia="zh-CN"/>
          <w14:ligatures w14:val="none"/>
        </w:rPr>
        <w:t>的原则进行下泄，</w:t>
      </w:r>
      <w:r>
        <w:rPr>
          <w:rFonts w:hint="default" w:ascii="Times New Roman" w:hAnsi="Times New Roman" w:cs="Times New Roman"/>
          <w:color w:val="auto"/>
          <w:highlight w:val="none"/>
        </w:rPr>
        <w:t>满足《水利水电工程生态流量计算与泄放</w:t>
      </w:r>
      <w:r>
        <w:rPr>
          <w:rFonts w:hint="default" w:ascii="Times New Roman" w:hAnsi="Times New Roman" w:cs="Times New Roman"/>
          <w:color w:val="auto"/>
          <w:highlight w:val="none"/>
          <w:lang w:eastAsia="zh-CN"/>
        </w:rPr>
        <w:t>设计规范</w:t>
      </w:r>
      <w:r>
        <w:rPr>
          <w:rFonts w:hint="default" w:ascii="Times New Roman" w:hAnsi="Times New Roman" w:cs="Times New Roman"/>
          <w:color w:val="auto"/>
          <w:highlight w:val="none"/>
        </w:rPr>
        <w:t>》（SL/T820-2023）等行业最新相关规范规程要求，该断面生态流量配置是合理的。</w:t>
      </w:r>
    </w:p>
    <w:p w14:paraId="2BE7F991">
      <w:pPr>
        <w:pStyle w:val="3"/>
        <w:numPr>
          <w:ilvl w:val="1"/>
          <w:numId w:val="4"/>
        </w:numPr>
        <w:spacing w:before="374" w:after="249"/>
        <w:rPr>
          <w:rFonts w:hint="default" w:ascii="Times New Roman" w:hAnsi="Times New Roman" w:eastAsia="宋体" w:cs="Times New Roman"/>
          <w:color w:val="auto"/>
          <w:highlight w:val="none"/>
        </w:rPr>
      </w:pPr>
      <w:bookmarkStart w:id="109" w:name="_Toc21124"/>
      <w:r>
        <w:rPr>
          <w:rFonts w:hint="default" w:ascii="Times New Roman" w:hAnsi="Times New Roman" w:eastAsia="宋体" w:cs="Times New Roman"/>
          <w:color w:val="auto"/>
          <w:highlight w:val="none"/>
        </w:rPr>
        <w:t>对水环境的影响</w:t>
      </w:r>
      <w:bookmarkEnd w:id="109"/>
    </w:p>
    <w:p w14:paraId="3B0EB662">
      <w:pPr>
        <w:pStyle w:val="14"/>
        <w:ind w:firstLine="480"/>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南盘江（曲靖市境内）流域综合规划是流域水资源综合开发利用指导性规划</w:t>
      </w:r>
      <w:r>
        <w:rPr>
          <w:rFonts w:hint="default" w:ascii="Times New Roman" w:hAnsi="Times New Roman" w:cs="Times New Roman"/>
          <w:color w:val="auto"/>
          <w:highlight w:val="none"/>
        </w:rPr>
        <w:t>，对当地水环境质量的影响是广泛、深远的，这些影响有些是不利的，而有些是有利的。如规划中各个水利工程的建设，可能改变</w:t>
      </w:r>
      <w:r>
        <w:rPr>
          <w:rFonts w:hint="default" w:ascii="Times New Roman" w:hAnsi="Times New Roman" w:cs="Times New Roman" w:eastAsiaTheme="minorEastAsia"/>
          <w:color w:val="auto"/>
          <w:highlight w:val="none"/>
        </w:rPr>
        <w:t>拟建水库所在河段水温结构，</w:t>
      </w:r>
      <w:r>
        <w:rPr>
          <w:rFonts w:hint="default" w:ascii="Times New Roman" w:hAnsi="Times New Roman" w:cs="Times New Roman"/>
          <w:color w:val="auto"/>
          <w:highlight w:val="none"/>
        </w:rPr>
        <w:t>影响大坝下游水温；</w:t>
      </w:r>
      <w:r>
        <w:rPr>
          <w:rFonts w:hint="default" w:ascii="Times New Roman" w:hAnsi="Times New Roman" w:cs="Times New Roman" w:eastAsiaTheme="minorEastAsia"/>
          <w:color w:val="auto"/>
          <w:highlight w:val="none"/>
        </w:rPr>
        <w:t>流域综合规划中重要枢纽</w:t>
      </w:r>
      <w:r>
        <w:rPr>
          <w:rFonts w:hint="default" w:ascii="Times New Roman" w:hAnsi="Times New Roman" w:cs="Times New Roman"/>
          <w:color w:val="auto"/>
          <w:highlight w:val="none"/>
        </w:rPr>
        <w:t>工程的建设，加大了水体深度，水流变缓，使水体扩散能力降低，可能影响局部河段水质。综合规划中水资源保护规划的实施，可起到控制污染源的作用，改善河段水质，以满足各河段用水要求。水土保持规划的实施可起到防止水土流失，减少面源，改善河流汛期受面源污染水质变差的状况。灌溉规划的实施可能导致规划灌区灌溉回归水增加，对河流水质造成一定影响。</w:t>
      </w:r>
    </w:p>
    <w:p w14:paraId="49A2774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以下从水文情势、水温、水质等方面对规划实施后可能造成的水环境变化状况做初步分析与预测。</w:t>
      </w:r>
    </w:p>
    <w:p w14:paraId="2320CA67">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对水文情势的影响</w:t>
      </w:r>
    </w:p>
    <w:p w14:paraId="3F3E7005">
      <w:pPr>
        <w:pStyle w:val="4"/>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南盘江（曲靖市境内）流域综合规划</w:t>
      </w:r>
      <w:r>
        <w:rPr>
          <w:rFonts w:hint="default" w:ascii="Times New Roman" w:hAnsi="Times New Roman" w:cs="Times New Roman"/>
          <w:color w:val="auto"/>
          <w:highlight w:val="none"/>
        </w:rPr>
        <w:t>实施后，规划水利水电工程修建会导致河流的片段化、造成河流减脱水、改变河流的流速、流态，水库运行水位的变幅及水库坝后水量的改变等影响。水库建成后的静水区域面积，以及工程投入运行后对区间河段水资源时空分布都</w:t>
      </w:r>
      <w:r>
        <w:rPr>
          <w:rFonts w:hint="default" w:ascii="Times New Roman" w:hAnsi="Times New Roman" w:cs="Times New Roman"/>
          <w:color w:val="auto"/>
          <w:highlight w:val="none"/>
          <w:lang w:eastAsia="zh-CN"/>
        </w:rPr>
        <w:t>有</w:t>
      </w:r>
      <w:r>
        <w:rPr>
          <w:rFonts w:hint="default" w:ascii="Times New Roman" w:hAnsi="Times New Roman" w:cs="Times New Roman"/>
          <w:color w:val="auto"/>
          <w:highlight w:val="none"/>
        </w:rPr>
        <w:t>影响。</w:t>
      </w:r>
    </w:p>
    <w:p w14:paraId="6BABF273">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水域形态变化</w:t>
      </w:r>
    </w:p>
    <w:p w14:paraId="07C5A649">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中的防洪规划包括中小河流治理、山洪灾害防治，对水域形态变化几乎不产生影响；水资源保护工程的实施将恢复河流连通性，通过水源地保护工程、水环境综合治理工程、水生态保护与修复工程、下泄生态流量等措施使河道内生态水量有所增加，对区域内水域形态带来正面影响；</w:t>
      </w:r>
      <w:r>
        <w:rPr>
          <w:rFonts w:hint="default" w:ascii="Times New Roman" w:hAnsi="Times New Roman" w:cs="Times New Roman" w:eastAsiaTheme="minorEastAsia"/>
          <w:color w:val="auto"/>
          <w:highlight w:val="none"/>
        </w:rPr>
        <w:t>南盘江（曲靖市境内）流域综合规划</w:t>
      </w:r>
      <w:r>
        <w:rPr>
          <w:rFonts w:hint="default" w:ascii="Times New Roman" w:hAnsi="Times New Roman" w:cs="Times New Roman"/>
          <w:color w:val="auto"/>
          <w:highlight w:val="none"/>
        </w:rPr>
        <w:t>实施后，将扩建小务龙水库、响水坝水库、新建大河水库、龙潭水库等水利工程。</w:t>
      </w:r>
    </w:p>
    <w:p w14:paraId="2A48C2AB">
      <w:pPr>
        <w:pStyle w:val="14"/>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rPr>
        <w:t>水库建设运行后，库区回水区河道水面变宽、天然水位壅高，库区回水区河段水体流速有所减缓，坝前流速基本最小。随着水位的变动，库区回水区河段水面宽、水深及流速等也会随之变化，库区水文情势由河流形态变为水库形态。由于大坝的拦截作用，使原有连续的河流生态系统被分隔成上下游两段，造成生态系统的</w:t>
      </w:r>
      <w:r>
        <w:rPr>
          <w:rFonts w:hint="default" w:ascii="Times New Roman" w:hAnsi="Times New Roman" w:cs="Times New Roman"/>
          <w:color w:val="auto"/>
          <w:highlight w:val="none"/>
          <w:lang w:eastAsia="zh-CN"/>
        </w:rPr>
        <w:t>片段</w:t>
      </w:r>
      <w:r>
        <w:rPr>
          <w:rFonts w:hint="default" w:ascii="Times New Roman" w:hAnsi="Times New Roman" w:eastAsia="宋体" w:cs="Times New Roman"/>
          <w:color w:val="auto"/>
          <w:highlight w:val="none"/>
        </w:rPr>
        <w:t>化，坝下河段减水从而改变坝下河段的水文情势。水库工程建成运行后，由于水库的调节作用，流量过程呈现一定趋势的削丰补枯</w:t>
      </w:r>
      <w:r>
        <w:rPr>
          <w:rFonts w:hint="default" w:ascii="Times New Roman" w:hAnsi="Times New Roman" w:eastAsia="宋体" w:cs="Times New Roman"/>
          <w:color w:val="auto"/>
          <w:highlight w:val="none"/>
          <w:lang w:eastAsia="zh-CN"/>
        </w:rPr>
        <w:t>。</w:t>
      </w:r>
    </w:p>
    <w:p w14:paraId="662AAB6B">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水量时空分布</w:t>
      </w:r>
    </w:p>
    <w:p w14:paraId="1AF26CAC">
      <w:pPr>
        <w:pStyle w:val="14"/>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规划对水量时空分配影响主要是优化水资源配置，满足缺水区域的供水保障，使得规划区域水量更加平衡。规划中的重点水源工程，包括扩建小务龙水库、响水坝水库，新建大河水库、龙潭水库等水库，均为年调节型水库，水库调蓄运行过程中将会改变库区内雨季、枯季的水量，即雨季拦蓄上游来水用作枯期灌溉。农灌用水、生产生活用水最终以回归水形式流入流域河道内，不会造成水量的减少，仅会有所损耗，但会改变水量的时空分布。</w:t>
      </w:r>
    </w:p>
    <w:p w14:paraId="189D66AE">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对规划水利工程所在河段水文情势的影响</w:t>
      </w:r>
    </w:p>
    <w:p w14:paraId="4904C75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本规划的水资源规划、灌溉规划中供水水库及灌溉工程建设后，将在河道上筑坝，使天然</w:t>
      </w:r>
      <w:r>
        <w:rPr>
          <w:rFonts w:hint="default" w:ascii="Times New Roman" w:hAnsi="Times New Roman" w:cs="Times New Roman"/>
          <w:color w:val="auto"/>
          <w:highlight w:val="none"/>
          <w:lang w:eastAsia="zh-CN"/>
        </w:rPr>
        <w:t>水位壅高</w:t>
      </w:r>
      <w:r>
        <w:rPr>
          <w:rFonts w:hint="default" w:ascii="Times New Roman" w:hAnsi="Times New Roman" w:cs="Times New Roman"/>
          <w:color w:val="auto"/>
          <w:highlight w:val="none"/>
        </w:rPr>
        <w:t>，库区河道水面展宽，水深增加，坡降变缓，流速降低，河流形态及纵向连续性和横向联系性发生明显变化，水库运行后，大部分泥沙被淤积在水库内，水库下游泥沙将大幅减少，坝下河段将产生以冲刷为主的冲淤变化，河流形态及纵向连续性和横向联系性发生明显变化。</w:t>
      </w:r>
    </w:p>
    <w:p w14:paraId="6F8A5386">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实施后，由于新建水库，可能使河谷区水面变宽，水面面积增加，水流变缓，降低部分水库稀释扩散能力，导致局部水体富营养化和岸边水污染，但本规划中的新建重点水源工程均分布于南盘江支流上，对干流不会造成直接影响；水源工程的开发，将产生河流生境改变和大坝阻隔，对水生态系统尤其是鱼类生存繁殖带来不利影响。同时，水库工程的建设对流域的径流发生明显调节作用，水库的水位、流量随调度而变化，按照防洪、水资源利用与生态环境保护要求合理安排蓄、放水时机，增加河道枯期水量，河段下游丰水期径流量比天然状况减少，枯水期径流量比天然状况增大，径流过程趋向均匀，保障生态环境需水和河段内自然保护区、景观、湿地等敏感区域及特殊生态需水要求。</w:t>
      </w:r>
    </w:p>
    <w:p w14:paraId="7E93C65B">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骨干水源工程水文情势变化</w:t>
      </w:r>
    </w:p>
    <w:p w14:paraId="784A2810">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选取重大水利工程罗师灌区工程中拟扩建的小务龙水库进行水文情势变化分析。</w:t>
      </w:r>
    </w:p>
    <w:p w14:paraId="5CCD3FC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（1）对库区水文情势影响</w:t>
      </w:r>
    </w:p>
    <w:p w14:paraId="491488B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小务龙水库扩建后，库区河段较天然状态下河道泥沙在空间和时间上分布将有所改变，形成更大的回水区域，库区河段形态从急流变为缓流，水面面积相对于原库区明显增加，静水面积增大。与天然原水库状态相比，由于大坝对水流及泥沙的拦蓄作用，坝上河段水域面积变宽、水流流速变缓、泥沙沉积增强、水深增加。水库调度运行时，水位在死水位～正常蓄水位之间变化，导致库区水流速度减缓、水位抬升、水深加大，水文情势发生一定变化。</w:t>
      </w:r>
    </w:p>
    <w:p w14:paraId="33CCA82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（2）对坝下减水河段水文情势的影响</w:t>
      </w:r>
    </w:p>
    <w:p w14:paraId="4D5B75F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由于大坝的拦截作用，使原有连续的河流生态系统被分隔成上下游两段，造成河流生态系统的</w:t>
      </w:r>
      <w:r>
        <w:rPr>
          <w:rFonts w:hint="default" w:ascii="Times New Roman" w:hAnsi="Times New Roman" w:cs="Times New Roman"/>
          <w:color w:val="auto"/>
          <w:highlight w:val="none"/>
          <w:lang w:eastAsia="zh-CN"/>
        </w:rPr>
        <w:t>片段</w:t>
      </w:r>
      <w:r>
        <w:rPr>
          <w:rFonts w:hint="default" w:ascii="Times New Roman" w:hAnsi="Times New Roman" w:cs="Times New Roman"/>
          <w:color w:val="auto"/>
          <w:highlight w:val="none"/>
        </w:rPr>
        <w:t>化，坝下河段减水从而改变坝下河段的水文情势。</w:t>
      </w:r>
    </w:p>
    <w:p w14:paraId="48C9A5D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小务龙水库的典型年月流量过程，并结合新建蓄水扩建水库的工程的任务选取P=80%、P=95%及多年平均不同水文频率的典型年，开展水库下游的水文情势影响分析。从表中可以看出，水库扩建后坝下河道出现不同程度的减水现象，但水库扩建工程已按照要求下放生态流量和弃水，下游河段的减水影响将得到缓解。</w:t>
      </w:r>
    </w:p>
    <w:p w14:paraId="3742F587">
      <w:pPr>
        <w:ind w:firstLine="480"/>
        <w:rPr>
          <w:rFonts w:hint="default" w:ascii="Times New Roman" w:hAnsi="Times New Roman" w:cs="Times New Roman"/>
          <w:color w:val="auto"/>
          <w:szCs w:val="22"/>
          <w:highlight w:val="none"/>
        </w:rPr>
      </w:pPr>
      <w:r>
        <w:rPr>
          <w:rFonts w:hint="default" w:ascii="Times New Roman" w:hAnsi="Times New Roman" w:cs="Times New Roman"/>
          <w:color w:val="auto"/>
          <w:szCs w:val="22"/>
          <w:highlight w:val="none"/>
        </w:rPr>
        <w:t>在现状年P=80%情况下，水库天然来水量0.044m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/s，调入水量0m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/s，供水量0.024m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/s，生态流量0.006m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/s，弃水量0m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/s，损失水量0.004m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/s；灌区建成后，在天然来水量不变的情况下，调入水量1.13m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/s，供水量1.17m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/s，生态流量0.011m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/s，弃水量0m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/s，损失水量0.076m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/s，由于增加生态流量下放，坝下年均增水量为0.005m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w:t>
      </w:r>
    </w:p>
    <w:p w14:paraId="1ED21549">
      <w:pPr>
        <w:ind w:firstLine="480"/>
        <w:rPr>
          <w:rFonts w:hint="default" w:ascii="Times New Roman" w:hAnsi="Times New Roman" w:cs="Times New Roman"/>
          <w:color w:val="auto"/>
          <w:szCs w:val="22"/>
          <w:highlight w:val="none"/>
        </w:rPr>
      </w:pPr>
      <w:r>
        <w:rPr>
          <w:rFonts w:hint="default" w:ascii="Times New Roman" w:hAnsi="Times New Roman" w:cs="Times New Roman"/>
          <w:color w:val="auto"/>
          <w:szCs w:val="22"/>
          <w:highlight w:val="none"/>
        </w:rPr>
        <w:t>在现状年P=95%情况下，水库天然来水量0.032m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/s，调入水量0m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/s，供水量0.024m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/s，生态流量0.006m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/s，弃水量0m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/s，损失水量0.0029m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/s；灌区建成后，在天然来水量不变的情况下，调入水量0.8m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/s，供水量0.81m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/s，生态流量0.011m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/s，弃水量0m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/s，损失水量0.055m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/s，由于增加生态流量下放，坝下年均增水量为0.005m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w:t>
      </w:r>
    </w:p>
    <w:p w14:paraId="57EDFD52">
      <w:pPr>
        <w:pStyle w:val="14"/>
        <w:ind w:firstLine="480"/>
        <w:rPr>
          <w:rFonts w:hint="default" w:ascii="Times New Roman" w:hAnsi="Times New Roman" w:cs="Times New Roman"/>
          <w:color w:val="auto"/>
          <w:szCs w:val="22"/>
          <w:highlight w:val="none"/>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color w:val="auto"/>
          <w:szCs w:val="22"/>
          <w:highlight w:val="none"/>
        </w:rPr>
        <w:t>多年平均情况下，水库天然来水量0.054m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/s，调入水量0m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/s，供水量0.022m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/s，生态流量0.006m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/s，弃水量0m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/s，损失水量0.0049m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/s；灌区建成后，在天然来水量不变的情况下，调入水量1.28m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/s，供水量1.14m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/s，生态流量0.011m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/s，弃水量0m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/s，损失水量0.097m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/s，由于增加生态流量下放，坝下年均增水量为0.005m</w:t>
      </w:r>
      <w:r>
        <w:rPr>
          <w:rFonts w:hint="default" w:ascii="Times New Roman" w:hAnsi="Times New Roman" w:cs="Times New Roman"/>
          <w:color w:val="auto"/>
          <w:szCs w:val="22"/>
          <w:highlight w:val="none"/>
          <w:vertAlign w:val="superscript"/>
        </w:rPr>
        <w:t>3</w:t>
      </w:r>
      <w:r>
        <w:rPr>
          <w:rFonts w:hint="default" w:ascii="Times New Roman" w:hAnsi="Times New Roman" w:cs="Times New Roman"/>
          <w:color w:val="auto"/>
          <w:szCs w:val="22"/>
          <w:highlight w:val="none"/>
        </w:rPr>
        <w:t>/s。</w:t>
      </w:r>
    </w:p>
    <w:p w14:paraId="6B6DAE6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对水温的影响预测</w:t>
      </w:r>
    </w:p>
    <w:p w14:paraId="05F87AC7">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本规划中对水温产生影响的主要是重大水利工程规划中扩建的小务龙水库、新建的大河水库和龙潭水库，本节主要对以上3座水库进行水温影响预测分析。</w:t>
      </w:r>
    </w:p>
    <w:p w14:paraId="06EBC67C">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判别方法</w:t>
      </w:r>
    </w:p>
    <w:p w14:paraId="6D917D2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径流—库容法（又称α法），该方法简单实用，经我国部分有实测资料的水库检验，基本符合实际，此方法也为《水利水电工程水文计算规范》（SL278－2002）推荐的水温判别方法。</w:t>
      </w:r>
    </w:p>
    <w:p w14:paraId="017C6632">
      <w:pPr>
        <w:pStyle w:val="14"/>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5" o:spt="75" type="#_x0000_t75" style="height:36pt;width:43.2pt;" o:ole="t" filled="f" o:preferrelative="t" stroked="f" coordsize="21600,21600">
            <v:path/>
            <v:fill on="f" focussize="0,0"/>
            <v:stroke on="f" joinstyle="miter"/>
            <v:imagedata r:id="rId43" o:title=""/>
            <o:lock v:ext="edit" aspectratio="t"/>
            <w10:wrap type="none"/>
            <w10:anchorlock/>
          </v:shape>
          <o:OLEObject Type="Embed" ProgID="Equation.3" ShapeID="_x0000_i1025" DrawAspect="Content" ObjectID="_1468075725" r:id="rId42">
            <o:LockedField>false</o:LockedField>
          </o:OLEObject>
        </w:object>
      </w:r>
    </w:p>
    <w:p w14:paraId="1C6931D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W——多年平均径流量，万m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/年；</w:t>
      </w:r>
    </w:p>
    <w:p w14:paraId="0AAA600D">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V</w:t>
      </w:r>
      <w:r>
        <w:rPr>
          <w:rFonts w:hint="default" w:ascii="Times New Roman" w:hAnsi="Times New Roman" w:cs="Times New Roman"/>
          <w:color w:val="auto"/>
          <w:highlight w:val="none"/>
          <w:vertAlign w:val="subscript"/>
        </w:rPr>
        <w:t>总</w:t>
      </w:r>
      <w:r>
        <w:rPr>
          <w:rFonts w:hint="default" w:ascii="Times New Roman" w:hAnsi="Times New Roman" w:cs="Times New Roman"/>
          <w:color w:val="auto"/>
          <w:highlight w:val="none"/>
        </w:rPr>
        <w:t>——水库总库容，万m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w:t>
      </w:r>
    </w:p>
    <w:p w14:paraId="45338842">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α判断系数，当α&lt;10时，水库为分层型；当10&lt;α&lt;20时，水库为过渡型；当α&gt;20时，水库为混合型。</w:t>
      </w:r>
    </w:p>
    <w:p w14:paraId="752A0324">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判别结果</w:t>
      </w:r>
    </w:p>
    <w:p w14:paraId="20FD994E">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本次选取规划中的重点水源工程作为典型工程，对其建库后的水温结构进行判断，并经综合分析。采用径流—库容法，计算结果表明小务龙水库、大河水库、龙潭水库均为典型水温分层型水库。具体见下表。</w:t>
      </w:r>
    </w:p>
    <w:p w14:paraId="39B03599">
      <w:pPr>
        <w:pStyle w:val="29"/>
        <w:bidi w:val="0"/>
        <w:rPr>
          <w:rFonts w:hint="default" w:ascii="Times New Roman" w:hAnsi="Times New Roman" w:cs="Times New Roman"/>
          <w:color w:val="auto"/>
        </w:rPr>
      </w:pPr>
      <w:r>
        <w:rPr>
          <w:rFonts w:hint="default" w:ascii="Times New Roman" w:hAnsi="Times New Roman" w:cs="Times New Roman"/>
          <w:color w:val="auto"/>
        </w:rPr>
        <w:t xml:space="preserve">表 </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STYLEREF 3 \s </w:instrText>
      </w:r>
      <w:r>
        <w:rPr>
          <w:rFonts w:hint="default" w:ascii="Times New Roman" w:hAnsi="Times New Roman" w:cs="Times New Roman"/>
          <w:color w:val="auto"/>
        </w:rPr>
        <w:fldChar w:fldCharType="separate"/>
      </w:r>
      <w:r>
        <w:rPr>
          <w:rFonts w:hint="default" w:ascii="Times New Roman" w:hAnsi="Times New Roman" w:cs="Times New Roman"/>
          <w:color w:val="auto"/>
        </w:rPr>
        <w:t>5.3.2</w:t>
      </w:r>
      <w:r>
        <w:rPr>
          <w:rFonts w:hint="default" w:ascii="Times New Roman" w:hAnsi="Times New Roman" w:cs="Times New Roman"/>
          <w:color w:val="auto"/>
        </w:rPr>
        <w:fldChar w:fldCharType="end"/>
      </w:r>
      <w:r>
        <w:rPr>
          <w:rFonts w:hint="default" w:ascii="Times New Roman" w:hAnsi="Times New Roman" w:cs="Times New Roman"/>
          <w:color w:val="auto"/>
        </w:rPr>
        <w:noBreakHyphen/>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SEQ 表 \* ARABIC \s 3 </w:instrText>
      </w:r>
      <w:r>
        <w:rPr>
          <w:rFonts w:hint="default" w:ascii="Times New Roman" w:hAnsi="Times New Roman" w:cs="Times New Roman"/>
          <w:color w:val="auto"/>
        </w:rPr>
        <w:fldChar w:fldCharType="separate"/>
      </w:r>
      <w:r>
        <w:rPr>
          <w:rFonts w:hint="default" w:ascii="Times New Roman" w:hAnsi="Times New Roman" w:cs="Times New Roman"/>
          <w:color w:val="auto"/>
        </w:rPr>
        <w:t>1</w:t>
      </w:r>
      <w:r>
        <w:rPr>
          <w:rFonts w:hint="default" w:ascii="Times New Roman" w:hAnsi="Times New Roman" w:cs="Times New Roman"/>
          <w:color w:val="auto"/>
        </w:rPr>
        <w:fldChar w:fldCharType="end"/>
      </w:r>
      <w:r>
        <w:rPr>
          <w:rFonts w:hint="default" w:ascii="Times New Roman" w:hAnsi="Times New Roman" w:cs="Times New Roman"/>
          <w:color w:val="auto"/>
        </w:rPr>
        <w:t xml:space="preserve">  重点水源工程水温判别表</w:t>
      </w:r>
    </w:p>
    <w:tbl>
      <w:tblPr>
        <w:tblStyle w:val="22"/>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929"/>
        <w:gridCol w:w="1735"/>
        <w:gridCol w:w="1778"/>
        <w:gridCol w:w="1367"/>
        <w:gridCol w:w="1713"/>
      </w:tblGrid>
      <w:tr w14:paraId="1B6CB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681" w:hRule="atLeast"/>
        </w:trPr>
        <w:tc>
          <w:tcPr>
            <w:tcW w:w="1132" w:type="pct"/>
            <w:noWrap/>
            <w:vAlign w:val="center"/>
          </w:tcPr>
          <w:p w14:paraId="1DD6242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水库名称</w:t>
            </w:r>
          </w:p>
        </w:tc>
        <w:tc>
          <w:tcPr>
            <w:tcW w:w="1018" w:type="pct"/>
            <w:vAlign w:val="center"/>
          </w:tcPr>
          <w:p w14:paraId="3B34C8F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多年平均径流量（万m</w:t>
            </w:r>
            <w:r>
              <w:rPr>
                <w:rFonts w:hint="default" w:ascii="Times New Roman" w:hAnsi="Times New Roman" w:cs="Times New Roman"/>
                <w:color w:val="auto"/>
                <w:kern w:val="0"/>
                <w:sz w:val="21"/>
                <w:szCs w:val="21"/>
                <w:highlight w:val="none"/>
                <w:vertAlign w:val="superscript"/>
              </w:rPr>
              <w:t>3</w:t>
            </w:r>
            <w:r>
              <w:rPr>
                <w:rFonts w:hint="default" w:ascii="Times New Roman" w:hAnsi="Times New Roman" w:cs="Times New Roman"/>
                <w:color w:val="auto"/>
                <w:kern w:val="0"/>
                <w:sz w:val="21"/>
                <w:szCs w:val="21"/>
                <w:highlight w:val="none"/>
              </w:rPr>
              <w:t>/a）</w:t>
            </w:r>
          </w:p>
        </w:tc>
        <w:tc>
          <w:tcPr>
            <w:tcW w:w="1043" w:type="pct"/>
            <w:vAlign w:val="center"/>
          </w:tcPr>
          <w:p w14:paraId="730EE121">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水库总库容</w:t>
            </w:r>
            <w:r>
              <w:rPr>
                <w:rFonts w:hint="default" w:ascii="Times New Roman" w:hAnsi="Times New Roman" w:cs="Times New Roman"/>
                <w:color w:val="auto"/>
                <w:kern w:val="0"/>
                <w:sz w:val="21"/>
                <w:szCs w:val="21"/>
                <w:highlight w:val="none"/>
              </w:rPr>
              <w:br w:type="textWrapping"/>
            </w:r>
            <w:r>
              <w:rPr>
                <w:rFonts w:hint="default" w:ascii="Times New Roman" w:hAnsi="Times New Roman" w:cs="Times New Roman"/>
                <w:color w:val="auto"/>
                <w:kern w:val="0"/>
                <w:sz w:val="21"/>
                <w:szCs w:val="21"/>
                <w:highlight w:val="none"/>
              </w:rPr>
              <w:t>（万m</w:t>
            </w:r>
            <w:r>
              <w:rPr>
                <w:rFonts w:hint="default" w:ascii="Times New Roman" w:hAnsi="Times New Roman" w:cs="Times New Roman"/>
                <w:color w:val="auto"/>
                <w:kern w:val="0"/>
                <w:sz w:val="21"/>
                <w:szCs w:val="21"/>
                <w:highlight w:val="none"/>
                <w:vertAlign w:val="superscript"/>
              </w:rPr>
              <w:t>3</w:t>
            </w:r>
            <w:r>
              <w:rPr>
                <w:rFonts w:hint="default" w:ascii="Times New Roman" w:hAnsi="Times New Roman" w:cs="Times New Roman"/>
                <w:color w:val="auto"/>
                <w:kern w:val="0"/>
                <w:sz w:val="21"/>
                <w:szCs w:val="21"/>
                <w:highlight w:val="none"/>
              </w:rPr>
              <w:t>）</w:t>
            </w:r>
          </w:p>
        </w:tc>
        <w:tc>
          <w:tcPr>
            <w:tcW w:w="802" w:type="pct"/>
            <w:noWrap/>
            <w:vAlign w:val="center"/>
          </w:tcPr>
          <w:p w14:paraId="1CDFA5A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α值</w:t>
            </w:r>
          </w:p>
        </w:tc>
        <w:tc>
          <w:tcPr>
            <w:tcW w:w="1005" w:type="pct"/>
            <w:noWrap/>
            <w:vAlign w:val="center"/>
          </w:tcPr>
          <w:p w14:paraId="4AE3ACE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水温结构判别</w:t>
            </w:r>
          </w:p>
        </w:tc>
      </w:tr>
      <w:tr w14:paraId="01C593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4" w:hRule="atLeast"/>
        </w:trPr>
        <w:tc>
          <w:tcPr>
            <w:tcW w:w="1132" w:type="pct"/>
            <w:vAlign w:val="center"/>
          </w:tcPr>
          <w:p w14:paraId="35F125C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小务龙水库</w:t>
            </w:r>
          </w:p>
        </w:tc>
        <w:tc>
          <w:tcPr>
            <w:tcW w:w="1018" w:type="pct"/>
            <w:noWrap/>
            <w:vAlign w:val="center"/>
          </w:tcPr>
          <w:p w14:paraId="7F4434D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 xml:space="preserve">189.00 </w:t>
            </w:r>
          </w:p>
        </w:tc>
        <w:tc>
          <w:tcPr>
            <w:tcW w:w="1043" w:type="pct"/>
            <w:noWrap/>
            <w:vAlign w:val="center"/>
          </w:tcPr>
          <w:p w14:paraId="76ABF03F">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3512</w:t>
            </w:r>
          </w:p>
        </w:tc>
        <w:tc>
          <w:tcPr>
            <w:tcW w:w="802" w:type="pct"/>
            <w:noWrap/>
            <w:vAlign w:val="center"/>
          </w:tcPr>
          <w:p w14:paraId="3D2CA07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 xml:space="preserve">0.05 </w:t>
            </w:r>
          </w:p>
        </w:tc>
        <w:tc>
          <w:tcPr>
            <w:tcW w:w="1005" w:type="pct"/>
            <w:noWrap/>
            <w:vAlign w:val="center"/>
          </w:tcPr>
          <w:p w14:paraId="7415C222">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分层型</w:t>
            </w:r>
          </w:p>
        </w:tc>
      </w:tr>
      <w:tr w14:paraId="667FAE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44" w:hRule="atLeast"/>
        </w:trPr>
        <w:tc>
          <w:tcPr>
            <w:tcW w:w="1132" w:type="pct"/>
            <w:vAlign w:val="center"/>
          </w:tcPr>
          <w:p w14:paraId="13BF417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大河水库</w:t>
            </w:r>
          </w:p>
        </w:tc>
        <w:tc>
          <w:tcPr>
            <w:tcW w:w="1018" w:type="pct"/>
            <w:noWrap/>
            <w:vAlign w:val="center"/>
          </w:tcPr>
          <w:p w14:paraId="2B3F6879">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 xml:space="preserve">48450.00 </w:t>
            </w:r>
          </w:p>
        </w:tc>
        <w:tc>
          <w:tcPr>
            <w:tcW w:w="1043" w:type="pct"/>
            <w:noWrap/>
            <w:vAlign w:val="center"/>
          </w:tcPr>
          <w:p w14:paraId="3A97A633">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6337</w:t>
            </w:r>
          </w:p>
        </w:tc>
        <w:tc>
          <w:tcPr>
            <w:tcW w:w="802" w:type="pct"/>
            <w:noWrap/>
            <w:vAlign w:val="center"/>
          </w:tcPr>
          <w:p w14:paraId="66CFCDDD">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 xml:space="preserve">7.65 </w:t>
            </w:r>
          </w:p>
        </w:tc>
        <w:tc>
          <w:tcPr>
            <w:tcW w:w="1005" w:type="pct"/>
            <w:noWrap/>
            <w:vAlign w:val="center"/>
          </w:tcPr>
          <w:p w14:paraId="4D19813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分层型</w:t>
            </w:r>
          </w:p>
        </w:tc>
      </w:tr>
      <w:tr w14:paraId="7F2908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288" w:hRule="atLeast"/>
        </w:trPr>
        <w:tc>
          <w:tcPr>
            <w:tcW w:w="1132" w:type="pct"/>
            <w:vAlign w:val="center"/>
          </w:tcPr>
          <w:p w14:paraId="6C36886C">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龙潭水库</w:t>
            </w:r>
          </w:p>
        </w:tc>
        <w:tc>
          <w:tcPr>
            <w:tcW w:w="1018" w:type="pct"/>
            <w:noWrap/>
            <w:vAlign w:val="center"/>
          </w:tcPr>
          <w:p w14:paraId="031C8396">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 xml:space="preserve">612.90 </w:t>
            </w:r>
          </w:p>
        </w:tc>
        <w:tc>
          <w:tcPr>
            <w:tcW w:w="1043" w:type="pct"/>
            <w:noWrap/>
            <w:vAlign w:val="center"/>
          </w:tcPr>
          <w:p w14:paraId="77F0B7C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282</w:t>
            </w:r>
          </w:p>
        </w:tc>
        <w:tc>
          <w:tcPr>
            <w:tcW w:w="802" w:type="pct"/>
            <w:noWrap/>
            <w:vAlign w:val="center"/>
          </w:tcPr>
          <w:p w14:paraId="68C74687">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 xml:space="preserve">2.17 </w:t>
            </w:r>
          </w:p>
        </w:tc>
        <w:tc>
          <w:tcPr>
            <w:tcW w:w="1005" w:type="pct"/>
            <w:noWrap/>
            <w:vAlign w:val="center"/>
          </w:tcPr>
          <w:p w14:paraId="3FE995EA">
            <w:pPr>
              <w:widowControl/>
              <w:spacing w:line="240" w:lineRule="auto"/>
              <w:jc w:val="center"/>
              <w:rPr>
                <w:rFonts w:hint="default" w:ascii="Times New Roman" w:hAnsi="Times New Roman" w:cs="Times New Roman"/>
                <w:color w:val="auto"/>
                <w:kern w:val="0"/>
                <w:sz w:val="21"/>
                <w:szCs w:val="21"/>
                <w:highlight w:val="none"/>
              </w:rPr>
            </w:pPr>
            <w:r>
              <w:rPr>
                <w:rFonts w:hint="default" w:ascii="Times New Roman" w:hAnsi="Times New Roman" w:cs="Times New Roman"/>
                <w:color w:val="auto"/>
                <w:kern w:val="0"/>
                <w:sz w:val="21"/>
                <w:szCs w:val="21"/>
                <w:highlight w:val="none"/>
              </w:rPr>
              <w:t>分层型</w:t>
            </w:r>
          </w:p>
        </w:tc>
      </w:tr>
    </w:tbl>
    <w:p w14:paraId="6D3F64FA">
      <w:pPr>
        <w:pStyle w:val="14"/>
        <w:ind w:firstLine="480"/>
        <w:rPr>
          <w:rFonts w:hint="default" w:ascii="Times New Roman" w:hAnsi="Times New Roman" w:cs="Times New Roman"/>
          <w:color w:val="auto"/>
          <w:highlight w:val="none"/>
        </w:rPr>
      </w:pPr>
    </w:p>
    <w:p w14:paraId="14B33DED">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分层型水库的出库水温与天然河道水温相比，存在一定程度的温差，取水进入下游河道可能存在低温水下泄情况。如果坝下河道水温骤降3℃以上，可能对鱼类造成不利影响，同时可能对下游农业灌溉造成减产影响。由于供水通过渠道或者管道进行，因此随着沿程升温，低温水的影响可以得到一定的缓解。</w:t>
      </w:r>
    </w:p>
    <w:p w14:paraId="72D6EFF8">
      <w:pPr>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现阶段，规划近远期拟建的中型及以上规模水库均未开展相关设计工作，因此无运行水位、水深等相关的基础数据作为水温预测基础。规划实施后坝前水温分层的具体影响预测应在各项目后续设计中完善分析。</w:t>
      </w:r>
    </w:p>
    <w:p w14:paraId="39C71D2D">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对水质的影响预测</w:t>
      </w:r>
    </w:p>
    <w:p w14:paraId="58B2E12D">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污染源预测</w:t>
      </w:r>
    </w:p>
    <w:p w14:paraId="7870CA94">
      <w:pPr>
        <w:pStyle w:val="14"/>
        <w:ind w:firstLine="480"/>
        <w:rPr>
          <w:color w:val="auto"/>
        </w:rPr>
      </w:pPr>
      <w:r>
        <w:rPr>
          <w:color w:val="auto"/>
        </w:rPr>
        <w:t>本</w:t>
      </w:r>
      <w:r>
        <w:rPr>
          <w:rFonts w:hint="eastAsia"/>
          <w:color w:val="auto"/>
        </w:rPr>
        <w:t>次评价污染源预测</w:t>
      </w:r>
      <w:r>
        <w:rPr>
          <w:color w:val="auto"/>
        </w:rPr>
        <w:t>针对存量及增量进行</w:t>
      </w:r>
      <w:r>
        <w:rPr>
          <w:rFonts w:hint="eastAsia"/>
          <w:color w:val="auto"/>
        </w:rPr>
        <w:t>预测</w:t>
      </w:r>
      <w:r>
        <w:rPr>
          <w:color w:val="auto"/>
        </w:rPr>
        <w:t>，存量即指</w:t>
      </w:r>
      <w:r>
        <w:rPr>
          <w:rFonts w:hint="eastAsia"/>
          <w:color w:val="auto"/>
        </w:rPr>
        <w:t>评价</w:t>
      </w:r>
      <w:r>
        <w:rPr>
          <w:color w:val="auto"/>
        </w:rPr>
        <w:t>区利用当地水资源进行发展条件下在规划</w:t>
      </w:r>
      <w:r>
        <w:rPr>
          <w:rFonts w:hint="eastAsia"/>
          <w:color w:val="auto"/>
        </w:rPr>
        <w:t>项目</w:t>
      </w:r>
      <w:r>
        <w:rPr>
          <w:color w:val="auto"/>
        </w:rPr>
        <w:t>实施前已存在的排污量，增量即指</w:t>
      </w:r>
      <w:r>
        <w:rPr>
          <w:rFonts w:hint="eastAsia"/>
          <w:color w:val="auto"/>
        </w:rPr>
        <w:t>评价</w:t>
      </w:r>
      <w:r>
        <w:rPr>
          <w:color w:val="auto"/>
        </w:rPr>
        <w:t>区利用</w:t>
      </w:r>
      <w:r>
        <w:rPr>
          <w:rFonts w:hint="eastAsia"/>
          <w:color w:val="auto"/>
        </w:rPr>
        <w:t>规划新增重点工程实施后</w:t>
      </w:r>
      <w:r>
        <w:rPr>
          <w:color w:val="auto"/>
        </w:rPr>
        <w:t>新增水资源进行发展条件下新增的排污量。</w:t>
      </w:r>
    </w:p>
    <w:p w14:paraId="67CD309F">
      <w:pPr>
        <w:pStyle w:val="7"/>
        <w:numPr>
          <w:ilvl w:val="4"/>
          <w:numId w:val="4"/>
        </w:numPr>
        <w:spacing w:before="374" w:after="249"/>
        <w:rPr>
          <w:rFonts w:hint="default" w:ascii="Times New Roman" w:hAnsi="Times New Roman" w:cs="Times New Roman"/>
          <w:color w:val="auto"/>
          <w:highlight w:val="none"/>
        </w:rPr>
      </w:pPr>
      <w:r>
        <w:rPr>
          <w:rFonts w:hint="eastAsia" w:ascii="Times New Roman" w:hAnsi="Times New Roman" w:cs="Times New Roman"/>
          <w:color w:val="auto"/>
          <w:highlight w:val="none"/>
        </w:rPr>
        <w:t>存量预测方法及条件</w:t>
      </w:r>
    </w:p>
    <w:p w14:paraId="4E5B4DBB">
      <w:pPr>
        <w:pStyle w:val="14"/>
        <w:ind w:firstLine="480"/>
        <w:rPr>
          <w:rFonts w:hint="eastAsia"/>
          <w:color w:val="auto"/>
        </w:rPr>
      </w:pPr>
      <w:r>
        <w:rPr>
          <w:rFonts w:hint="eastAsia"/>
          <w:color w:val="auto"/>
        </w:rPr>
        <w:t>（1）社会经济发展预测</w:t>
      </w:r>
    </w:p>
    <w:p w14:paraId="57715958">
      <w:pPr>
        <w:pStyle w:val="14"/>
        <w:ind w:firstLine="480"/>
        <w:rPr>
          <w:rFonts w:hint="eastAsia"/>
          <w:color w:val="auto"/>
        </w:rPr>
      </w:pPr>
      <w:r>
        <w:rPr>
          <w:rFonts w:hint="eastAsia"/>
          <w:color w:val="auto"/>
        </w:rPr>
        <w:t>以现状社会经济指标为基础，以《中共云南省委 云南省人民政府关于贯彻新发展理念推动各州高质量跨越式发展的指导意见》《曲靖市国土空间总体规划》（2021—2035年）《曲靖市国民经济和社会发展第十五个五年规划纲要》等为指导，综合发改、卫健、住建、农业农村等相关部门以及重点区域、重点领域对中长期经济社会发展形势的分析和研判，综合协调优化，合理预测规划区经济发展指标。</w:t>
      </w:r>
    </w:p>
    <w:p w14:paraId="5C6D32E4">
      <w:pPr>
        <w:pStyle w:val="14"/>
        <w:ind w:firstLine="480"/>
        <w:rPr>
          <w:rFonts w:hint="eastAsia"/>
          <w:color w:val="auto"/>
        </w:rPr>
      </w:pPr>
      <w:r>
        <w:rPr>
          <w:rFonts w:hint="eastAsia"/>
          <w:color w:val="auto"/>
        </w:rPr>
        <w:t>人口与畜牧业发展预测。2024年末，规划区常住人口351.6万人，其中城镇人口181.9万人，城镇化率为51.7%。随着云南省副中心城市建设的全面提速，曲靖市人口、产业、公共服务等要素资源将进一步向沾曲陆宜核心区域集聚，农村劳动力向二三产业有序转移，城镇人口承载能力显著增强。结合近十年人口自然增长率、城镇化率演变趋势，适度考虑人口政策的逐步放开，同时与《云南省水网建设规划》《滇中城市群发展规划》《曲靖市国土空间总体规划》（2021—2035年）等相关规划的增长率指标进行对比和协调。至2035年，规划区总人口422.0万人，其中城镇人口276.0万人，城镇化率达到65.4%。人口增长主要集中在沾曲陆宜四级区范围内，规划区农村人口随城镇化进程呈逐步减少态势。与此同时，为适应消费升级和农业产业结构优化需求，规划区畜牧业生产保持适度增长，养殖方式逐步向规模化、标准化转变。至2035年，大牲畜存栏由现状53.1万头增长到56.0万头，小牲畜存栏由现状469.6万头增长到529.4万头。</w:t>
      </w:r>
    </w:p>
    <w:p w14:paraId="4C653595">
      <w:pPr>
        <w:pStyle w:val="14"/>
        <w:ind w:firstLine="480"/>
        <w:rPr>
          <w:rFonts w:hint="eastAsia"/>
          <w:color w:val="auto"/>
        </w:rPr>
      </w:pPr>
      <w:r>
        <w:rPr>
          <w:rFonts w:hint="eastAsia"/>
          <w:color w:val="auto"/>
        </w:rPr>
        <w:t>地区生产总值（GDP）预测。规划区2024年地区生产总值2496亿元，人均地区生产总值7.1万元。按照云南省“3815”战略发展目标部署，到2035年全省要与全国同步基本实现社会主义现代化，曲靖作为云南省第二大经济体，必须保持合理较快的发展速度，在总量和质量上为全省大局提供有力支撑。根据有关规划的发展导向，综合确定基准年至2035年规划区GDP年均增长率为5.5%。至2035年，规划区GDP增加至4498亿元，人均GDP为10.7万元，产业结构持续优化，协同发展格局进一步巩固。</w:t>
      </w:r>
    </w:p>
    <w:p w14:paraId="7991CA31">
      <w:pPr>
        <w:pStyle w:val="14"/>
        <w:ind w:firstLine="480"/>
        <w:rPr>
          <w:rFonts w:hint="eastAsia"/>
          <w:color w:val="auto"/>
        </w:rPr>
      </w:pPr>
      <w:r>
        <w:rPr>
          <w:rFonts w:hint="eastAsia"/>
          <w:color w:val="auto"/>
        </w:rPr>
        <w:t>工业增加值预测。工业是曲靖经济的压舱石和增长主动力，规划区2024年工业增加值743亿元。未来，随着滇中城市群产业协同效应逐步显现，曲靖承接东部产业转移的空间优势和要素成本优势持续释放，工业增加值将保持较快增长态势。结合相关产业发展规划，综合考虑近十年工业增加值增长趋势、工业用地供给保障能力、重点产业项目布局及工业占第二产业比重变化等因素，综合确定基准年至规划年规划区工业增加值年均增长率为7.2%。至2035年，规划区工业增加值达到1594亿元。</w:t>
      </w:r>
    </w:p>
    <w:p w14:paraId="2F309D46">
      <w:pPr>
        <w:pStyle w:val="14"/>
        <w:ind w:firstLine="480"/>
        <w:rPr>
          <w:rFonts w:hint="eastAsia"/>
          <w:color w:val="auto"/>
        </w:rPr>
      </w:pPr>
      <w:r>
        <w:rPr>
          <w:rFonts w:hint="eastAsia"/>
          <w:color w:val="auto"/>
        </w:rPr>
        <w:t>灌溉面积预测。曲靖作为全省重要的高原特色农产品生产基地，将稳定粮食生产，大力发展蔬菜、水果、中药材、花卉等特色农产品。近年来，随着农业供给侧结构性改革持续深化，规划区特色经济作物种植比例逐步提高，对灌溉保障能力提出了更高要求。根据国土“三调”成果，现状规划区耕地613.2万亩，园地面积50.4万亩。根据现状水土资源情况调查与分析，现状规划区耕园地有效灌溉面积为178.0万亩，其中常规灌溉面积171.9万亩，高效节水灌溉面积6.1万亩。结合《云南省农田灌溉发展规划》和《曲靖市水网建设规划》以及各县（区）水网建设规划中的大中型灌区建设安排，合理预测各单元有效灌溉面积。预计到2035年，规划区设计灌溉面积增长到276.8万亩，其中常规和高效灌溉面积分别为214.8和62.0万亩。</w:t>
      </w:r>
    </w:p>
    <w:p w14:paraId="3DA0D41F">
      <w:pPr>
        <w:pStyle w:val="14"/>
        <w:ind w:firstLine="480"/>
        <w:rPr>
          <w:rFonts w:hint="eastAsia"/>
          <w:color w:val="auto"/>
        </w:rPr>
        <w:sectPr>
          <w:pgSz w:w="11906" w:h="16838"/>
          <w:pgMar w:top="1440" w:right="1800" w:bottom="1440" w:left="1800" w:header="851" w:footer="992" w:gutter="0"/>
          <w:pgNumType w:fmt="decimal"/>
          <w:cols w:space="425" w:num="1"/>
          <w:docGrid w:type="lines" w:linePitch="312" w:charSpace="0"/>
        </w:sectPr>
      </w:pPr>
    </w:p>
    <w:p w14:paraId="36707D33">
      <w:pPr>
        <w:pStyle w:val="29"/>
        <w:bidi w:val="0"/>
        <w:rPr>
          <w:color w:val="auto"/>
        </w:rPr>
      </w:pPr>
      <w:r>
        <w:rPr>
          <w:color w:val="auto"/>
        </w:rPr>
        <w:t xml:space="preserve">表 </w:t>
      </w:r>
      <w:r>
        <w:rPr>
          <w:color w:val="auto"/>
        </w:rPr>
        <w:fldChar w:fldCharType="begin"/>
      </w:r>
      <w:r>
        <w:rPr>
          <w:color w:val="auto"/>
        </w:rPr>
        <w:instrText xml:space="preserve"> STYLEREF 3 \s </w:instrText>
      </w:r>
      <w:r>
        <w:rPr>
          <w:color w:val="auto"/>
        </w:rPr>
        <w:fldChar w:fldCharType="separate"/>
      </w:r>
      <w:r>
        <w:rPr>
          <w:color w:val="auto"/>
        </w:rPr>
        <w:t>5.3.3</w:t>
      </w:r>
      <w:r>
        <w:rPr>
          <w:color w:val="auto"/>
        </w:rPr>
        <w:fldChar w:fldCharType="end"/>
      </w:r>
      <w:r>
        <w:rPr>
          <w:color w:val="auto"/>
        </w:rPr>
        <w:noBreakHyphen/>
      </w:r>
      <w:r>
        <w:rPr>
          <w:color w:val="auto"/>
        </w:rPr>
        <w:fldChar w:fldCharType="begin"/>
      </w:r>
      <w:r>
        <w:rPr>
          <w:color w:val="auto"/>
        </w:rPr>
        <w:instrText xml:space="preserve"> SEQ 表 \* ARABIC \s 3 </w:instrText>
      </w:r>
      <w:r>
        <w:rPr>
          <w:color w:val="auto"/>
        </w:rPr>
        <w:fldChar w:fldCharType="separate"/>
      </w:r>
      <w:r>
        <w:rPr>
          <w:color w:val="auto"/>
        </w:rPr>
        <w:t>1</w:t>
      </w:r>
      <w:r>
        <w:rPr>
          <w:color w:val="auto"/>
        </w:rPr>
        <w:fldChar w:fldCharType="end"/>
      </w:r>
      <w:r>
        <w:rPr>
          <w:color w:val="auto"/>
        </w:rPr>
        <w:t xml:space="preserve">  社会经济指标汇总表</w:t>
      </w:r>
    </w:p>
    <w:tbl>
      <w:tblPr>
        <w:tblStyle w:val="22"/>
        <w:tblW w:w="4997" w:type="pct"/>
        <w:tblInd w:w="5" w:type="dxa"/>
        <w:tblLayout w:type="fixed"/>
        <w:tblCellMar>
          <w:top w:w="0" w:type="dxa"/>
          <w:left w:w="108" w:type="dxa"/>
          <w:bottom w:w="0" w:type="dxa"/>
          <w:right w:w="108" w:type="dxa"/>
        </w:tblCellMar>
      </w:tblPr>
      <w:tblGrid>
        <w:gridCol w:w="593"/>
        <w:gridCol w:w="1246"/>
        <w:gridCol w:w="1023"/>
        <w:gridCol w:w="802"/>
        <w:gridCol w:w="802"/>
        <w:gridCol w:w="802"/>
        <w:gridCol w:w="830"/>
        <w:gridCol w:w="744"/>
        <w:gridCol w:w="766"/>
        <w:gridCol w:w="769"/>
        <w:gridCol w:w="835"/>
        <w:gridCol w:w="815"/>
        <w:gridCol w:w="787"/>
        <w:gridCol w:w="824"/>
        <w:gridCol w:w="815"/>
        <w:gridCol w:w="840"/>
        <w:gridCol w:w="667"/>
      </w:tblGrid>
      <w:tr w14:paraId="3F9A5483">
        <w:tblPrEx>
          <w:tblCellMar>
            <w:top w:w="0" w:type="dxa"/>
            <w:left w:w="108" w:type="dxa"/>
            <w:bottom w:w="0" w:type="dxa"/>
            <w:right w:w="108" w:type="dxa"/>
          </w:tblCellMar>
        </w:tblPrEx>
        <w:trPr>
          <w:trHeight w:val="285" w:hRule="atLeast"/>
          <w:tblHeader/>
        </w:trPr>
        <w:tc>
          <w:tcPr>
            <w:tcW w:w="212"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8373D4F">
            <w:pPr>
              <w:widowControl/>
              <w:spacing w:line="240" w:lineRule="auto"/>
              <w:jc w:val="center"/>
              <w:rPr>
                <w:rFonts w:cs="Times New Roman"/>
                <w:b/>
                <w:bCs/>
                <w:color w:val="auto"/>
                <w:sz w:val="21"/>
                <w:szCs w:val="21"/>
              </w:rPr>
            </w:pPr>
            <w:r>
              <w:rPr>
                <w:rFonts w:cs="Times New Roman"/>
                <w:b/>
                <w:bCs/>
                <w:color w:val="auto"/>
                <w:sz w:val="21"/>
                <w:szCs w:val="21"/>
              </w:rPr>
              <w:t>行政区</w:t>
            </w:r>
          </w:p>
        </w:tc>
        <w:tc>
          <w:tcPr>
            <w:tcW w:w="446" w:type="pct"/>
            <w:vMerge w:val="restar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FC9870C">
            <w:pPr>
              <w:widowControl/>
              <w:spacing w:line="240" w:lineRule="auto"/>
              <w:jc w:val="center"/>
              <w:rPr>
                <w:rFonts w:cs="Times New Roman"/>
                <w:b/>
                <w:bCs/>
                <w:color w:val="auto"/>
                <w:sz w:val="21"/>
                <w:szCs w:val="21"/>
              </w:rPr>
            </w:pPr>
            <w:r>
              <w:rPr>
                <w:rFonts w:cs="Times New Roman"/>
                <w:b/>
                <w:bCs/>
                <w:color w:val="auto"/>
                <w:sz w:val="21"/>
                <w:szCs w:val="21"/>
              </w:rPr>
              <w:t>计算单元名称</w:t>
            </w:r>
          </w:p>
        </w:tc>
        <w:tc>
          <w:tcPr>
            <w:tcW w:w="366" w:type="pct"/>
            <w:vMerge w:val="restar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11961A74">
            <w:pPr>
              <w:widowControl/>
              <w:spacing w:line="240" w:lineRule="auto"/>
              <w:jc w:val="center"/>
              <w:rPr>
                <w:rFonts w:cs="Times New Roman"/>
                <w:b/>
                <w:bCs/>
                <w:color w:val="auto"/>
                <w:sz w:val="21"/>
                <w:szCs w:val="21"/>
              </w:rPr>
            </w:pPr>
            <w:r>
              <w:rPr>
                <w:rFonts w:cs="Times New Roman"/>
                <w:b/>
                <w:bCs/>
                <w:color w:val="auto"/>
                <w:sz w:val="21"/>
                <w:szCs w:val="21"/>
              </w:rPr>
              <w:t>水平年</w:t>
            </w:r>
          </w:p>
        </w:tc>
        <w:tc>
          <w:tcPr>
            <w:tcW w:w="1158" w:type="pct"/>
            <w:gridSpan w:val="4"/>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8E265D3">
            <w:pPr>
              <w:widowControl/>
              <w:spacing w:line="240" w:lineRule="auto"/>
              <w:jc w:val="center"/>
              <w:rPr>
                <w:rFonts w:cs="Times New Roman"/>
                <w:b/>
                <w:bCs/>
                <w:color w:val="auto"/>
                <w:sz w:val="21"/>
                <w:szCs w:val="21"/>
              </w:rPr>
            </w:pPr>
            <w:r>
              <w:rPr>
                <w:rFonts w:cs="Times New Roman"/>
                <w:b/>
                <w:bCs/>
                <w:color w:val="auto"/>
                <w:sz w:val="21"/>
                <w:szCs w:val="21"/>
              </w:rPr>
              <w:t>人口（万人）</w:t>
            </w:r>
          </w:p>
        </w:tc>
        <w:tc>
          <w:tcPr>
            <w:tcW w:w="815" w:type="pct"/>
            <w:gridSpan w:val="3"/>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F1EC7CE">
            <w:pPr>
              <w:widowControl/>
              <w:spacing w:line="240" w:lineRule="auto"/>
              <w:jc w:val="center"/>
              <w:rPr>
                <w:rFonts w:cs="Times New Roman"/>
                <w:b/>
                <w:bCs/>
                <w:color w:val="auto"/>
                <w:sz w:val="21"/>
                <w:szCs w:val="21"/>
              </w:rPr>
            </w:pPr>
            <w:r>
              <w:rPr>
                <w:rFonts w:cs="Times New Roman"/>
                <w:b/>
                <w:bCs/>
                <w:color w:val="auto"/>
                <w:sz w:val="21"/>
                <w:szCs w:val="21"/>
              </w:rPr>
              <w:t>牲畜（万头、只）</w:t>
            </w:r>
          </w:p>
        </w:tc>
        <w:tc>
          <w:tcPr>
            <w:tcW w:w="299"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F042BF9">
            <w:pPr>
              <w:widowControl/>
              <w:spacing w:line="240" w:lineRule="auto"/>
              <w:jc w:val="center"/>
              <w:rPr>
                <w:rFonts w:cs="Times New Roman"/>
                <w:b/>
                <w:bCs/>
                <w:color w:val="auto"/>
                <w:sz w:val="21"/>
                <w:szCs w:val="21"/>
              </w:rPr>
            </w:pPr>
            <w:r>
              <w:rPr>
                <w:rFonts w:cs="Times New Roman"/>
                <w:b/>
                <w:bCs/>
                <w:color w:val="auto"/>
                <w:sz w:val="21"/>
                <w:szCs w:val="21"/>
              </w:rPr>
              <w:t>工业增加值（亿元）</w:t>
            </w:r>
          </w:p>
        </w:tc>
        <w:tc>
          <w:tcPr>
            <w:tcW w:w="869" w:type="pct"/>
            <w:gridSpan w:val="3"/>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EFE1DDF">
            <w:pPr>
              <w:widowControl/>
              <w:spacing w:line="240" w:lineRule="auto"/>
              <w:jc w:val="center"/>
              <w:rPr>
                <w:rFonts w:cs="Times New Roman"/>
                <w:b/>
                <w:bCs/>
                <w:color w:val="auto"/>
                <w:sz w:val="21"/>
                <w:szCs w:val="21"/>
              </w:rPr>
            </w:pPr>
            <w:r>
              <w:rPr>
                <w:rFonts w:cs="Times New Roman"/>
                <w:b/>
                <w:bCs/>
                <w:color w:val="auto"/>
                <w:sz w:val="21"/>
                <w:szCs w:val="21"/>
              </w:rPr>
              <w:t>耕园地面积（万亩）</w:t>
            </w:r>
          </w:p>
        </w:tc>
        <w:tc>
          <w:tcPr>
            <w:tcW w:w="832" w:type="pct"/>
            <w:gridSpan w:val="3"/>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B9E4AD9">
            <w:pPr>
              <w:widowControl/>
              <w:spacing w:line="240" w:lineRule="auto"/>
              <w:jc w:val="center"/>
              <w:rPr>
                <w:rFonts w:cs="Times New Roman"/>
                <w:b/>
                <w:bCs/>
                <w:color w:val="auto"/>
                <w:sz w:val="21"/>
                <w:szCs w:val="21"/>
              </w:rPr>
            </w:pPr>
            <w:r>
              <w:rPr>
                <w:rFonts w:cs="Times New Roman"/>
                <w:b/>
                <w:bCs/>
                <w:color w:val="auto"/>
                <w:sz w:val="21"/>
                <w:szCs w:val="21"/>
              </w:rPr>
              <w:t>有效灌溉面积（万亩）</w:t>
            </w:r>
          </w:p>
        </w:tc>
      </w:tr>
      <w:tr w14:paraId="677DD8E5">
        <w:tblPrEx>
          <w:tblCellMar>
            <w:top w:w="0" w:type="dxa"/>
            <w:left w:w="108" w:type="dxa"/>
            <w:bottom w:w="0" w:type="dxa"/>
            <w:right w:w="108" w:type="dxa"/>
          </w:tblCellMar>
        </w:tblPrEx>
        <w:trPr>
          <w:trHeight w:val="285" w:hRule="atLeast"/>
          <w:tblHeader/>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7EE2731">
            <w:pPr>
              <w:widowControl/>
              <w:spacing w:line="240" w:lineRule="auto"/>
              <w:jc w:val="center"/>
              <w:rPr>
                <w:rFonts w:cs="Times New Roman"/>
                <w:b/>
                <w:bCs/>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24E4E8B">
            <w:pPr>
              <w:widowControl/>
              <w:spacing w:line="240" w:lineRule="auto"/>
              <w:jc w:val="center"/>
              <w:rPr>
                <w:rFonts w:cs="Times New Roman"/>
                <w:b/>
                <w:bCs/>
                <w:color w:val="auto"/>
                <w:sz w:val="21"/>
                <w:szCs w:val="21"/>
              </w:rPr>
            </w:pPr>
          </w:p>
        </w:tc>
        <w:tc>
          <w:tcPr>
            <w:tcW w:w="366" w:type="pct"/>
            <w:vMerge w:val="continue"/>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3DE321EE">
            <w:pPr>
              <w:widowControl/>
              <w:spacing w:line="240" w:lineRule="auto"/>
              <w:jc w:val="center"/>
              <w:rPr>
                <w:rFonts w:cs="Times New Roman"/>
                <w:b/>
                <w:bCs/>
                <w:color w:val="auto"/>
                <w:sz w:val="21"/>
                <w:szCs w:val="21"/>
              </w:rPr>
            </w:pPr>
          </w:p>
        </w:tc>
        <w:tc>
          <w:tcPr>
            <w:tcW w:w="287"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7B4E160">
            <w:pPr>
              <w:widowControl/>
              <w:spacing w:line="240" w:lineRule="auto"/>
              <w:jc w:val="center"/>
              <w:rPr>
                <w:rFonts w:cs="Times New Roman"/>
                <w:b/>
                <w:bCs/>
                <w:color w:val="auto"/>
                <w:sz w:val="21"/>
                <w:szCs w:val="21"/>
              </w:rPr>
            </w:pPr>
            <w:r>
              <w:rPr>
                <w:rFonts w:cs="Times New Roman"/>
                <w:b/>
                <w:bCs/>
                <w:color w:val="auto"/>
                <w:sz w:val="21"/>
                <w:szCs w:val="21"/>
              </w:rPr>
              <w:t>总人口</w:t>
            </w:r>
          </w:p>
        </w:tc>
        <w:tc>
          <w:tcPr>
            <w:tcW w:w="287"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1C3647C">
            <w:pPr>
              <w:widowControl/>
              <w:spacing w:line="240" w:lineRule="auto"/>
              <w:jc w:val="center"/>
              <w:rPr>
                <w:rFonts w:cs="Times New Roman"/>
                <w:b/>
                <w:bCs/>
                <w:color w:val="auto"/>
                <w:sz w:val="21"/>
                <w:szCs w:val="21"/>
              </w:rPr>
            </w:pPr>
            <w:r>
              <w:rPr>
                <w:rFonts w:cs="Times New Roman"/>
                <w:b/>
                <w:bCs/>
                <w:color w:val="auto"/>
                <w:sz w:val="21"/>
                <w:szCs w:val="21"/>
              </w:rPr>
              <w:t>城镇人口</w:t>
            </w:r>
          </w:p>
        </w:tc>
        <w:tc>
          <w:tcPr>
            <w:tcW w:w="287"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C90069D">
            <w:pPr>
              <w:widowControl/>
              <w:spacing w:line="240" w:lineRule="auto"/>
              <w:jc w:val="center"/>
              <w:rPr>
                <w:rFonts w:cs="Times New Roman"/>
                <w:b/>
                <w:bCs/>
                <w:color w:val="auto"/>
                <w:sz w:val="21"/>
                <w:szCs w:val="21"/>
              </w:rPr>
            </w:pPr>
            <w:r>
              <w:rPr>
                <w:rFonts w:cs="Times New Roman"/>
                <w:b/>
                <w:bCs/>
                <w:color w:val="auto"/>
                <w:sz w:val="21"/>
                <w:szCs w:val="21"/>
              </w:rPr>
              <w:t>农村人口</w:t>
            </w:r>
          </w:p>
        </w:tc>
        <w:tc>
          <w:tcPr>
            <w:tcW w:w="296"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027EC2A">
            <w:pPr>
              <w:widowControl/>
              <w:spacing w:line="240" w:lineRule="auto"/>
              <w:jc w:val="center"/>
              <w:rPr>
                <w:rFonts w:cs="Times New Roman"/>
                <w:b/>
                <w:bCs/>
                <w:color w:val="auto"/>
                <w:sz w:val="21"/>
                <w:szCs w:val="21"/>
              </w:rPr>
            </w:pPr>
            <w:r>
              <w:rPr>
                <w:rFonts w:cs="Times New Roman"/>
                <w:b/>
                <w:bCs/>
                <w:color w:val="auto"/>
                <w:sz w:val="21"/>
                <w:szCs w:val="21"/>
              </w:rPr>
              <w:t>城镇化率</w:t>
            </w:r>
          </w:p>
        </w:tc>
        <w:tc>
          <w:tcPr>
            <w:tcW w:w="266"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84C7DDE">
            <w:pPr>
              <w:widowControl/>
              <w:spacing w:line="240" w:lineRule="auto"/>
              <w:jc w:val="center"/>
              <w:rPr>
                <w:rFonts w:cs="Times New Roman"/>
                <w:b/>
                <w:bCs/>
                <w:color w:val="auto"/>
                <w:sz w:val="21"/>
                <w:szCs w:val="21"/>
              </w:rPr>
            </w:pPr>
            <w:r>
              <w:rPr>
                <w:rFonts w:cs="Times New Roman"/>
                <w:b/>
                <w:bCs/>
                <w:color w:val="auto"/>
                <w:sz w:val="21"/>
                <w:szCs w:val="21"/>
              </w:rPr>
              <w:t>大牲畜</w:t>
            </w:r>
          </w:p>
        </w:tc>
        <w:tc>
          <w:tcPr>
            <w:tcW w:w="274"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2D92F14">
            <w:pPr>
              <w:widowControl/>
              <w:spacing w:line="240" w:lineRule="auto"/>
              <w:jc w:val="center"/>
              <w:rPr>
                <w:rFonts w:cs="Times New Roman"/>
                <w:b/>
                <w:bCs/>
                <w:color w:val="auto"/>
                <w:sz w:val="21"/>
                <w:szCs w:val="21"/>
              </w:rPr>
            </w:pPr>
            <w:r>
              <w:rPr>
                <w:rFonts w:cs="Times New Roman"/>
                <w:b/>
                <w:bCs/>
                <w:color w:val="auto"/>
                <w:sz w:val="21"/>
                <w:szCs w:val="21"/>
              </w:rPr>
              <w:t>小牲畜</w:t>
            </w:r>
          </w:p>
        </w:tc>
        <w:tc>
          <w:tcPr>
            <w:tcW w:w="275"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DBB05DC">
            <w:pPr>
              <w:widowControl/>
              <w:spacing w:line="240" w:lineRule="auto"/>
              <w:jc w:val="center"/>
              <w:rPr>
                <w:rFonts w:cs="Times New Roman"/>
                <w:b/>
                <w:bCs/>
                <w:color w:val="auto"/>
                <w:sz w:val="21"/>
                <w:szCs w:val="21"/>
              </w:rPr>
            </w:pPr>
            <w:r>
              <w:rPr>
                <w:rFonts w:cs="Times New Roman"/>
                <w:b/>
                <w:bCs/>
                <w:color w:val="auto"/>
                <w:sz w:val="21"/>
                <w:szCs w:val="21"/>
              </w:rPr>
              <w:t>合计</w:t>
            </w:r>
          </w:p>
        </w:tc>
        <w:tc>
          <w:tcPr>
            <w:tcW w:w="299"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37489BB">
            <w:pPr>
              <w:widowControl/>
              <w:spacing w:line="240" w:lineRule="auto"/>
              <w:jc w:val="center"/>
              <w:rPr>
                <w:rFonts w:cs="Times New Roman"/>
                <w:b/>
                <w:bCs/>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C7441BC">
            <w:pPr>
              <w:widowControl/>
              <w:spacing w:line="240" w:lineRule="auto"/>
              <w:jc w:val="center"/>
              <w:rPr>
                <w:rFonts w:cs="Times New Roman"/>
                <w:b/>
                <w:bCs/>
                <w:color w:val="auto"/>
                <w:sz w:val="21"/>
                <w:szCs w:val="21"/>
              </w:rPr>
            </w:pPr>
            <w:r>
              <w:rPr>
                <w:rFonts w:cs="Times New Roman"/>
                <w:b/>
                <w:bCs/>
                <w:color w:val="auto"/>
                <w:sz w:val="21"/>
                <w:szCs w:val="21"/>
              </w:rPr>
              <w:t>耕地</w:t>
            </w:r>
          </w:p>
        </w:tc>
        <w:tc>
          <w:tcPr>
            <w:tcW w:w="28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4B358B6">
            <w:pPr>
              <w:widowControl/>
              <w:spacing w:line="240" w:lineRule="auto"/>
              <w:jc w:val="center"/>
              <w:rPr>
                <w:rFonts w:cs="Times New Roman"/>
                <w:b/>
                <w:bCs/>
                <w:color w:val="auto"/>
                <w:sz w:val="21"/>
                <w:szCs w:val="21"/>
              </w:rPr>
            </w:pPr>
            <w:r>
              <w:rPr>
                <w:rFonts w:cs="Times New Roman"/>
                <w:b/>
                <w:bCs/>
                <w:color w:val="auto"/>
                <w:sz w:val="21"/>
                <w:szCs w:val="21"/>
              </w:rPr>
              <w:t>园地</w:t>
            </w:r>
          </w:p>
        </w:tc>
        <w:tc>
          <w:tcPr>
            <w:tcW w:w="295"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085D118">
            <w:pPr>
              <w:widowControl/>
              <w:spacing w:line="240" w:lineRule="auto"/>
              <w:jc w:val="center"/>
              <w:rPr>
                <w:rFonts w:cs="Times New Roman"/>
                <w:b/>
                <w:bCs/>
                <w:color w:val="auto"/>
                <w:sz w:val="21"/>
                <w:szCs w:val="21"/>
              </w:rPr>
            </w:pPr>
            <w:r>
              <w:rPr>
                <w:rFonts w:cs="Times New Roman"/>
                <w:b/>
                <w:bCs/>
                <w:color w:val="auto"/>
                <w:sz w:val="21"/>
                <w:szCs w:val="21"/>
              </w:rPr>
              <w:t>合计</w:t>
            </w:r>
          </w:p>
        </w:tc>
        <w:tc>
          <w:tcPr>
            <w:tcW w:w="292"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8C200C9">
            <w:pPr>
              <w:widowControl/>
              <w:spacing w:line="240" w:lineRule="auto"/>
              <w:jc w:val="center"/>
              <w:rPr>
                <w:rFonts w:cs="Times New Roman"/>
                <w:b/>
                <w:bCs/>
                <w:color w:val="auto"/>
                <w:sz w:val="21"/>
                <w:szCs w:val="21"/>
              </w:rPr>
            </w:pPr>
            <w:r>
              <w:rPr>
                <w:rFonts w:cs="Times New Roman"/>
                <w:b/>
                <w:bCs/>
                <w:color w:val="auto"/>
                <w:sz w:val="21"/>
                <w:szCs w:val="21"/>
              </w:rPr>
              <w:t>常规灌溉面积</w:t>
            </w:r>
          </w:p>
        </w:tc>
        <w:tc>
          <w:tcPr>
            <w:tcW w:w="301"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76E34B3">
            <w:pPr>
              <w:widowControl/>
              <w:spacing w:line="240" w:lineRule="auto"/>
              <w:jc w:val="center"/>
              <w:rPr>
                <w:rFonts w:cs="Times New Roman"/>
                <w:b/>
                <w:bCs/>
                <w:color w:val="auto"/>
                <w:sz w:val="21"/>
                <w:szCs w:val="21"/>
              </w:rPr>
            </w:pPr>
            <w:r>
              <w:rPr>
                <w:rFonts w:cs="Times New Roman"/>
                <w:b/>
                <w:bCs/>
                <w:color w:val="auto"/>
                <w:sz w:val="21"/>
                <w:szCs w:val="21"/>
              </w:rPr>
              <w:t>高效灌溉面积</w:t>
            </w:r>
          </w:p>
        </w:tc>
        <w:tc>
          <w:tcPr>
            <w:tcW w:w="238" w:type="pc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1B40AF2">
            <w:pPr>
              <w:widowControl/>
              <w:spacing w:line="240" w:lineRule="auto"/>
              <w:jc w:val="center"/>
              <w:rPr>
                <w:rFonts w:cs="Times New Roman"/>
                <w:b/>
                <w:bCs/>
                <w:color w:val="auto"/>
                <w:sz w:val="21"/>
                <w:szCs w:val="21"/>
              </w:rPr>
            </w:pPr>
            <w:r>
              <w:rPr>
                <w:rFonts w:cs="Times New Roman"/>
                <w:b/>
                <w:bCs/>
                <w:color w:val="auto"/>
                <w:sz w:val="21"/>
                <w:szCs w:val="21"/>
              </w:rPr>
              <w:t>合计</w:t>
            </w:r>
          </w:p>
        </w:tc>
      </w:tr>
      <w:tr w14:paraId="11962628">
        <w:tblPrEx>
          <w:tblCellMar>
            <w:top w:w="0" w:type="dxa"/>
            <w:left w:w="108" w:type="dxa"/>
            <w:bottom w:w="0" w:type="dxa"/>
            <w:right w:w="108" w:type="dxa"/>
          </w:tblCellMar>
        </w:tblPrEx>
        <w:trPr>
          <w:trHeight w:val="285" w:hRule="atLeast"/>
        </w:trPr>
        <w:tc>
          <w:tcPr>
            <w:tcW w:w="212"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9128BA1">
            <w:pPr>
              <w:widowControl/>
              <w:spacing w:line="240" w:lineRule="auto"/>
              <w:jc w:val="center"/>
              <w:rPr>
                <w:rFonts w:cs="Times New Roman"/>
                <w:color w:val="auto"/>
                <w:sz w:val="21"/>
                <w:szCs w:val="21"/>
              </w:rPr>
            </w:pPr>
            <w:r>
              <w:rPr>
                <w:rFonts w:cs="Times New Roman"/>
                <w:color w:val="auto"/>
                <w:sz w:val="21"/>
                <w:szCs w:val="21"/>
              </w:rPr>
              <w:t>麒麟区</w:t>
            </w: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D3C7BA4">
            <w:pPr>
              <w:widowControl/>
              <w:spacing w:line="240" w:lineRule="auto"/>
              <w:jc w:val="center"/>
              <w:rPr>
                <w:rFonts w:cs="Times New Roman"/>
                <w:color w:val="auto"/>
                <w:sz w:val="21"/>
                <w:szCs w:val="21"/>
              </w:rPr>
            </w:pPr>
            <w:r>
              <w:rPr>
                <w:rFonts w:cs="Times New Roman"/>
                <w:color w:val="auto"/>
                <w:sz w:val="21"/>
                <w:szCs w:val="21"/>
              </w:rPr>
              <w:t>麒麟区沾曲陆宜</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63D1F254">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1352649">
            <w:pPr>
              <w:widowControl/>
              <w:spacing w:line="240" w:lineRule="auto"/>
              <w:jc w:val="center"/>
              <w:rPr>
                <w:rFonts w:cs="Times New Roman"/>
                <w:color w:val="auto"/>
                <w:sz w:val="21"/>
                <w:szCs w:val="21"/>
              </w:rPr>
            </w:pPr>
            <w:r>
              <w:rPr>
                <w:rFonts w:cs="Times New Roman"/>
                <w:color w:val="auto"/>
                <w:sz w:val="21"/>
                <w:szCs w:val="21"/>
              </w:rPr>
              <w:t xml:space="preserve">93.2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3D63CEC">
            <w:pPr>
              <w:widowControl/>
              <w:spacing w:line="240" w:lineRule="auto"/>
              <w:jc w:val="center"/>
              <w:rPr>
                <w:rFonts w:cs="Times New Roman"/>
                <w:color w:val="auto"/>
                <w:sz w:val="21"/>
                <w:szCs w:val="21"/>
              </w:rPr>
            </w:pPr>
            <w:r>
              <w:rPr>
                <w:rFonts w:cs="Times New Roman"/>
                <w:color w:val="auto"/>
                <w:sz w:val="21"/>
                <w:szCs w:val="21"/>
              </w:rPr>
              <w:t xml:space="preserve">79.8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24B5E6C">
            <w:pPr>
              <w:widowControl/>
              <w:spacing w:line="240" w:lineRule="auto"/>
              <w:jc w:val="center"/>
              <w:rPr>
                <w:rFonts w:cs="Times New Roman"/>
                <w:color w:val="auto"/>
                <w:sz w:val="21"/>
                <w:szCs w:val="21"/>
              </w:rPr>
            </w:pPr>
            <w:r>
              <w:rPr>
                <w:rFonts w:cs="Times New Roman"/>
                <w:color w:val="auto"/>
                <w:sz w:val="21"/>
                <w:szCs w:val="21"/>
              </w:rPr>
              <w:t xml:space="preserve">13.4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6E9C782">
            <w:pPr>
              <w:widowControl/>
              <w:spacing w:line="240" w:lineRule="auto"/>
              <w:jc w:val="center"/>
              <w:rPr>
                <w:rFonts w:cs="Times New Roman"/>
                <w:color w:val="auto"/>
                <w:sz w:val="21"/>
                <w:szCs w:val="21"/>
              </w:rPr>
            </w:pPr>
            <w:r>
              <w:rPr>
                <w:rFonts w:cs="Times New Roman"/>
                <w:color w:val="auto"/>
                <w:sz w:val="21"/>
                <w:szCs w:val="21"/>
              </w:rPr>
              <w:t>85.6%</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92F17FB">
            <w:pPr>
              <w:widowControl/>
              <w:spacing w:line="240" w:lineRule="auto"/>
              <w:jc w:val="center"/>
              <w:rPr>
                <w:rFonts w:cs="Times New Roman"/>
                <w:color w:val="auto"/>
                <w:sz w:val="21"/>
                <w:szCs w:val="21"/>
              </w:rPr>
            </w:pPr>
            <w:r>
              <w:rPr>
                <w:rFonts w:cs="Times New Roman"/>
                <w:color w:val="auto"/>
                <w:sz w:val="21"/>
                <w:szCs w:val="21"/>
              </w:rPr>
              <w:t xml:space="preserve">6.9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C491C3C">
            <w:pPr>
              <w:widowControl/>
              <w:spacing w:line="240" w:lineRule="auto"/>
              <w:jc w:val="center"/>
              <w:rPr>
                <w:rFonts w:cs="Times New Roman"/>
                <w:color w:val="auto"/>
                <w:sz w:val="21"/>
                <w:szCs w:val="21"/>
              </w:rPr>
            </w:pPr>
            <w:r>
              <w:rPr>
                <w:rFonts w:cs="Times New Roman"/>
                <w:color w:val="auto"/>
                <w:sz w:val="21"/>
                <w:szCs w:val="21"/>
              </w:rPr>
              <w:t xml:space="preserve">30.2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4AF264F">
            <w:pPr>
              <w:widowControl/>
              <w:spacing w:line="240" w:lineRule="auto"/>
              <w:jc w:val="center"/>
              <w:rPr>
                <w:rFonts w:cs="Times New Roman"/>
                <w:color w:val="auto"/>
                <w:sz w:val="21"/>
                <w:szCs w:val="21"/>
              </w:rPr>
            </w:pPr>
            <w:r>
              <w:rPr>
                <w:rFonts w:cs="Times New Roman"/>
                <w:color w:val="auto"/>
                <w:sz w:val="21"/>
                <w:szCs w:val="21"/>
              </w:rPr>
              <w:t xml:space="preserve">37.1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0588212">
            <w:pPr>
              <w:widowControl/>
              <w:spacing w:line="240" w:lineRule="auto"/>
              <w:jc w:val="center"/>
              <w:rPr>
                <w:rFonts w:cs="Times New Roman"/>
                <w:color w:val="auto"/>
                <w:sz w:val="21"/>
                <w:szCs w:val="21"/>
              </w:rPr>
            </w:pPr>
            <w:r>
              <w:rPr>
                <w:rFonts w:cs="Times New Roman"/>
                <w:color w:val="auto"/>
                <w:sz w:val="21"/>
                <w:szCs w:val="21"/>
              </w:rPr>
              <w:t xml:space="preserve">405.5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D55E1DD">
            <w:pPr>
              <w:widowControl/>
              <w:spacing w:line="240" w:lineRule="auto"/>
              <w:jc w:val="center"/>
              <w:rPr>
                <w:rFonts w:cs="Times New Roman"/>
                <w:color w:val="auto"/>
                <w:sz w:val="21"/>
                <w:szCs w:val="21"/>
              </w:rPr>
            </w:pPr>
            <w:r>
              <w:rPr>
                <w:rFonts w:cs="Times New Roman"/>
                <w:color w:val="auto"/>
                <w:sz w:val="21"/>
                <w:szCs w:val="21"/>
              </w:rPr>
              <w:t xml:space="preserve">46.5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EAEAFA7">
            <w:pPr>
              <w:widowControl/>
              <w:spacing w:line="240" w:lineRule="auto"/>
              <w:jc w:val="center"/>
              <w:rPr>
                <w:rFonts w:cs="Times New Roman"/>
                <w:color w:val="auto"/>
                <w:sz w:val="21"/>
                <w:szCs w:val="21"/>
              </w:rPr>
            </w:pPr>
            <w:r>
              <w:rPr>
                <w:rFonts w:cs="Times New Roman"/>
                <w:color w:val="auto"/>
                <w:sz w:val="21"/>
                <w:szCs w:val="21"/>
              </w:rPr>
              <w:t xml:space="preserve">9.0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60C330D">
            <w:pPr>
              <w:widowControl/>
              <w:spacing w:line="240" w:lineRule="auto"/>
              <w:jc w:val="center"/>
              <w:rPr>
                <w:rFonts w:cs="Times New Roman"/>
                <w:color w:val="auto"/>
                <w:sz w:val="21"/>
                <w:szCs w:val="21"/>
              </w:rPr>
            </w:pPr>
            <w:r>
              <w:rPr>
                <w:rFonts w:cs="Times New Roman"/>
                <w:color w:val="auto"/>
                <w:sz w:val="21"/>
                <w:szCs w:val="21"/>
              </w:rPr>
              <w:t xml:space="preserve">55.5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AF16D63">
            <w:pPr>
              <w:widowControl/>
              <w:spacing w:line="240" w:lineRule="auto"/>
              <w:jc w:val="center"/>
              <w:rPr>
                <w:rFonts w:cs="Times New Roman"/>
                <w:color w:val="auto"/>
                <w:sz w:val="21"/>
                <w:szCs w:val="21"/>
              </w:rPr>
            </w:pPr>
            <w:r>
              <w:rPr>
                <w:rFonts w:cs="Times New Roman"/>
                <w:color w:val="auto"/>
                <w:sz w:val="21"/>
                <w:szCs w:val="21"/>
              </w:rPr>
              <w:t xml:space="preserve">25.5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68E2A52">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47D89EE">
            <w:pPr>
              <w:widowControl/>
              <w:spacing w:line="240" w:lineRule="auto"/>
              <w:jc w:val="center"/>
              <w:rPr>
                <w:rFonts w:cs="Times New Roman"/>
                <w:color w:val="auto"/>
                <w:sz w:val="21"/>
                <w:szCs w:val="21"/>
              </w:rPr>
            </w:pPr>
            <w:r>
              <w:rPr>
                <w:rFonts w:cs="Times New Roman"/>
                <w:color w:val="auto"/>
                <w:sz w:val="21"/>
                <w:szCs w:val="21"/>
              </w:rPr>
              <w:t xml:space="preserve">25.5 </w:t>
            </w:r>
          </w:p>
        </w:tc>
      </w:tr>
      <w:tr w14:paraId="457D9920">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9D9A220">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75068F3">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2A0FB61A">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BABF10A">
            <w:pPr>
              <w:widowControl/>
              <w:spacing w:line="240" w:lineRule="auto"/>
              <w:jc w:val="center"/>
              <w:rPr>
                <w:rFonts w:cs="Times New Roman"/>
                <w:color w:val="auto"/>
                <w:sz w:val="21"/>
                <w:szCs w:val="21"/>
              </w:rPr>
            </w:pPr>
            <w:r>
              <w:rPr>
                <w:rFonts w:cs="Times New Roman"/>
                <w:color w:val="auto"/>
                <w:sz w:val="21"/>
                <w:szCs w:val="21"/>
              </w:rPr>
              <w:t xml:space="preserve">140.3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E504E35">
            <w:pPr>
              <w:widowControl/>
              <w:spacing w:line="240" w:lineRule="auto"/>
              <w:jc w:val="center"/>
              <w:rPr>
                <w:rFonts w:cs="Times New Roman"/>
                <w:color w:val="auto"/>
                <w:sz w:val="21"/>
                <w:szCs w:val="21"/>
              </w:rPr>
            </w:pPr>
            <w:r>
              <w:rPr>
                <w:rFonts w:cs="Times New Roman"/>
                <w:color w:val="auto"/>
                <w:sz w:val="21"/>
                <w:szCs w:val="21"/>
              </w:rPr>
              <w:t xml:space="preserve">128.3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596B2E6">
            <w:pPr>
              <w:widowControl/>
              <w:spacing w:line="240" w:lineRule="auto"/>
              <w:jc w:val="center"/>
              <w:rPr>
                <w:rFonts w:cs="Times New Roman"/>
                <w:color w:val="auto"/>
                <w:sz w:val="21"/>
                <w:szCs w:val="21"/>
              </w:rPr>
            </w:pPr>
            <w:r>
              <w:rPr>
                <w:rFonts w:cs="Times New Roman"/>
                <w:color w:val="auto"/>
                <w:sz w:val="21"/>
                <w:szCs w:val="21"/>
              </w:rPr>
              <w:t xml:space="preserve">12.1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E6A94C7">
            <w:pPr>
              <w:widowControl/>
              <w:spacing w:line="240" w:lineRule="auto"/>
              <w:jc w:val="center"/>
              <w:rPr>
                <w:rFonts w:cs="Times New Roman"/>
                <w:color w:val="auto"/>
                <w:sz w:val="21"/>
                <w:szCs w:val="21"/>
              </w:rPr>
            </w:pPr>
            <w:r>
              <w:rPr>
                <w:rFonts w:cs="Times New Roman"/>
                <w:color w:val="auto"/>
                <w:sz w:val="21"/>
                <w:szCs w:val="21"/>
              </w:rPr>
              <w:t>91.4%</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36E2907">
            <w:pPr>
              <w:widowControl/>
              <w:spacing w:line="240" w:lineRule="auto"/>
              <w:jc w:val="center"/>
              <w:rPr>
                <w:rFonts w:cs="Times New Roman"/>
                <w:color w:val="auto"/>
                <w:sz w:val="21"/>
                <w:szCs w:val="21"/>
              </w:rPr>
            </w:pPr>
            <w:r>
              <w:rPr>
                <w:rFonts w:cs="Times New Roman"/>
                <w:color w:val="auto"/>
                <w:sz w:val="21"/>
                <w:szCs w:val="21"/>
              </w:rPr>
              <w:t xml:space="preserve">9.0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956ADEF">
            <w:pPr>
              <w:widowControl/>
              <w:spacing w:line="240" w:lineRule="auto"/>
              <w:jc w:val="center"/>
              <w:rPr>
                <w:rFonts w:cs="Times New Roman"/>
                <w:color w:val="auto"/>
                <w:sz w:val="21"/>
                <w:szCs w:val="21"/>
              </w:rPr>
            </w:pPr>
            <w:r>
              <w:rPr>
                <w:rFonts w:cs="Times New Roman"/>
                <w:color w:val="auto"/>
                <w:sz w:val="21"/>
                <w:szCs w:val="21"/>
              </w:rPr>
              <w:t xml:space="preserve">43.3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EA586DB">
            <w:pPr>
              <w:widowControl/>
              <w:spacing w:line="240" w:lineRule="auto"/>
              <w:jc w:val="center"/>
              <w:rPr>
                <w:rFonts w:cs="Times New Roman"/>
                <w:color w:val="auto"/>
                <w:sz w:val="21"/>
                <w:szCs w:val="21"/>
              </w:rPr>
            </w:pPr>
            <w:r>
              <w:rPr>
                <w:rFonts w:cs="Times New Roman"/>
                <w:color w:val="auto"/>
                <w:sz w:val="21"/>
                <w:szCs w:val="21"/>
              </w:rPr>
              <w:t xml:space="preserve">52.3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C56C805">
            <w:pPr>
              <w:widowControl/>
              <w:spacing w:line="240" w:lineRule="auto"/>
              <w:jc w:val="center"/>
              <w:rPr>
                <w:rFonts w:cs="Times New Roman"/>
                <w:color w:val="auto"/>
                <w:sz w:val="21"/>
                <w:szCs w:val="21"/>
              </w:rPr>
            </w:pPr>
            <w:r>
              <w:rPr>
                <w:rFonts w:cs="Times New Roman"/>
                <w:color w:val="auto"/>
                <w:sz w:val="21"/>
                <w:szCs w:val="21"/>
              </w:rPr>
              <w:t xml:space="preserve">881.5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2787A58">
            <w:pPr>
              <w:widowControl/>
              <w:spacing w:line="240" w:lineRule="auto"/>
              <w:jc w:val="center"/>
              <w:rPr>
                <w:rFonts w:cs="Times New Roman"/>
                <w:color w:val="auto"/>
                <w:sz w:val="21"/>
                <w:szCs w:val="21"/>
              </w:rPr>
            </w:pPr>
            <w:r>
              <w:rPr>
                <w:rFonts w:cs="Times New Roman"/>
                <w:color w:val="auto"/>
                <w:sz w:val="21"/>
                <w:szCs w:val="21"/>
              </w:rPr>
              <w:t xml:space="preserve">44.0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918DA4">
            <w:pPr>
              <w:widowControl/>
              <w:spacing w:line="240" w:lineRule="auto"/>
              <w:jc w:val="center"/>
              <w:rPr>
                <w:rFonts w:cs="Times New Roman"/>
                <w:color w:val="auto"/>
                <w:sz w:val="21"/>
                <w:szCs w:val="21"/>
              </w:rPr>
            </w:pPr>
            <w:r>
              <w:rPr>
                <w:rFonts w:cs="Times New Roman"/>
                <w:color w:val="auto"/>
                <w:sz w:val="21"/>
                <w:szCs w:val="21"/>
              </w:rPr>
              <w:t xml:space="preserve">8.4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60FF513">
            <w:pPr>
              <w:widowControl/>
              <w:spacing w:line="240" w:lineRule="auto"/>
              <w:jc w:val="center"/>
              <w:rPr>
                <w:rFonts w:cs="Times New Roman"/>
                <w:color w:val="auto"/>
                <w:sz w:val="21"/>
                <w:szCs w:val="21"/>
              </w:rPr>
            </w:pPr>
            <w:r>
              <w:rPr>
                <w:rFonts w:cs="Times New Roman"/>
                <w:color w:val="auto"/>
                <w:sz w:val="21"/>
                <w:szCs w:val="21"/>
              </w:rPr>
              <w:t xml:space="preserve">52.4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C2FEA70">
            <w:pPr>
              <w:widowControl/>
              <w:spacing w:line="240" w:lineRule="auto"/>
              <w:jc w:val="center"/>
              <w:rPr>
                <w:rFonts w:cs="Times New Roman"/>
                <w:color w:val="auto"/>
                <w:sz w:val="21"/>
                <w:szCs w:val="21"/>
              </w:rPr>
            </w:pPr>
            <w:r>
              <w:rPr>
                <w:rFonts w:cs="Times New Roman"/>
                <w:color w:val="auto"/>
                <w:sz w:val="21"/>
                <w:szCs w:val="21"/>
              </w:rPr>
              <w:t xml:space="preserve">22.7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0C3A08C">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DAB1F8C">
            <w:pPr>
              <w:widowControl/>
              <w:spacing w:line="240" w:lineRule="auto"/>
              <w:jc w:val="center"/>
              <w:rPr>
                <w:rFonts w:cs="Times New Roman"/>
                <w:color w:val="auto"/>
                <w:sz w:val="21"/>
                <w:szCs w:val="21"/>
              </w:rPr>
            </w:pPr>
            <w:r>
              <w:rPr>
                <w:rFonts w:cs="Times New Roman"/>
                <w:color w:val="auto"/>
                <w:sz w:val="21"/>
                <w:szCs w:val="21"/>
              </w:rPr>
              <w:t xml:space="preserve">22.7 </w:t>
            </w:r>
          </w:p>
        </w:tc>
      </w:tr>
      <w:tr w14:paraId="3066E983">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187ACBB">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ED6366B">
            <w:pPr>
              <w:widowControl/>
              <w:spacing w:line="240" w:lineRule="auto"/>
              <w:jc w:val="center"/>
              <w:rPr>
                <w:rFonts w:cs="Times New Roman"/>
                <w:color w:val="auto"/>
                <w:sz w:val="21"/>
                <w:szCs w:val="21"/>
              </w:rPr>
            </w:pPr>
            <w:r>
              <w:rPr>
                <w:rFonts w:cs="Times New Roman"/>
                <w:color w:val="auto"/>
                <w:sz w:val="21"/>
                <w:szCs w:val="21"/>
              </w:rPr>
              <w:t>麒麟区黄泥河</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41EC7214">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7DB6F35">
            <w:pPr>
              <w:widowControl/>
              <w:spacing w:line="240" w:lineRule="auto"/>
              <w:jc w:val="center"/>
              <w:rPr>
                <w:rFonts w:cs="Times New Roman"/>
                <w:color w:val="auto"/>
                <w:sz w:val="21"/>
                <w:szCs w:val="21"/>
              </w:rPr>
            </w:pPr>
            <w:r>
              <w:rPr>
                <w:rFonts w:cs="Times New Roman"/>
                <w:color w:val="auto"/>
                <w:sz w:val="21"/>
                <w:szCs w:val="21"/>
              </w:rPr>
              <w:t xml:space="preserve">7.0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190EAC6">
            <w:pPr>
              <w:widowControl/>
              <w:spacing w:line="240" w:lineRule="auto"/>
              <w:jc w:val="center"/>
              <w:rPr>
                <w:rFonts w:cs="Times New Roman"/>
                <w:color w:val="auto"/>
                <w:sz w:val="21"/>
                <w:szCs w:val="21"/>
              </w:rPr>
            </w:pPr>
            <w:r>
              <w:rPr>
                <w:rFonts w:cs="Times New Roman"/>
                <w:color w:val="auto"/>
                <w:sz w:val="21"/>
                <w:szCs w:val="21"/>
              </w:rPr>
              <w:t xml:space="preserve">0.6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37EE651">
            <w:pPr>
              <w:widowControl/>
              <w:spacing w:line="240" w:lineRule="auto"/>
              <w:jc w:val="center"/>
              <w:rPr>
                <w:rFonts w:cs="Times New Roman"/>
                <w:color w:val="auto"/>
                <w:sz w:val="21"/>
                <w:szCs w:val="21"/>
              </w:rPr>
            </w:pPr>
            <w:r>
              <w:rPr>
                <w:rFonts w:cs="Times New Roman"/>
                <w:color w:val="auto"/>
                <w:sz w:val="21"/>
                <w:szCs w:val="21"/>
              </w:rPr>
              <w:t xml:space="preserve">6.4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2868A75">
            <w:pPr>
              <w:widowControl/>
              <w:spacing w:line="240" w:lineRule="auto"/>
              <w:jc w:val="center"/>
              <w:rPr>
                <w:rFonts w:cs="Times New Roman"/>
                <w:color w:val="auto"/>
                <w:sz w:val="21"/>
                <w:szCs w:val="21"/>
              </w:rPr>
            </w:pPr>
            <w:r>
              <w:rPr>
                <w:rFonts w:cs="Times New Roman"/>
                <w:color w:val="auto"/>
                <w:sz w:val="21"/>
                <w:szCs w:val="21"/>
              </w:rPr>
              <w:t>8.9%</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95AC029">
            <w:pPr>
              <w:widowControl/>
              <w:spacing w:line="240" w:lineRule="auto"/>
              <w:jc w:val="center"/>
              <w:rPr>
                <w:rFonts w:cs="Times New Roman"/>
                <w:color w:val="auto"/>
                <w:sz w:val="21"/>
                <w:szCs w:val="21"/>
              </w:rPr>
            </w:pPr>
            <w:r>
              <w:rPr>
                <w:rFonts w:cs="Times New Roman"/>
                <w:color w:val="auto"/>
                <w:sz w:val="21"/>
                <w:szCs w:val="21"/>
              </w:rPr>
              <w:t xml:space="preserve">4.5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D7E615F">
            <w:pPr>
              <w:widowControl/>
              <w:spacing w:line="240" w:lineRule="auto"/>
              <w:jc w:val="center"/>
              <w:rPr>
                <w:rFonts w:cs="Times New Roman"/>
                <w:color w:val="auto"/>
                <w:sz w:val="21"/>
                <w:szCs w:val="21"/>
              </w:rPr>
            </w:pPr>
            <w:r>
              <w:rPr>
                <w:rFonts w:cs="Times New Roman"/>
                <w:color w:val="auto"/>
                <w:sz w:val="21"/>
                <w:szCs w:val="21"/>
              </w:rPr>
              <w:t xml:space="preserve">25.6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4B31A22">
            <w:pPr>
              <w:widowControl/>
              <w:spacing w:line="240" w:lineRule="auto"/>
              <w:jc w:val="center"/>
              <w:rPr>
                <w:rFonts w:cs="Times New Roman"/>
                <w:color w:val="auto"/>
                <w:sz w:val="21"/>
                <w:szCs w:val="21"/>
              </w:rPr>
            </w:pPr>
            <w:r>
              <w:rPr>
                <w:rFonts w:cs="Times New Roman"/>
                <w:color w:val="auto"/>
                <w:sz w:val="21"/>
                <w:szCs w:val="21"/>
              </w:rPr>
              <w:t xml:space="preserve">30.1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1945C46">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EFBB8C6">
            <w:pPr>
              <w:widowControl/>
              <w:spacing w:line="240" w:lineRule="auto"/>
              <w:jc w:val="center"/>
              <w:rPr>
                <w:rFonts w:cs="Times New Roman"/>
                <w:color w:val="auto"/>
                <w:sz w:val="21"/>
                <w:szCs w:val="21"/>
              </w:rPr>
            </w:pPr>
            <w:r>
              <w:rPr>
                <w:rFonts w:cs="Times New Roman"/>
                <w:color w:val="auto"/>
                <w:sz w:val="21"/>
                <w:szCs w:val="21"/>
              </w:rPr>
              <w:t xml:space="preserve">17.5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D50A657">
            <w:pPr>
              <w:widowControl/>
              <w:spacing w:line="240" w:lineRule="auto"/>
              <w:jc w:val="center"/>
              <w:rPr>
                <w:rFonts w:cs="Times New Roman"/>
                <w:color w:val="auto"/>
                <w:sz w:val="21"/>
                <w:szCs w:val="21"/>
              </w:rPr>
            </w:pPr>
            <w:r>
              <w:rPr>
                <w:rFonts w:cs="Times New Roman"/>
                <w:color w:val="auto"/>
                <w:sz w:val="21"/>
                <w:szCs w:val="21"/>
              </w:rPr>
              <w:t xml:space="preserve">1.0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5E5A8F7">
            <w:pPr>
              <w:widowControl/>
              <w:spacing w:line="240" w:lineRule="auto"/>
              <w:jc w:val="center"/>
              <w:rPr>
                <w:rFonts w:cs="Times New Roman"/>
                <w:color w:val="auto"/>
                <w:sz w:val="21"/>
                <w:szCs w:val="21"/>
              </w:rPr>
            </w:pPr>
            <w:r>
              <w:rPr>
                <w:rFonts w:cs="Times New Roman"/>
                <w:color w:val="auto"/>
                <w:sz w:val="21"/>
                <w:szCs w:val="21"/>
              </w:rPr>
              <w:t xml:space="preserve">18.5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499217F">
            <w:pPr>
              <w:widowControl/>
              <w:spacing w:line="240" w:lineRule="auto"/>
              <w:jc w:val="center"/>
              <w:rPr>
                <w:rFonts w:cs="Times New Roman"/>
                <w:color w:val="auto"/>
                <w:sz w:val="21"/>
                <w:szCs w:val="21"/>
              </w:rPr>
            </w:pPr>
            <w:r>
              <w:rPr>
                <w:rFonts w:cs="Times New Roman"/>
                <w:color w:val="auto"/>
                <w:sz w:val="21"/>
                <w:szCs w:val="21"/>
              </w:rPr>
              <w:t xml:space="preserve">2.2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A428D1B">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5FBD0D5">
            <w:pPr>
              <w:widowControl/>
              <w:spacing w:line="240" w:lineRule="auto"/>
              <w:jc w:val="center"/>
              <w:rPr>
                <w:rFonts w:cs="Times New Roman"/>
                <w:color w:val="auto"/>
                <w:sz w:val="21"/>
                <w:szCs w:val="21"/>
              </w:rPr>
            </w:pPr>
            <w:r>
              <w:rPr>
                <w:rFonts w:cs="Times New Roman"/>
                <w:color w:val="auto"/>
                <w:sz w:val="21"/>
                <w:szCs w:val="21"/>
              </w:rPr>
              <w:t xml:space="preserve">2.2 </w:t>
            </w:r>
          </w:p>
        </w:tc>
      </w:tr>
      <w:tr w14:paraId="77ADD85B">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1F95B4E">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04B8CB8">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2C933A2D">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5D42D46">
            <w:pPr>
              <w:widowControl/>
              <w:spacing w:line="240" w:lineRule="auto"/>
              <w:jc w:val="center"/>
              <w:rPr>
                <w:rFonts w:cs="Times New Roman"/>
                <w:color w:val="auto"/>
                <w:sz w:val="21"/>
                <w:szCs w:val="21"/>
              </w:rPr>
            </w:pPr>
            <w:r>
              <w:rPr>
                <w:rFonts w:cs="Times New Roman"/>
                <w:color w:val="auto"/>
                <w:sz w:val="21"/>
                <w:szCs w:val="21"/>
              </w:rPr>
              <w:t xml:space="preserve">5.3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F7332B2">
            <w:pPr>
              <w:widowControl/>
              <w:spacing w:line="240" w:lineRule="auto"/>
              <w:jc w:val="center"/>
              <w:rPr>
                <w:rFonts w:cs="Times New Roman"/>
                <w:color w:val="auto"/>
                <w:sz w:val="21"/>
                <w:szCs w:val="21"/>
              </w:rPr>
            </w:pPr>
            <w:r>
              <w:rPr>
                <w:rFonts w:cs="Times New Roman"/>
                <w:color w:val="auto"/>
                <w:sz w:val="21"/>
                <w:szCs w:val="21"/>
              </w:rPr>
              <w:t xml:space="preserve">0.6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581276A">
            <w:pPr>
              <w:widowControl/>
              <w:spacing w:line="240" w:lineRule="auto"/>
              <w:jc w:val="center"/>
              <w:rPr>
                <w:rFonts w:cs="Times New Roman"/>
                <w:color w:val="auto"/>
                <w:sz w:val="21"/>
                <w:szCs w:val="21"/>
              </w:rPr>
            </w:pPr>
            <w:r>
              <w:rPr>
                <w:rFonts w:cs="Times New Roman"/>
                <w:color w:val="auto"/>
                <w:sz w:val="21"/>
                <w:szCs w:val="21"/>
              </w:rPr>
              <w:t xml:space="preserve">4.7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91D1D6">
            <w:pPr>
              <w:widowControl/>
              <w:spacing w:line="240" w:lineRule="auto"/>
              <w:jc w:val="center"/>
              <w:rPr>
                <w:rFonts w:cs="Times New Roman"/>
                <w:color w:val="auto"/>
                <w:sz w:val="21"/>
                <w:szCs w:val="21"/>
              </w:rPr>
            </w:pPr>
            <w:r>
              <w:rPr>
                <w:rFonts w:cs="Times New Roman"/>
                <w:color w:val="auto"/>
                <w:sz w:val="21"/>
                <w:szCs w:val="21"/>
              </w:rPr>
              <w:t>11.9%</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C12CCF3">
            <w:pPr>
              <w:widowControl/>
              <w:spacing w:line="240" w:lineRule="auto"/>
              <w:jc w:val="center"/>
              <w:rPr>
                <w:rFonts w:cs="Times New Roman"/>
                <w:color w:val="auto"/>
                <w:sz w:val="21"/>
                <w:szCs w:val="21"/>
              </w:rPr>
            </w:pPr>
            <w:r>
              <w:rPr>
                <w:rFonts w:cs="Times New Roman"/>
                <w:color w:val="auto"/>
                <w:sz w:val="21"/>
                <w:szCs w:val="21"/>
              </w:rPr>
              <w:t xml:space="preserve">3.3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BB82EC">
            <w:pPr>
              <w:widowControl/>
              <w:spacing w:line="240" w:lineRule="auto"/>
              <w:jc w:val="center"/>
              <w:rPr>
                <w:rFonts w:cs="Times New Roman"/>
                <w:color w:val="auto"/>
                <w:sz w:val="21"/>
                <w:szCs w:val="21"/>
              </w:rPr>
            </w:pPr>
            <w:r>
              <w:rPr>
                <w:rFonts w:cs="Times New Roman"/>
                <w:color w:val="auto"/>
                <w:sz w:val="21"/>
                <w:szCs w:val="21"/>
              </w:rPr>
              <w:t xml:space="preserve">18.7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D84E2FC">
            <w:pPr>
              <w:widowControl/>
              <w:spacing w:line="240" w:lineRule="auto"/>
              <w:jc w:val="center"/>
              <w:rPr>
                <w:rFonts w:cs="Times New Roman"/>
                <w:color w:val="auto"/>
                <w:sz w:val="21"/>
                <w:szCs w:val="21"/>
              </w:rPr>
            </w:pPr>
            <w:r>
              <w:rPr>
                <w:rFonts w:cs="Times New Roman"/>
                <w:color w:val="auto"/>
                <w:sz w:val="21"/>
                <w:szCs w:val="21"/>
              </w:rPr>
              <w:t xml:space="preserve">22.0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49C9FDD">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6AA2096">
            <w:pPr>
              <w:widowControl/>
              <w:spacing w:line="240" w:lineRule="auto"/>
              <w:jc w:val="center"/>
              <w:rPr>
                <w:rFonts w:cs="Times New Roman"/>
                <w:color w:val="auto"/>
                <w:sz w:val="21"/>
                <w:szCs w:val="21"/>
              </w:rPr>
            </w:pPr>
            <w:r>
              <w:rPr>
                <w:rFonts w:cs="Times New Roman"/>
                <w:color w:val="auto"/>
                <w:sz w:val="21"/>
                <w:szCs w:val="21"/>
              </w:rPr>
              <w:t xml:space="preserve">17.5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E3B23CE">
            <w:pPr>
              <w:widowControl/>
              <w:spacing w:line="240" w:lineRule="auto"/>
              <w:jc w:val="center"/>
              <w:rPr>
                <w:rFonts w:cs="Times New Roman"/>
                <w:color w:val="auto"/>
                <w:sz w:val="21"/>
                <w:szCs w:val="21"/>
              </w:rPr>
            </w:pPr>
            <w:r>
              <w:rPr>
                <w:rFonts w:cs="Times New Roman"/>
                <w:color w:val="auto"/>
                <w:sz w:val="21"/>
                <w:szCs w:val="21"/>
              </w:rPr>
              <w:t xml:space="preserve">1.0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450BA64">
            <w:pPr>
              <w:widowControl/>
              <w:spacing w:line="240" w:lineRule="auto"/>
              <w:jc w:val="center"/>
              <w:rPr>
                <w:rFonts w:cs="Times New Roman"/>
                <w:color w:val="auto"/>
                <w:sz w:val="21"/>
                <w:szCs w:val="21"/>
              </w:rPr>
            </w:pPr>
            <w:r>
              <w:rPr>
                <w:rFonts w:cs="Times New Roman"/>
                <w:color w:val="auto"/>
                <w:sz w:val="21"/>
                <w:szCs w:val="21"/>
              </w:rPr>
              <w:t xml:space="preserve">18.5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0DDA4EA">
            <w:pPr>
              <w:widowControl/>
              <w:spacing w:line="240" w:lineRule="auto"/>
              <w:jc w:val="center"/>
              <w:rPr>
                <w:rFonts w:cs="Times New Roman"/>
                <w:color w:val="auto"/>
                <w:sz w:val="21"/>
                <w:szCs w:val="21"/>
              </w:rPr>
            </w:pPr>
            <w:r>
              <w:rPr>
                <w:rFonts w:cs="Times New Roman"/>
                <w:color w:val="auto"/>
                <w:sz w:val="21"/>
                <w:szCs w:val="21"/>
              </w:rPr>
              <w:t xml:space="preserve">2.2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B8CF938">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5FB5A4A">
            <w:pPr>
              <w:widowControl/>
              <w:spacing w:line="240" w:lineRule="auto"/>
              <w:jc w:val="center"/>
              <w:rPr>
                <w:rFonts w:cs="Times New Roman"/>
                <w:color w:val="auto"/>
                <w:sz w:val="21"/>
                <w:szCs w:val="21"/>
              </w:rPr>
            </w:pPr>
            <w:r>
              <w:rPr>
                <w:rFonts w:cs="Times New Roman"/>
                <w:color w:val="auto"/>
                <w:sz w:val="21"/>
                <w:szCs w:val="21"/>
              </w:rPr>
              <w:t xml:space="preserve">2.2 </w:t>
            </w:r>
          </w:p>
        </w:tc>
      </w:tr>
      <w:tr w14:paraId="45064B0B">
        <w:tblPrEx>
          <w:tblCellMar>
            <w:top w:w="0" w:type="dxa"/>
            <w:left w:w="108" w:type="dxa"/>
            <w:bottom w:w="0" w:type="dxa"/>
            <w:right w:w="108" w:type="dxa"/>
          </w:tblCellMar>
        </w:tblPrEx>
        <w:trPr>
          <w:trHeight w:val="285" w:hRule="atLeast"/>
        </w:trPr>
        <w:tc>
          <w:tcPr>
            <w:tcW w:w="212"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C14EC2B">
            <w:pPr>
              <w:widowControl/>
              <w:spacing w:line="240" w:lineRule="auto"/>
              <w:jc w:val="center"/>
              <w:rPr>
                <w:rFonts w:cs="Times New Roman"/>
                <w:color w:val="auto"/>
                <w:sz w:val="21"/>
                <w:szCs w:val="21"/>
              </w:rPr>
            </w:pPr>
            <w:r>
              <w:rPr>
                <w:rFonts w:cs="Times New Roman"/>
                <w:color w:val="auto"/>
                <w:sz w:val="21"/>
                <w:szCs w:val="21"/>
              </w:rPr>
              <w:t>沾益区</w:t>
            </w: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6CCBE97">
            <w:pPr>
              <w:widowControl/>
              <w:spacing w:line="240" w:lineRule="auto"/>
              <w:jc w:val="center"/>
              <w:rPr>
                <w:rFonts w:cs="Times New Roman"/>
                <w:color w:val="auto"/>
                <w:sz w:val="21"/>
                <w:szCs w:val="21"/>
              </w:rPr>
            </w:pPr>
            <w:r>
              <w:rPr>
                <w:rFonts w:cs="Times New Roman"/>
                <w:color w:val="auto"/>
                <w:sz w:val="21"/>
                <w:szCs w:val="21"/>
              </w:rPr>
              <w:t>沾益区沾曲陆宜</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5205CC0C">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2564640">
            <w:pPr>
              <w:widowControl/>
              <w:spacing w:line="240" w:lineRule="auto"/>
              <w:jc w:val="center"/>
              <w:rPr>
                <w:rFonts w:cs="Times New Roman"/>
                <w:color w:val="auto"/>
                <w:sz w:val="21"/>
                <w:szCs w:val="21"/>
              </w:rPr>
            </w:pPr>
            <w:r>
              <w:rPr>
                <w:rFonts w:cs="Times New Roman"/>
                <w:color w:val="auto"/>
                <w:sz w:val="21"/>
                <w:szCs w:val="21"/>
              </w:rPr>
              <w:t xml:space="preserve">27.8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2169A2B">
            <w:pPr>
              <w:widowControl/>
              <w:spacing w:line="240" w:lineRule="auto"/>
              <w:jc w:val="center"/>
              <w:rPr>
                <w:rFonts w:cs="Times New Roman"/>
                <w:color w:val="auto"/>
                <w:sz w:val="21"/>
                <w:szCs w:val="21"/>
              </w:rPr>
            </w:pPr>
            <w:r>
              <w:rPr>
                <w:rFonts w:cs="Times New Roman"/>
                <w:color w:val="auto"/>
                <w:sz w:val="21"/>
                <w:szCs w:val="21"/>
              </w:rPr>
              <w:t xml:space="preserve">19.8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3B5D7C3">
            <w:pPr>
              <w:widowControl/>
              <w:spacing w:line="240" w:lineRule="auto"/>
              <w:jc w:val="center"/>
              <w:rPr>
                <w:rFonts w:cs="Times New Roman"/>
                <w:color w:val="auto"/>
                <w:sz w:val="21"/>
                <w:szCs w:val="21"/>
              </w:rPr>
            </w:pPr>
            <w:r>
              <w:rPr>
                <w:rFonts w:cs="Times New Roman"/>
                <w:color w:val="auto"/>
                <w:sz w:val="21"/>
                <w:szCs w:val="21"/>
              </w:rPr>
              <w:t xml:space="preserve">8.0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107EE71">
            <w:pPr>
              <w:widowControl/>
              <w:spacing w:line="240" w:lineRule="auto"/>
              <w:jc w:val="center"/>
              <w:rPr>
                <w:rFonts w:cs="Times New Roman"/>
                <w:color w:val="auto"/>
                <w:sz w:val="21"/>
                <w:szCs w:val="21"/>
              </w:rPr>
            </w:pPr>
            <w:r>
              <w:rPr>
                <w:rFonts w:cs="Times New Roman"/>
                <w:color w:val="auto"/>
                <w:sz w:val="21"/>
                <w:szCs w:val="21"/>
              </w:rPr>
              <w:t>71.2%</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01625E6">
            <w:pPr>
              <w:widowControl/>
              <w:spacing w:line="240" w:lineRule="auto"/>
              <w:jc w:val="center"/>
              <w:rPr>
                <w:rFonts w:cs="Times New Roman"/>
                <w:color w:val="auto"/>
                <w:sz w:val="21"/>
                <w:szCs w:val="21"/>
              </w:rPr>
            </w:pPr>
            <w:r>
              <w:rPr>
                <w:rFonts w:cs="Times New Roman"/>
                <w:color w:val="auto"/>
                <w:sz w:val="21"/>
                <w:szCs w:val="21"/>
              </w:rPr>
              <w:t xml:space="preserve">5.5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095FDF1">
            <w:pPr>
              <w:widowControl/>
              <w:spacing w:line="240" w:lineRule="auto"/>
              <w:jc w:val="center"/>
              <w:rPr>
                <w:rFonts w:cs="Times New Roman"/>
                <w:color w:val="auto"/>
                <w:sz w:val="21"/>
                <w:szCs w:val="21"/>
              </w:rPr>
            </w:pPr>
            <w:r>
              <w:rPr>
                <w:rFonts w:cs="Times New Roman"/>
                <w:color w:val="auto"/>
                <w:sz w:val="21"/>
                <w:szCs w:val="21"/>
              </w:rPr>
              <w:t xml:space="preserve">49.1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AB22988">
            <w:pPr>
              <w:widowControl/>
              <w:spacing w:line="240" w:lineRule="auto"/>
              <w:jc w:val="center"/>
              <w:rPr>
                <w:rFonts w:cs="Times New Roman"/>
                <w:color w:val="auto"/>
                <w:sz w:val="21"/>
                <w:szCs w:val="21"/>
              </w:rPr>
            </w:pPr>
            <w:r>
              <w:rPr>
                <w:rFonts w:cs="Times New Roman"/>
                <w:color w:val="auto"/>
                <w:sz w:val="21"/>
                <w:szCs w:val="21"/>
              </w:rPr>
              <w:t xml:space="preserve">54.5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D60C60B">
            <w:pPr>
              <w:widowControl/>
              <w:spacing w:line="240" w:lineRule="auto"/>
              <w:jc w:val="center"/>
              <w:rPr>
                <w:rFonts w:cs="Times New Roman"/>
                <w:color w:val="auto"/>
                <w:sz w:val="21"/>
                <w:szCs w:val="21"/>
              </w:rPr>
            </w:pPr>
            <w:r>
              <w:rPr>
                <w:rFonts w:cs="Times New Roman"/>
                <w:color w:val="auto"/>
                <w:sz w:val="21"/>
                <w:szCs w:val="21"/>
              </w:rPr>
              <w:t xml:space="preserve">95.1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31110CC">
            <w:pPr>
              <w:widowControl/>
              <w:spacing w:line="240" w:lineRule="auto"/>
              <w:jc w:val="center"/>
              <w:rPr>
                <w:rFonts w:cs="Times New Roman"/>
                <w:color w:val="auto"/>
                <w:sz w:val="21"/>
                <w:szCs w:val="21"/>
              </w:rPr>
            </w:pPr>
            <w:r>
              <w:rPr>
                <w:rFonts w:cs="Times New Roman"/>
                <w:color w:val="auto"/>
                <w:sz w:val="21"/>
                <w:szCs w:val="21"/>
              </w:rPr>
              <w:t xml:space="preserve">39.1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B42EB8F">
            <w:pPr>
              <w:widowControl/>
              <w:spacing w:line="240" w:lineRule="auto"/>
              <w:jc w:val="center"/>
              <w:rPr>
                <w:rFonts w:cs="Times New Roman"/>
                <w:color w:val="auto"/>
                <w:sz w:val="21"/>
                <w:szCs w:val="21"/>
              </w:rPr>
            </w:pPr>
            <w:r>
              <w:rPr>
                <w:rFonts w:cs="Times New Roman"/>
                <w:color w:val="auto"/>
                <w:sz w:val="21"/>
                <w:szCs w:val="21"/>
              </w:rPr>
              <w:t xml:space="preserve">8.5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9AD01E">
            <w:pPr>
              <w:widowControl/>
              <w:spacing w:line="240" w:lineRule="auto"/>
              <w:jc w:val="center"/>
              <w:rPr>
                <w:rFonts w:cs="Times New Roman"/>
                <w:color w:val="auto"/>
                <w:sz w:val="21"/>
                <w:szCs w:val="21"/>
              </w:rPr>
            </w:pPr>
            <w:r>
              <w:rPr>
                <w:rFonts w:cs="Times New Roman"/>
                <w:color w:val="auto"/>
                <w:sz w:val="21"/>
                <w:szCs w:val="21"/>
              </w:rPr>
              <w:t xml:space="preserve">47.7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692E3A6">
            <w:pPr>
              <w:widowControl/>
              <w:spacing w:line="240" w:lineRule="auto"/>
              <w:jc w:val="center"/>
              <w:rPr>
                <w:rFonts w:cs="Times New Roman"/>
                <w:color w:val="auto"/>
                <w:sz w:val="21"/>
                <w:szCs w:val="21"/>
              </w:rPr>
            </w:pPr>
            <w:r>
              <w:rPr>
                <w:rFonts w:cs="Times New Roman"/>
                <w:color w:val="auto"/>
                <w:sz w:val="21"/>
                <w:szCs w:val="21"/>
              </w:rPr>
              <w:t xml:space="preserve">20.7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1E3CEB">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0884841">
            <w:pPr>
              <w:widowControl/>
              <w:spacing w:line="240" w:lineRule="auto"/>
              <w:jc w:val="center"/>
              <w:rPr>
                <w:rFonts w:cs="Times New Roman"/>
                <w:color w:val="auto"/>
                <w:sz w:val="21"/>
                <w:szCs w:val="21"/>
              </w:rPr>
            </w:pPr>
            <w:r>
              <w:rPr>
                <w:rFonts w:cs="Times New Roman"/>
                <w:color w:val="auto"/>
                <w:sz w:val="21"/>
                <w:szCs w:val="21"/>
              </w:rPr>
              <w:t xml:space="preserve">20.7 </w:t>
            </w:r>
          </w:p>
        </w:tc>
      </w:tr>
      <w:tr w14:paraId="1E4B6EF1">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4F3C0C8">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0248E74">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71C34057">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4E12BCD">
            <w:pPr>
              <w:widowControl/>
              <w:spacing w:line="240" w:lineRule="auto"/>
              <w:jc w:val="center"/>
              <w:rPr>
                <w:rFonts w:cs="Times New Roman"/>
                <w:color w:val="auto"/>
                <w:sz w:val="21"/>
                <w:szCs w:val="21"/>
              </w:rPr>
            </w:pPr>
            <w:r>
              <w:rPr>
                <w:rFonts w:cs="Times New Roman"/>
                <w:color w:val="auto"/>
                <w:sz w:val="21"/>
                <w:szCs w:val="21"/>
              </w:rPr>
              <w:t xml:space="preserve">34.7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97AADA">
            <w:pPr>
              <w:widowControl/>
              <w:spacing w:line="240" w:lineRule="auto"/>
              <w:jc w:val="center"/>
              <w:rPr>
                <w:rFonts w:cs="Times New Roman"/>
                <w:color w:val="auto"/>
                <w:sz w:val="21"/>
                <w:szCs w:val="21"/>
              </w:rPr>
            </w:pPr>
            <w:r>
              <w:rPr>
                <w:rFonts w:cs="Times New Roman"/>
                <w:color w:val="auto"/>
                <w:sz w:val="21"/>
                <w:szCs w:val="21"/>
              </w:rPr>
              <w:t xml:space="preserve">27.6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A49EC1">
            <w:pPr>
              <w:widowControl/>
              <w:spacing w:line="240" w:lineRule="auto"/>
              <w:jc w:val="center"/>
              <w:rPr>
                <w:rFonts w:cs="Times New Roman"/>
                <w:color w:val="auto"/>
                <w:sz w:val="21"/>
                <w:szCs w:val="21"/>
              </w:rPr>
            </w:pPr>
            <w:r>
              <w:rPr>
                <w:rFonts w:cs="Times New Roman"/>
                <w:color w:val="auto"/>
                <w:sz w:val="21"/>
                <w:szCs w:val="21"/>
              </w:rPr>
              <w:t xml:space="preserve">7.1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8A9AC92">
            <w:pPr>
              <w:widowControl/>
              <w:spacing w:line="240" w:lineRule="auto"/>
              <w:jc w:val="center"/>
              <w:rPr>
                <w:rFonts w:cs="Times New Roman"/>
                <w:color w:val="auto"/>
                <w:sz w:val="21"/>
                <w:szCs w:val="21"/>
              </w:rPr>
            </w:pPr>
            <w:r>
              <w:rPr>
                <w:rFonts w:cs="Times New Roman"/>
                <w:color w:val="auto"/>
                <w:sz w:val="21"/>
                <w:szCs w:val="21"/>
              </w:rPr>
              <w:t>79.5%</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A7D5C07">
            <w:pPr>
              <w:widowControl/>
              <w:spacing w:line="240" w:lineRule="auto"/>
              <w:jc w:val="center"/>
              <w:rPr>
                <w:rFonts w:cs="Times New Roman"/>
                <w:color w:val="auto"/>
                <w:sz w:val="21"/>
                <w:szCs w:val="21"/>
              </w:rPr>
            </w:pPr>
            <w:r>
              <w:rPr>
                <w:rFonts w:cs="Times New Roman"/>
                <w:color w:val="auto"/>
                <w:sz w:val="21"/>
                <w:szCs w:val="21"/>
              </w:rPr>
              <w:t xml:space="preserve">6.1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A0C1F43">
            <w:pPr>
              <w:widowControl/>
              <w:spacing w:line="240" w:lineRule="auto"/>
              <w:jc w:val="center"/>
              <w:rPr>
                <w:rFonts w:cs="Times New Roman"/>
                <w:color w:val="auto"/>
                <w:sz w:val="21"/>
                <w:szCs w:val="21"/>
              </w:rPr>
            </w:pPr>
            <w:r>
              <w:rPr>
                <w:rFonts w:cs="Times New Roman"/>
                <w:color w:val="auto"/>
                <w:sz w:val="21"/>
                <w:szCs w:val="21"/>
              </w:rPr>
              <w:t xml:space="preserve">60.4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134B66B">
            <w:pPr>
              <w:widowControl/>
              <w:spacing w:line="240" w:lineRule="auto"/>
              <w:jc w:val="center"/>
              <w:rPr>
                <w:rFonts w:cs="Times New Roman"/>
                <w:color w:val="auto"/>
                <w:sz w:val="21"/>
                <w:szCs w:val="21"/>
              </w:rPr>
            </w:pPr>
            <w:r>
              <w:rPr>
                <w:rFonts w:cs="Times New Roman"/>
                <w:color w:val="auto"/>
                <w:sz w:val="21"/>
                <w:szCs w:val="21"/>
              </w:rPr>
              <w:t xml:space="preserve">66.4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D94CF47">
            <w:pPr>
              <w:widowControl/>
              <w:spacing w:line="240" w:lineRule="auto"/>
              <w:jc w:val="center"/>
              <w:rPr>
                <w:rFonts w:cs="Times New Roman"/>
                <w:color w:val="auto"/>
                <w:sz w:val="21"/>
                <w:szCs w:val="21"/>
              </w:rPr>
            </w:pPr>
            <w:r>
              <w:rPr>
                <w:rFonts w:cs="Times New Roman"/>
                <w:color w:val="auto"/>
                <w:sz w:val="21"/>
                <w:szCs w:val="21"/>
              </w:rPr>
              <w:t xml:space="preserve">206.6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8F351E5">
            <w:pPr>
              <w:widowControl/>
              <w:spacing w:line="240" w:lineRule="auto"/>
              <w:jc w:val="center"/>
              <w:rPr>
                <w:rFonts w:cs="Times New Roman"/>
                <w:color w:val="auto"/>
                <w:sz w:val="21"/>
                <w:szCs w:val="21"/>
              </w:rPr>
            </w:pPr>
            <w:r>
              <w:rPr>
                <w:rFonts w:cs="Times New Roman"/>
                <w:color w:val="auto"/>
                <w:sz w:val="21"/>
                <w:szCs w:val="21"/>
              </w:rPr>
              <w:t xml:space="preserve">38.5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97F9C2C">
            <w:pPr>
              <w:widowControl/>
              <w:spacing w:line="240" w:lineRule="auto"/>
              <w:jc w:val="center"/>
              <w:rPr>
                <w:rFonts w:cs="Times New Roman"/>
                <w:color w:val="auto"/>
                <w:sz w:val="21"/>
                <w:szCs w:val="21"/>
              </w:rPr>
            </w:pPr>
            <w:r>
              <w:rPr>
                <w:rFonts w:cs="Times New Roman"/>
                <w:color w:val="auto"/>
                <w:sz w:val="21"/>
                <w:szCs w:val="21"/>
              </w:rPr>
              <w:t xml:space="preserve">8.3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7589672">
            <w:pPr>
              <w:widowControl/>
              <w:spacing w:line="240" w:lineRule="auto"/>
              <w:jc w:val="center"/>
              <w:rPr>
                <w:rFonts w:cs="Times New Roman"/>
                <w:color w:val="auto"/>
                <w:sz w:val="21"/>
                <w:szCs w:val="21"/>
              </w:rPr>
            </w:pPr>
            <w:r>
              <w:rPr>
                <w:rFonts w:cs="Times New Roman"/>
                <w:color w:val="auto"/>
                <w:sz w:val="21"/>
                <w:szCs w:val="21"/>
              </w:rPr>
              <w:t xml:space="preserve">46.7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FD22713">
            <w:pPr>
              <w:widowControl/>
              <w:spacing w:line="240" w:lineRule="auto"/>
              <w:jc w:val="center"/>
              <w:rPr>
                <w:rFonts w:cs="Times New Roman"/>
                <w:color w:val="auto"/>
                <w:sz w:val="21"/>
                <w:szCs w:val="21"/>
              </w:rPr>
            </w:pPr>
            <w:r>
              <w:rPr>
                <w:rFonts w:cs="Times New Roman"/>
                <w:color w:val="auto"/>
                <w:sz w:val="21"/>
                <w:szCs w:val="21"/>
              </w:rPr>
              <w:t xml:space="preserve">20.0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661850D">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54801BC">
            <w:pPr>
              <w:widowControl/>
              <w:spacing w:line="240" w:lineRule="auto"/>
              <w:jc w:val="center"/>
              <w:rPr>
                <w:rFonts w:cs="Times New Roman"/>
                <w:color w:val="auto"/>
                <w:sz w:val="21"/>
                <w:szCs w:val="21"/>
              </w:rPr>
            </w:pPr>
            <w:r>
              <w:rPr>
                <w:rFonts w:cs="Times New Roman"/>
                <w:color w:val="auto"/>
                <w:sz w:val="21"/>
                <w:szCs w:val="21"/>
              </w:rPr>
              <w:t xml:space="preserve">20.0 </w:t>
            </w:r>
          </w:p>
        </w:tc>
      </w:tr>
      <w:tr w14:paraId="69CD673F">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C394BB0">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1C9FE42">
            <w:pPr>
              <w:widowControl/>
              <w:spacing w:line="240" w:lineRule="auto"/>
              <w:jc w:val="center"/>
              <w:rPr>
                <w:rFonts w:cs="Times New Roman"/>
                <w:color w:val="auto"/>
                <w:sz w:val="21"/>
                <w:szCs w:val="21"/>
              </w:rPr>
            </w:pPr>
            <w:r>
              <w:rPr>
                <w:rFonts w:cs="Times New Roman"/>
                <w:color w:val="auto"/>
                <w:sz w:val="21"/>
                <w:szCs w:val="21"/>
              </w:rPr>
              <w:t>沾益区黄泥河</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7AE6FCCC">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BF36DD6">
            <w:pPr>
              <w:widowControl/>
              <w:spacing w:line="240" w:lineRule="auto"/>
              <w:jc w:val="center"/>
              <w:rPr>
                <w:rFonts w:cs="Times New Roman"/>
                <w:color w:val="auto"/>
                <w:sz w:val="21"/>
                <w:szCs w:val="21"/>
              </w:rPr>
            </w:pPr>
            <w:r>
              <w:rPr>
                <w:rFonts w:cs="Times New Roman"/>
                <w:color w:val="auto"/>
                <w:sz w:val="21"/>
                <w:szCs w:val="21"/>
              </w:rPr>
              <w:t xml:space="preserve">2.9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6CE617">
            <w:pPr>
              <w:widowControl/>
              <w:spacing w:line="240" w:lineRule="auto"/>
              <w:jc w:val="center"/>
              <w:rPr>
                <w:rFonts w:cs="Times New Roman"/>
                <w:color w:val="auto"/>
                <w:sz w:val="21"/>
                <w:szCs w:val="21"/>
              </w:rPr>
            </w:pPr>
            <w:r>
              <w:rPr>
                <w:rFonts w:cs="Times New Roman"/>
                <w:color w:val="auto"/>
                <w:sz w:val="21"/>
                <w:szCs w:val="21"/>
              </w:rPr>
              <w:t xml:space="preserve">1.2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CB1A2E">
            <w:pPr>
              <w:widowControl/>
              <w:spacing w:line="240" w:lineRule="auto"/>
              <w:jc w:val="center"/>
              <w:rPr>
                <w:rFonts w:cs="Times New Roman"/>
                <w:color w:val="auto"/>
                <w:sz w:val="21"/>
                <w:szCs w:val="21"/>
              </w:rPr>
            </w:pPr>
            <w:r>
              <w:rPr>
                <w:rFonts w:cs="Times New Roman"/>
                <w:color w:val="auto"/>
                <w:sz w:val="21"/>
                <w:szCs w:val="21"/>
              </w:rPr>
              <w:t xml:space="preserve">1.6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A5AD2A">
            <w:pPr>
              <w:widowControl/>
              <w:spacing w:line="240" w:lineRule="auto"/>
              <w:jc w:val="center"/>
              <w:rPr>
                <w:rFonts w:cs="Times New Roman"/>
                <w:color w:val="auto"/>
                <w:sz w:val="21"/>
                <w:szCs w:val="21"/>
              </w:rPr>
            </w:pPr>
            <w:r>
              <w:rPr>
                <w:rFonts w:cs="Times New Roman"/>
                <w:color w:val="auto"/>
                <w:sz w:val="21"/>
                <w:szCs w:val="21"/>
              </w:rPr>
              <w:t>42.4%</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660E87">
            <w:pPr>
              <w:widowControl/>
              <w:spacing w:line="240" w:lineRule="auto"/>
              <w:jc w:val="center"/>
              <w:rPr>
                <w:rFonts w:cs="Times New Roman"/>
                <w:color w:val="auto"/>
                <w:sz w:val="21"/>
                <w:szCs w:val="21"/>
              </w:rPr>
            </w:pPr>
            <w:r>
              <w:rPr>
                <w:rFonts w:cs="Times New Roman"/>
                <w:color w:val="auto"/>
                <w:sz w:val="21"/>
                <w:szCs w:val="21"/>
              </w:rPr>
              <w:t xml:space="preserve">1.1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6F31D8B">
            <w:pPr>
              <w:widowControl/>
              <w:spacing w:line="240" w:lineRule="auto"/>
              <w:jc w:val="center"/>
              <w:rPr>
                <w:rFonts w:cs="Times New Roman"/>
                <w:color w:val="auto"/>
                <w:sz w:val="21"/>
                <w:szCs w:val="21"/>
              </w:rPr>
            </w:pPr>
            <w:r>
              <w:rPr>
                <w:rFonts w:cs="Times New Roman"/>
                <w:color w:val="auto"/>
                <w:sz w:val="21"/>
                <w:szCs w:val="21"/>
              </w:rPr>
              <w:t xml:space="preserve">10.1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F1ED71F">
            <w:pPr>
              <w:widowControl/>
              <w:spacing w:line="240" w:lineRule="auto"/>
              <w:jc w:val="center"/>
              <w:rPr>
                <w:rFonts w:cs="Times New Roman"/>
                <w:color w:val="auto"/>
                <w:sz w:val="21"/>
                <w:szCs w:val="21"/>
              </w:rPr>
            </w:pPr>
            <w:r>
              <w:rPr>
                <w:rFonts w:cs="Times New Roman"/>
                <w:color w:val="auto"/>
                <w:sz w:val="21"/>
                <w:szCs w:val="21"/>
              </w:rPr>
              <w:t xml:space="preserve">11.2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8BDEEB4">
            <w:pPr>
              <w:widowControl/>
              <w:spacing w:line="240" w:lineRule="auto"/>
              <w:jc w:val="center"/>
              <w:rPr>
                <w:rFonts w:cs="Times New Roman"/>
                <w:color w:val="auto"/>
                <w:sz w:val="21"/>
                <w:szCs w:val="21"/>
              </w:rPr>
            </w:pPr>
            <w:r>
              <w:rPr>
                <w:rFonts w:cs="Times New Roman"/>
                <w:color w:val="auto"/>
                <w:sz w:val="21"/>
                <w:szCs w:val="21"/>
              </w:rPr>
              <w:t xml:space="preserve">23.6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DF7A26B">
            <w:pPr>
              <w:widowControl/>
              <w:spacing w:line="240" w:lineRule="auto"/>
              <w:jc w:val="center"/>
              <w:rPr>
                <w:rFonts w:cs="Times New Roman"/>
                <w:color w:val="auto"/>
                <w:sz w:val="21"/>
                <w:szCs w:val="21"/>
              </w:rPr>
            </w:pPr>
            <w:r>
              <w:rPr>
                <w:rFonts w:cs="Times New Roman"/>
                <w:color w:val="auto"/>
                <w:sz w:val="21"/>
                <w:szCs w:val="21"/>
              </w:rPr>
              <w:t xml:space="preserve">16.3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714D891">
            <w:pPr>
              <w:widowControl/>
              <w:spacing w:line="240" w:lineRule="auto"/>
              <w:jc w:val="center"/>
              <w:rPr>
                <w:rFonts w:cs="Times New Roman"/>
                <w:color w:val="auto"/>
                <w:sz w:val="21"/>
                <w:szCs w:val="21"/>
              </w:rPr>
            </w:pPr>
            <w:r>
              <w:rPr>
                <w:rFonts w:cs="Times New Roman"/>
                <w:color w:val="auto"/>
                <w:sz w:val="21"/>
                <w:szCs w:val="21"/>
              </w:rPr>
              <w:t xml:space="preserve">0.4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A060F3F">
            <w:pPr>
              <w:widowControl/>
              <w:spacing w:line="240" w:lineRule="auto"/>
              <w:jc w:val="center"/>
              <w:rPr>
                <w:rFonts w:cs="Times New Roman"/>
                <w:color w:val="auto"/>
                <w:sz w:val="21"/>
                <w:szCs w:val="21"/>
              </w:rPr>
            </w:pPr>
            <w:r>
              <w:rPr>
                <w:rFonts w:cs="Times New Roman"/>
                <w:color w:val="auto"/>
                <w:sz w:val="21"/>
                <w:szCs w:val="21"/>
              </w:rPr>
              <w:t xml:space="preserve">16.7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306DB31">
            <w:pPr>
              <w:widowControl/>
              <w:spacing w:line="240" w:lineRule="auto"/>
              <w:jc w:val="center"/>
              <w:rPr>
                <w:rFonts w:cs="Times New Roman"/>
                <w:color w:val="auto"/>
                <w:sz w:val="21"/>
                <w:szCs w:val="21"/>
              </w:rPr>
            </w:pPr>
            <w:r>
              <w:rPr>
                <w:rFonts w:cs="Times New Roman"/>
                <w:color w:val="auto"/>
                <w:sz w:val="21"/>
                <w:szCs w:val="21"/>
              </w:rPr>
              <w:t xml:space="preserve">3.6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E0B9708">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3E6DEC1">
            <w:pPr>
              <w:widowControl/>
              <w:spacing w:line="240" w:lineRule="auto"/>
              <w:jc w:val="center"/>
              <w:rPr>
                <w:rFonts w:cs="Times New Roman"/>
                <w:color w:val="auto"/>
                <w:sz w:val="21"/>
                <w:szCs w:val="21"/>
              </w:rPr>
            </w:pPr>
            <w:r>
              <w:rPr>
                <w:rFonts w:cs="Times New Roman"/>
                <w:color w:val="auto"/>
                <w:sz w:val="21"/>
                <w:szCs w:val="21"/>
              </w:rPr>
              <w:t xml:space="preserve">3.6 </w:t>
            </w:r>
          </w:p>
        </w:tc>
      </w:tr>
      <w:tr w14:paraId="15A222A6">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34EBD5C">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E9DA327">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3C7A0BFA">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DC56CE2">
            <w:pPr>
              <w:widowControl/>
              <w:spacing w:line="240" w:lineRule="auto"/>
              <w:jc w:val="center"/>
              <w:rPr>
                <w:rFonts w:cs="Times New Roman"/>
                <w:color w:val="auto"/>
                <w:sz w:val="21"/>
                <w:szCs w:val="21"/>
              </w:rPr>
            </w:pPr>
            <w:r>
              <w:rPr>
                <w:rFonts w:cs="Times New Roman"/>
                <w:color w:val="auto"/>
                <w:sz w:val="21"/>
                <w:szCs w:val="21"/>
              </w:rPr>
              <w:t xml:space="preserve">2.8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779EA08">
            <w:pPr>
              <w:widowControl/>
              <w:spacing w:line="240" w:lineRule="auto"/>
              <w:jc w:val="center"/>
              <w:rPr>
                <w:rFonts w:cs="Times New Roman"/>
                <w:color w:val="auto"/>
                <w:sz w:val="21"/>
                <w:szCs w:val="21"/>
              </w:rPr>
            </w:pPr>
            <w:r>
              <w:rPr>
                <w:rFonts w:cs="Times New Roman"/>
                <w:color w:val="auto"/>
                <w:sz w:val="21"/>
                <w:szCs w:val="21"/>
              </w:rPr>
              <w:t xml:space="preserve">1.4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913B2C">
            <w:pPr>
              <w:widowControl/>
              <w:spacing w:line="240" w:lineRule="auto"/>
              <w:jc w:val="center"/>
              <w:rPr>
                <w:rFonts w:cs="Times New Roman"/>
                <w:color w:val="auto"/>
                <w:sz w:val="21"/>
                <w:szCs w:val="21"/>
              </w:rPr>
            </w:pPr>
            <w:r>
              <w:rPr>
                <w:rFonts w:cs="Times New Roman"/>
                <w:color w:val="auto"/>
                <w:sz w:val="21"/>
                <w:szCs w:val="21"/>
              </w:rPr>
              <w:t xml:space="preserve">1.4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6D9D1DA">
            <w:pPr>
              <w:widowControl/>
              <w:spacing w:line="240" w:lineRule="auto"/>
              <w:jc w:val="center"/>
              <w:rPr>
                <w:rFonts w:cs="Times New Roman"/>
                <w:color w:val="auto"/>
                <w:sz w:val="21"/>
                <w:szCs w:val="21"/>
              </w:rPr>
            </w:pPr>
            <w:r>
              <w:rPr>
                <w:rFonts w:cs="Times New Roman"/>
                <w:color w:val="auto"/>
                <w:sz w:val="21"/>
                <w:szCs w:val="21"/>
              </w:rPr>
              <w:t>50.9%</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B9A9757">
            <w:pPr>
              <w:widowControl/>
              <w:spacing w:line="240" w:lineRule="auto"/>
              <w:jc w:val="center"/>
              <w:rPr>
                <w:rFonts w:cs="Times New Roman"/>
                <w:color w:val="auto"/>
                <w:sz w:val="21"/>
                <w:szCs w:val="21"/>
              </w:rPr>
            </w:pPr>
            <w:r>
              <w:rPr>
                <w:rFonts w:cs="Times New Roman"/>
                <w:color w:val="auto"/>
                <w:sz w:val="21"/>
                <w:szCs w:val="21"/>
              </w:rPr>
              <w:t xml:space="preserve">1.2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359F4AE">
            <w:pPr>
              <w:widowControl/>
              <w:spacing w:line="240" w:lineRule="auto"/>
              <w:jc w:val="center"/>
              <w:rPr>
                <w:rFonts w:cs="Times New Roman"/>
                <w:color w:val="auto"/>
                <w:sz w:val="21"/>
                <w:szCs w:val="21"/>
              </w:rPr>
            </w:pPr>
            <w:r>
              <w:rPr>
                <w:rFonts w:cs="Times New Roman"/>
                <w:color w:val="auto"/>
                <w:sz w:val="21"/>
                <w:szCs w:val="21"/>
              </w:rPr>
              <w:t xml:space="preserve">11.6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855479C">
            <w:pPr>
              <w:widowControl/>
              <w:spacing w:line="240" w:lineRule="auto"/>
              <w:jc w:val="center"/>
              <w:rPr>
                <w:rFonts w:cs="Times New Roman"/>
                <w:color w:val="auto"/>
                <w:sz w:val="21"/>
                <w:szCs w:val="21"/>
              </w:rPr>
            </w:pPr>
            <w:r>
              <w:rPr>
                <w:rFonts w:cs="Times New Roman"/>
                <w:color w:val="auto"/>
                <w:sz w:val="21"/>
                <w:szCs w:val="21"/>
              </w:rPr>
              <w:t xml:space="preserve">12.8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3DB3B9F">
            <w:pPr>
              <w:widowControl/>
              <w:spacing w:line="240" w:lineRule="auto"/>
              <w:jc w:val="center"/>
              <w:rPr>
                <w:rFonts w:cs="Times New Roman"/>
                <w:color w:val="auto"/>
                <w:sz w:val="21"/>
                <w:szCs w:val="21"/>
              </w:rPr>
            </w:pPr>
            <w:r>
              <w:rPr>
                <w:rFonts w:cs="Times New Roman"/>
                <w:color w:val="auto"/>
                <w:sz w:val="21"/>
                <w:szCs w:val="21"/>
              </w:rPr>
              <w:t xml:space="preserve">51.4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0153FEF">
            <w:pPr>
              <w:widowControl/>
              <w:spacing w:line="240" w:lineRule="auto"/>
              <w:jc w:val="center"/>
              <w:rPr>
                <w:rFonts w:cs="Times New Roman"/>
                <w:color w:val="auto"/>
                <w:sz w:val="21"/>
                <w:szCs w:val="21"/>
              </w:rPr>
            </w:pPr>
            <w:r>
              <w:rPr>
                <w:rFonts w:cs="Times New Roman"/>
                <w:color w:val="auto"/>
                <w:sz w:val="21"/>
                <w:szCs w:val="21"/>
              </w:rPr>
              <w:t xml:space="preserve">16.2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F8DC902">
            <w:pPr>
              <w:widowControl/>
              <w:spacing w:line="240" w:lineRule="auto"/>
              <w:jc w:val="center"/>
              <w:rPr>
                <w:rFonts w:cs="Times New Roman"/>
                <w:color w:val="auto"/>
                <w:sz w:val="21"/>
                <w:szCs w:val="21"/>
              </w:rPr>
            </w:pPr>
            <w:r>
              <w:rPr>
                <w:rFonts w:cs="Times New Roman"/>
                <w:color w:val="auto"/>
                <w:sz w:val="21"/>
                <w:szCs w:val="21"/>
              </w:rPr>
              <w:t xml:space="preserve">0.4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61FE13E">
            <w:pPr>
              <w:widowControl/>
              <w:spacing w:line="240" w:lineRule="auto"/>
              <w:jc w:val="center"/>
              <w:rPr>
                <w:rFonts w:cs="Times New Roman"/>
                <w:color w:val="auto"/>
                <w:sz w:val="21"/>
                <w:szCs w:val="21"/>
              </w:rPr>
            </w:pPr>
            <w:r>
              <w:rPr>
                <w:rFonts w:cs="Times New Roman"/>
                <w:color w:val="auto"/>
                <w:sz w:val="21"/>
                <w:szCs w:val="21"/>
              </w:rPr>
              <w:t xml:space="preserve">16.6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4F1940D">
            <w:pPr>
              <w:widowControl/>
              <w:spacing w:line="240" w:lineRule="auto"/>
              <w:jc w:val="center"/>
              <w:rPr>
                <w:rFonts w:cs="Times New Roman"/>
                <w:color w:val="auto"/>
                <w:sz w:val="21"/>
                <w:szCs w:val="21"/>
              </w:rPr>
            </w:pPr>
            <w:r>
              <w:rPr>
                <w:rFonts w:cs="Times New Roman"/>
                <w:color w:val="auto"/>
                <w:sz w:val="21"/>
                <w:szCs w:val="21"/>
              </w:rPr>
              <w:t xml:space="preserve">3.6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5D9C47E">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EDA0845">
            <w:pPr>
              <w:widowControl/>
              <w:spacing w:line="240" w:lineRule="auto"/>
              <w:jc w:val="center"/>
              <w:rPr>
                <w:rFonts w:cs="Times New Roman"/>
                <w:color w:val="auto"/>
                <w:sz w:val="21"/>
                <w:szCs w:val="21"/>
              </w:rPr>
            </w:pPr>
            <w:r>
              <w:rPr>
                <w:rFonts w:cs="Times New Roman"/>
                <w:color w:val="auto"/>
                <w:sz w:val="21"/>
                <w:szCs w:val="21"/>
              </w:rPr>
              <w:t xml:space="preserve">3.6 </w:t>
            </w:r>
          </w:p>
        </w:tc>
      </w:tr>
      <w:tr w14:paraId="34C841CF">
        <w:tblPrEx>
          <w:tblCellMar>
            <w:top w:w="0" w:type="dxa"/>
            <w:left w:w="108" w:type="dxa"/>
            <w:bottom w:w="0" w:type="dxa"/>
            <w:right w:w="108" w:type="dxa"/>
          </w:tblCellMar>
        </w:tblPrEx>
        <w:trPr>
          <w:trHeight w:val="285" w:hRule="atLeast"/>
        </w:trPr>
        <w:tc>
          <w:tcPr>
            <w:tcW w:w="212"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2599404">
            <w:pPr>
              <w:widowControl/>
              <w:spacing w:line="240" w:lineRule="auto"/>
              <w:jc w:val="center"/>
              <w:rPr>
                <w:rFonts w:cs="Times New Roman"/>
                <w:color w:val="auto"/>
                <w:sz w:val="21"/>
                <w:szCs w:val="21"/>
              </w:rPr>
            </w:pPr>
            <w:r>
              <w:rPr>
                <w:rFonts w:cs="Times New Roman"/>
                <w:color w:val="auto"/>
                <w:sz w:val="21"/>
                <w:szCs w:val="21"/>
              </w:rPr>
              <w:t>马龙区</w:t>
            </w: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CF9F363">
            <w:pPr>
              <w:widowControl/>
              <w:spacing w:line="240" w:lineRule="auto"/>
              <w:jc w:val="center"/>
              <w:rPr>
                <w:rFonts w:cs="Times New Roman"/>
                <w:color w:val="auto"/>
                <w:sz w:val="21"/>
                <w:szCs w:val="21"/>
              </w:rPr>
            </w:pPr>
            <w:r>
              <w:rPr>
                <w:rFonts w:cs="Times New Roman"/>
                <w:color w:val="auto"/>
                <w:sz w:val="21"/>
                <w:szCs w:val="21"/>
              </w:rPr>
              <w:t>马龙区沾曲陆宜</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54CC2C6A">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58A5199">
            <w:pPr>
              <w:widowControl/>
              <w:spacing w:line="240" w:lineRule="auto"/>
              <w:jc w:val="center"/>
              <w:rPr>
                <w:rFonts w:cs="Times New Roman"/>
                <w:color w:val="auto"/>
                <w:sz w:val="21"/>
                <w:szCs w:val="21"/>
              </w:rPr>
            </w:pPr>
            <w:r>
              <w:rPr>
                <w:rFonts w:cs="Times New Roman"/>
                <w:color w:val="auto"/>
                <w:sz w:val="21"/>
                <w:szCs w:val="21"/>
              </w:rPr>
              <w:t xml:space="preserve">4.4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6F28372">
            <w:pPr>
              <w:widowControl/>
              <w:spacing w:line="240" w:lineRule="auto"/>
              <w:jc w:val="center"/>
              <w:rPr>
                <w:rFonts w:cs="Times New Roman"/>
                <w:color w:val="auto"/>
                <w:sz w:val="21"/>
                <w:szCs w:val="21"/>
              </w:rPr>
            </w:pPr>
            <w:r>
              <w:rPr>
                <w:rFonts w:cs="Times New Roman"/>
                <w:color w:val="auto"/>
                <w:sz w:val="21"/>
                <w:szCs w:val="21"/>
              </w:rPr>
              <w:t xml:space="preserve">0.7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F7D6482">
            <w:pPr>
              <w:widowControl/>
              <w:spacing w:line="240" w:lineRule="auto"/>
              <w:jc w:val="center"/>
              <w:rPr>
                <w:rFonts w:cs="Times New Roman"/>
                <w:color w:val="auto"/>
                <w:sz w:val="21"/>
                <w:szCs w:val="21"/>
              </w:rPr>
            </w:pPr>
            <w:r>
              <w:rPr>
                <w:rFonts w:cs="Times New Roman"/>
                <w:color w:val="auto"/>
                <w:sz w:val="21"/>
                <w:szCs w:val="21"/>
              </w:rPr>
              <w:t xml:space="preserve">3.6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86DD6A">
            <w:pPr>
              <w:widowControl/>
              <w:spacing w:line="240" w:lineRule="auto"/>
              <w:jc w:val="center"/>
              <w:rPr>
                <w:rFonts w:cs="Times New Roman"/>
                <w:color w:val="auto"/>
                <w:sz w:val="21"/>
                <w:szCs w:val="21"/>
              </w:rPr>
            </w:pPr>
            <w:r>
              <w:rPr>
                <w:rFonts w:cs="Times New Roman"/>
                <w:color w:val="auto"/>
                <w:sz w:val="21"/>
                <w:szCs w:val="21"/>
              </w:rPr>
              <w:t>16.7%</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F790F26">
            <w:pPr>
              <w:widowControl/>
              <w:spacing w:line="240" w:lineRule="auto"/>
              <w:jc w:val="center"/>
              <w:rPr>
                <w:rFonts w:cs="Times New Roman"/>
                <w:color w:val="auto"/>
                <w:sz w:val="21"/>
                <w:szCs w:val="21"/>
              </w:rPr>
            </w:pPr>
            <w:r>
              <w:rPr>
                <w:rFonts w:cs="Times New Roman"/>
                <w:color w:val="auto"/>
                <w:sz w:val="21"/>
                <w:szCs w:val="21"/>
              </w:rPr>
              <w:t xml:space="preserve">1.7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9CEAE66">
            <w:pPr>
              <w:widowControl/>
              <w:spacing w:line="240" w:lineRule="auto"/>
              <w:jc w:val="center"/>
              <w:rPr>
                <w:rFonts w:cs="Times New Roman"/>
                <w:color w:val="auto"/>
                <w:sz w:val="21"/>
                <w:szCs w:val="21"/>
              </w:rPr>
            </w:pPr>
            <w:r>
              <w:rPr>
                <w:rFonts w:cs="Times New Roman"/>
                <w:color w:val="auto"/>
                <w:sz w:val="21"/>
                <w:szCs w:val="21"/>
              </w:rPr>
              <w:t xml:space="preserve">9.1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AFFBDED">
            <w:pPr>
              <w:widowControl/>
              <w:spacing w:line="240" w:lineRule="auto"/>
              <w:jc w:val="center"/>
              <w:rPr>
                <w:rFonts w:cs="Times New Roman"/>
                <w:color w:val="auto"/>
                <w:sz w:val="21"/>
                <w:szCs w:val="21"/>
              </w:rPr>
            </w:pPr>
            <w:r>
              <w:rPr>
                <w:rFonts w:cs="Times New Roman"/>
                <w:color w:val="auto"/>
                <w:sz w:val="21"/>
                <w:szCs w:val="21"/>
              </w:rPr>
              <w:t xml:space="preserve">10.8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F9DB188">
            <w:pPr>
              <w:widowControl/>
              <w:spacing w:line="240" w:lineRule="auto"/>
              <w:jc w:val="center"/>
              <w:rPr>
                <w:rFonts w:cs="Times New Roman"/>
                <w:color w:val="auto"/>
                <w:sz w:val="21"/>
                <w:szCs w:val="21"/>
              </w:rPr>
            </w:pPr>
            <w:r>
              <w:rPr>
                <w:rFonts w:cs="Times New Roman"/>
                <w:color w:val="auto"/>
                <w:sz w:val="21"/>
                <w:szCs w:val="21"/>
              </w:rPr>
              <w:t xml:space="preserve">4.1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F4B912">
            <w:pPr>
              <w:widowControl/>
              <w:spacing w:line="240" w:lineRule="auto"/>
              <w:jc w:val="center"/>
              <w:rPr>
                <w:rFonts w:cs="Times New Roman"/>
                <w:color w:val="auto"/>
                <w:sz w:val="21"/>
                <w:szCs w:val="21"/>
              </w:rPr>
            </w:pPr>
            <w:r>
              <w:rPr>
                <w:rFonts w:cs="Times New Roman"/>
                <w:color w:val="auto"/>
                <w:sz w:val="21"/>
                <w:szCs w:val="21"/>
              </w:rPr>
              <w:t xml:space="preserve">26.5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D7EF19C">
            <w:pPr>
              <w:widowControl/>
              <w:spacing w:line="240" w:lineRule="auto"/>
              <w:jc w:val="center"/>
              <w:rPr>
                <w:rFonts w:cs="Times New Roman"/>
                <w:color w:val="auto"/>
                <w:sz w:val="21"/>
                <w:szCs w:val="21"/>
              </w:rPr>
            </w:pPr>
            <w:r>
              <w:rPr>
                <w:rFonts w:cs="Times New Roman"/>
                <w:color w:val="auto"/>
                <w:sz w:val="21"/>
                <w:szCs w:val="21"/>
              </w:rPr>
              <w:t xml:space="preserve">2.8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EA9E3B4">
            <w:pPr>
              <w:widowControl/>
              <w:spacing w:line="240" w:lineRule="auto"/>
              <w:jc w:val="center"/>
              <w:rPr>
                <w:rFonts w:cs="Times New Roman"/>
                <w:color w:val="auto"/>
                <w:sz w:val="21"/>
                <w:szCs w:val="21"/>
              </w:rPr>
            </w:pPr>
            <w:r>
              <w:rPr>
                <w:rFonts w:cs="Times New Roman"/>
                <w:color w:val="auto"/>
                <w:sz w:val="21"/>
                <w:szCs w:val="21"/>
              </w:rPr>
              <w:t xml:space="preserve">29.2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098FBE1">
            <w:pPr>
              <w:widowControl/>
              <w:spacing w:line="240" w:lineRule="auto"/>
              <w:jc w:val="center"/>
              <w:rPr>
                <w:rFonts w:cs="Times New Roman"/>
                <w:color w:val="auto"/>
                <w:sz w:val="21"/>
                <w:szCs w:val="21"/>
              </w:rPr>
            </w:pPr>
            <w:r>
              <w:rPr>
                <w:rFonts w:cs="Times New Roman"/>
                <w:color w:val="auto"/>
                <w:sz w:val="21"/>
                <w:szCs w:val="21"/>
              </w:rPr>
              <w:t xml:space="preserve">5.4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A789419">
            <w:pPr>
              <w:widowControl/>
              <w:spacing w:line="240" w:lineRule="auto"/>
              <w:jc w:val="center"/>
              <w:rPr>
                <w:rFonts w:cs="Times New Roman"/>
                <w:color w:val="auto"/>
                <w:sz w:val="21"/>
                <w:szCs w:val="21"/>
              </w:rPr>
            </w:pPr>
            <w:r>
              <w:rPr>
                <w:rFonts w:cs="Times New Roman"/>
                <w:color w:val="auto"/>
                <w:sz w:val="21"/>
                <w:szCs w:val="21"/>
              </w:rPr>
              <w:t xml:space="preserve">1.7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40634A5">
            <w:pPr>
              <w:widowControl/>
              <w:spacing w:line="240" w:lineRule="auto"/>
              <w:jc w:val="center"/>
              <w:rPr>
                <w:rFonts w:cs="Times New Roman"/>
                <w:color w:val="auto"/>
                <w:sz w:val="21"/>
                <w:szCs w:val="21"/>
              </w:rPr>
            </w:pPr>
            <w:r>
              <w:rPr>
                <w:rFonts w:cs="Times New Roman"/>
                <w:color w:val="auto"/>
                <w:sz w:val="21"/>
                <w:szCs w:val="21"/>
              </w:rPr>
              <w:t xml:space="preserve">7.1 </w:t>
            </w:r>
          </w:p>
        </w:tc>
      </w:tr>
      <w:tr w14:paraId="34F0EEE9">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2A5FDA4">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E8E3D94">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76EC6612">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C66E276">
            <w:pPr>
              <w:widowControl/>
              <w:spacing w:line="240" w:lineRule="auto"/>
              <w:jc w:val="center"/>
              <w:rPr>
                <w:rFonts w:cs="Times New Roman"/>
                <w:color w:val="auto"/>
                <w:sz w:val="21"/>
                <w:szCs w:val="21"/>
              </w:rPr>
            </w:pPr>
            <w:r>
              <w:rPr>
                <w:rFonts w:cs="Times New Roman"/>
                <w:color w:val="auto"/>
                <w:sz w:val="21"/>
                <w:szCs w:val="21"/>
              </w:rPr>
              <w:t xml:space="preserve">4.0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9F21AAA">
            <w:pPr>
              <w:widowControl/>
              <w:spacing w:line="240" w:lineRule="auto"/>
              <w:jc w:val="center"/>
              <w:rPr>
                <w:rFonts w:cs="Times New Roman"/>
                <w:color w:val="auto"/>
                <w:sz w:val="21"/>
                <w:szCs w:val="21"/>
              </w:rPr>
            </w:pPr>
            <w:r>
              <w:rPr>
                <w:rFonts w:cs="Times New Roman"/>
                <w:color w:val="auto"/>
                <w:sz w:val="21"/>
                <w:szCs w:val="21"/>
              </w:rPr>
              <w:t xml:space="preserve">1.4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0F50668">
            <w:pPr>
              <w:widowControl/>
              <w:spacing w:line="240" w:lineRule="auto"/>
              <w:jc w:val="center"/>
              <w:rPr>
                <w:rFonts w:cs="Times New Roman"/>
                <w:color w:val="auto"/>
                <w:sz w:val="21"/>
                <w:szCs w:val="21"/>
              </w:rPr>
            </w:pPr>
            <w:r>
              <w:rPr>
                <w:rFonts w:cs="Times New Roman"/>
                <w:color w:val="auto"/>
                <w:sz w:val="21"/>
                <w:szCs w:val="21"/>
              </w:rPr>
              <w:t xml:space="preserve">2.6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024F1ED">
            <w:pPr>
              <w:widowControl/>
              <w:spacing w:line="240" w:lineRule="auto"/>
              <w:jc w:val="center"/>
              <w:rPr>
                <w:rFonts w:cs="Times New Roman"/>
                <w:color w:val="auto"/>
                <w:sz w:val="21"/>
                <w:szCs w:val="21"/>
              </w:rPr>
            </w:pPr>
            <w:r>
              <w:rPr>
                <w:rFonts w:cs="Times New Roman"/>
                <w:color w:val="auto"/>
                <w:sz w:val="21"/>
                <w:szCs w:val="21"/>
              </w:rPr>
              <w:t>35.8%</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7DA5F60">
            <w:pPr>
              <w:widowControl/>
              <w:spacing w:line="240" w:lineRule="auto"/>
              <w:jc w:val="center"/>
              <w:rPr>
                <w:rFonts w:cs="Times New Roman"/>
                <w:color w:val="auto"/>
                <w:sz w:val="21"/>
                <w:szCs w:val="21"/>
              </w:rPr>
            </w:pPr>
            <w:r>
              <w:rPr>
                <w:rFonts w:cs="Times New Roman"/>
                <w:color w:val="auto"/>
                <w:sz w:val="21"/>
                <w:szCs w:val="21"/>
              </w:rPr>
              <w:t xml:space="preserve">1.4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7338B93">
            <w:pPr>
              <w:widowControl/>
              <w:spacing w:line="240" w:lineRule="auto"/>
              <w:jc w:val="center"/>
              <w:rPr>
                <w:rFonts w:cs="Times New Roman"/>
                <w:color w:val="auto"/>
                <w:sz w:val="21"/>
                <w:szCs w:val="21"/>
              </w:rPr>
            </w:pPr>
            <w:r>
              <w:rPr>
                <w:rFonts w:cs="Times New Roman"/>
                <w:color w:val="auto"/>
                <w:sz w:val="21"/>
                <w:szCs w:val="21"/>
              </w:rPr>
              <w:t xml:space="preserve">7.2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E08B064">
            <w:pPr>
              <w:widowControl/>
              <w:spacing w:line="240" w:lineRule="auto"/>
              <w:jc w:val="center"/>
              <w:rPr>
                <w:rFonts w:cs="Times New Roman"/>
                <w:color w:val="auto"/>
                <w:sz w:val="21"/>
                <w:szCs w:val="21"/>
              </w:rPr>
            </w:pPr>
            <w:r>
              <w:rPr>
                <w:rFonts w:cs="Times New Roman"/>
                <w:color w:val="auto"/>
                <w:sz w:val="21"/>
                <w:szCs w:val="21"/>
              </w:rPr>
              <w:t xml:space="preserve">8.6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876083A">
            <w:pPr>
              <w:widowControl/>
              <w:spacing w:line="240" w:lineRule="auto"/>
              <w:jc w:val="center"/>
              <w:rPr>
                <w:rFonts w:cs="Times New Roman"/>
                <w:color w:val="auto"/>
                <w:sz w:val="21"/>
                <w:szCs w:val="21"/>
              </w:rPr>
            </w:pPr>
            <w:r>
              <w:rPr>
                <w:rFonts w:cs="Times New Roman"/>
                <w:color w:val="auto"/>
                <w:sz w:val="21"/>
                <w:szCs w:val="21"/>
              </w:rPr>
              <w:t xml:space="preserve">6.3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07B898">
            <w:pPr>
              <w:widowControl/>
              <w:spacing w:line="240" w:lineRule="auto"/>
              <w:jc w:val="center"/>
              <w:rPr>
                <w:rFonts w:cs="Times New Roman"/>
                <w:color w:val="auto"/>
                <w:sz w:val="21"/>
                <w:szCs w:val="21"/>
              </w:rPr>
            </w:pPr>
            <w:r>
              <w:rPr>
                <w:rFonts w:cs="Times New Roman"/>
                <w:color w:val="auto"/>
                <w:sz w:val="21"/>
                <w:szCs w:val="21"/>
              </w:rPr>
              <w:t xml:space="preserve">26.4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80415F1">
            <w:pPr>
              <w:widowControl/>
              <w:spacing w:line="240" w:lineRule="auto"/>
              <w:jc w:val="center"/>
              <w:rPr>
                <w:rFonts w:cs="Times New Roman"/>
                <w:color w:val="auto"/>
                <w:sz w:val="21"/>
                <w:szCs w:val="21"/>
              </w:rPr>
            </w:pPr>
            <w:r>
              <w:rPr>
                <w:rFonts w:cs="Times New Roman"/>
                <w:color w:val="auto"/>
                <w:sz w:val="21"/>
                <w:szCs w:val="21"/>
              </w:rPr>
              <w:t xml:space="preserve">2.7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70FD607">
            <w:pPr>
              <w:widowControl/>
              <w:spacing w:line="240" w:lineRule="auto"/>
              <w:jc w:val="center"/>
              <w:rPr>
                <w:rFonts w:cs="Times New Roman"/>
                <w:color w:val="auto"/>
                <w:sz w:val="21"/>
                <w:szCs w:val="21"/>
              </w:rPr>
            </w:pPr>
            <w:r>
              <w:rPr>
                <w:rFonts w:cs="Times New Roman"/>
                <w:color w:val="auto"/>
                <w:sz w:val="21"/>
                <w:szCs w:val="21"/>
              </w:rPr>
              <w:t xml:space="preserve">29.1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7E870BC">
            <w:pPr>
              <w:widowControl/>
              <w:spacing w:line="240" w:lineRule="auto"/>
              <w:jc w:val="center"/>
              <w:rPr>
                <w:rFonts w:cs="Times New Roman"/>
                <w:color w:val="auto"/>
                <w:sz w:val="21"/>
                <w:szCs w:val="21"/>
              </w:rPr>
            </w:pPr>
            <w:r>
              <w:rPr>
                <w:rFonts w:cs="Times New Roman"/>
                <w:color w:val="auto"/>
                <w:sz w:val="21"/>
                <w:szCs w:val="21"/>
              </w:rPr>
              <w:t xml:space="preserve">6.4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83C50FF">
            <w:pPr>
              <w:widowControl/>
              <w:spacing w:line="240" w:lineRule="auto"/>
              <w:jc w:val="center"/>
              <w:rPr>
                <w:rFonts w:cs="Times New Roman"/>
                <w:color w:val="auto"/>
                <w:sz w:val="21"/>
                <w:szCs w:val="21"/>
              </w:rPr>
            </w:pPr>
            <w:r>
              <w:rPr>
                <w:rFonts w:cs="Times New Roman"/>
                <w:color w:val="auto"/>
                <w:sz w:val="21"/>
                <w:szCs w:val="21"/>
              </w:rPr>
              <w:t xml:space="preserve">2.2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A66231A">
            <w:pPr>
              <w:widowControl/>
              <w:spacing w:line="240" w:lineRule="auto"/>
              <w:jc w:val="center"/>
              <w:rPr>
                <w:rFonts w:cs="Times New Roman"/>
                <w:color w:val="auto"/>
                <w:sz w:val="21"/>
                <w:szCs w:val="21"/>
              </w:rPr>
            </w:pPr>
            <w:r>
              <w:rPr>
                <w:rFonts w:cs="Times New Roman"/>
                <w:color w:val="auto"/>
                <w:sz w:val="21"/>
                <w:szCs w:val="21"/>
              </w:rPr>
              <w:t xml:space="preserve">8.6 </w:t>
            </w:r>
          </w:p>
        </w:tc>
      </w:tr>
      <w:tr w14:paraId="487041A7">
        <w:tblPrEx>
          <w:tblCellMar>
            <w:top w:w="0" w:type="dxa"/>
            <w:left w:w="108" w:type="dxa"/>
            <w:bottom w:w="0" w:type="dxa"/>
            <w:right w:w="108" w:type="dxa"/>
          </w:tblCellMar>
        </w:tblPrEx>
        <w:trPr>
          <w:trHeight w:val="285" w:hRule="atLeast"/>
        </w:trPr>
        <w:tc>
          <w:tcPr>
            <w:tcW w:w="212"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F084BFD">
            <w:pPr>
              <w:widowControl/>
              <w:spacing w:line="240" w:lineRule="auto"/>
              <w:jc w:val="center"/>
              <w:rPr>
                <w:rFonts w:cs="Times New Roman"/>
                <w:color w:val="auto"/>
                <w:sz w:val="21"/>
                <w:szCs w:val="21"/>
              </w:rPr>
            </w:pPr>
            <w:r>
              <w:rPr>
                <w:rFonts w:cs="Times New Roman"/>
                <w:color w:val="auto"/>
                <w:sz w:val="21"/>
                <w:szCs w:val="21"/>
              </w:rPr>
              <w:t>陆良县</w:t>
            </w: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B12FBFB">
            <w:pPr>
              <w:widowControl/>
              <w:spacing w:line="240" w:lineRule="auto"/>
              <w:jc w:val="center"/>
              <w:rPr>
                <w:rFonts w:cs="Times New Roman"/>
                <w:color w:val="auto"/>
                <w:sz w:val="21"/>
                <w:szCs w:val="21"/>
              </w:rPr>
            </w:pPr>
            <w:r>
              <w:rPr>
                <w:rFonts w:cs="Times New Roman"/>
                <w:color w:val="auto"/>
                <w:sz w:val="21"/>
                <w:szCs w:val="21"/>
              </w:rPr>
              <w:t>陆良县沾曲陆宜</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6562E179">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6B48D29">
            <w:pPr>
              <w:widowControl/>
              <w:spacing w:line="240" w:lineRule="auto"/>
              <w:jc w:val="center"/>
              <w:rPr>
                <w:rFonts w:cs="Times New Roman"/>
                <w:color w:val="auto"/>
                <w:sz w:val="21"/>
                <w:szCs w:val="21"/>
              </w:rPr>
            </w:pPr>
            <w:r>
              <w:rPr>
                <w:rFonts w:cs="Times New Roman"/>
                <w:color w:val="auto"/>
                <w:sz w:val="21"/>
                <w:szCs w:val="21"/>
              </w:rPr>
              <w:t xml:space="preserve">53.5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BC8CA7B">
            <w:pPr>
              <w:widowControl/>
              <w:spacing w:line="240" w:lineRule="auto"/>
              <w:jc w:val="center"/>
              <w:rPr>
                <w:rFonts w:cs="Times New Roman"/>
                <w:color w:val="auto"/>
                <w:sz w:val="21"/>
                <w:szCs w:val="21"/>
              </w:rPr>
            </w:pPr>
            <w:r>
              <w:rPr>
                <w:rFonts w:cs="Times New Roman"/>
                <w:color w:val="auto"/>
                <w:sz w:val="21"/>
                <w:szCs w:val="21"/>
              </w:rPr>
              <w:t xml:space="preserve">23.4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BDD07D5">
            <w:pPr>
              <w:widowControl/>
              <w:spacing w:line="240" w:lineRule="auto"/>
              <w:jc w:val="center"/>
              <w:rPr>
                <w:rFonts w:cs="Times New Roman"/>
                <w:color w:val="auto"/>
                <w:sz w:val="21"/>
                <w:szCs w:val="21"/>
              </w:rPr>
            </w:pPr>
            <w:r>
              <w:rPr>
                <w:rFonts w:cs="Times New Roman"/>
                <w:color w:val="auto"/>
                <w:sz w:val="21"/>
                <w:szCs w:val="21"/>
              </w:rPr>
              <w:t xml:space="preserve">30.1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25AAE9">
            <w:pPr>
              <w:widowControl/>
              <w:spacing w:line="240" w:lineRule="auto"/>
              <w:jc w:val="center"/>
              <w:rPr>
                <w:rFonts w:cs="Times New Roman"/>
                <w:color w:val="auto"/>
                <w:sz w:val="21"/>
                <w:szCs w:val="21"/>
              </w:rPr>
            </w:pPr>
            <w:r>
              <w:rPr>
                <w:rFonts w:cs="Times New Roman"/>
                <w:color w:val="auto"/>
                <w:sz w:val="21"/>
                <w:szCs w:val="21"/>
              </w:rPr>
              <w:t>43.8%</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61F324D">
            <w:pPr>
              <w:widowControl/>
              <w:spacing w:line="240" w:lineRule="auto"/>
              <w:jc w:val="center"/>
              <w:rPr>
                <w:rFonts w:cs="Times New Roman"/>
                <w:color w:val="auto"/>
                <w:sz w:val="21"/>
                <w:szCs w:val="21"/>
              </w:rPr>
            </w:pPr>
            <w:r>
              <w:rPr>
                <w:rFonts w:cs="Times New Roman"/>
                <w:color w:val="auto"/>
                <w:sz w:val="21"/>
                <w:szCs w:val="21"/>
              </w:rPr>
              <w:t xml:space="preserve">4.8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05F8E2B">
            <w:pPr>
              <w:widowControl/>
              <w:spacing w:line="240" w:lineRule="auto"/>
              <w:jc w:val="center"/>
              <w:rPr>
                <w:rFonts w:cs="Times New Roman"/>
                <w:color w:val="auto"/>
                <w:sz w:val="21"/>
                <w:szCs w:val="21"/>
              </w:rPr>
            </w:pPr>
            <w:r>
              <w:rPr>
                <w:rFonts w:cs="Times New Roman"/>
                <w:color w:val="auto"/>
                <w:sz w:val="21"/>
                <w:szCs w:val="21"/>
              </w:rPr>
              <w:t xml:space="preserve">92.2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51C98A7">
            <w:pPr>
              <w:widowControl/>
              <w:spacing w:line="240" w:lineRule="auto"/>
              <w:jc w:val="center"/>
              <w:rPr>
                <w:rFonts w:cs="Times New Roman"/>
                <w:color w:val="auto"/>
                <w:sz w:val="21"/>
                <w:szCs w:val="21"/>
              </w:rPr>
            </w:pPr>
            <w:r>
              <w:rPr>
                <w:rFonts w:cs="Times New Roman"/>
                <w:color w:val="auto"/>
                <w:sz w:val="21"/>
                <w:szCs w:val="21"/>
              </w:rPr>
              <w:t xml:space="preserve">97.0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8B11209">
            <w:pPr>
              <w:widowControl/>
              <w:spacing w:line="240" w:lineRule="auto"/>
              <w:jc w:val="center"/>
              <w:rPr>
                <w:rFonts w:cs="Times New Roman"/>
                <w:color w:val="auto"/>
                <w:sz w:val="21"/>
                <w:szCs w:val="21"/>
              </w:rPr>
            </w:pPr>
            <w:r>
              <w:rPr>
                <w:rFonts w:cs="Times New Roman"/>
                <w:color w:val="auto"/>
                <w:sz w:val="21"/>
                <w:szCs w:val="21"/>
              </w:rPr>
              <w:t xml:space="preserve">80.0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5A1777F">
            <w:pPr>
              <w:widowControl/>
              <w:spacing w:line="240" w:lineRule="auto"/>
              <w:jc w:val="center"/>
              <w:rPr>
                <w:rFonts w:cs="Times New Roman"/>
                <w:color w:val="auto"/>
                <w:sz w:val="21"/>
                <w:szCs w:val="21"/>
              </w:rPr>
            </w:pPr>
            <w:r>
              <w:rPr>
                <w:rFonts w:cs="Times New Roman"/>
                <w:color w:val="auto"/>
                <w:sz w:val="21"/>
                <w:szCs w:val="21"/>
              </w:rPr>
              <w:t xml:space="preserve">77.4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68F6C41">
            <w:pPr>
              <w:widowControl/>
              <w:spacing w:line="240" w:lineRule="auto"/>
              <w:jc w:val="center"/>
              <w:rPr>
                <w:rFonts w:cs="Times New Roman"/>
                <w:color w:val="auto"/>
                <w:sz w:val="21"/>
                <w:szCs w:val="21"/>
              </w:rPr>
            </w:pPr>
            <w:r>
              <w:rPr>
                <w:rFonts w:cs="Times New Roman"/>
                <w:color w:val="auto"/>
                <w:sz w:val="21"/>
                <w:szCs w:val="21"/>
              </w:rPr>
              <w:t xml:space="preserve">15.6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D9550A6">
            <w:pPr>
              <w:widowControl/>
              <w:spacing w:line="240" w:lineRule="auto"/>
              <w:jc w:val="center"/>
              <w:rPr>
                <w:rFonts w:cs="Times New Roman"/>
                <w:color w:val="auto"/>
                <w:sz w:val="21"/>
                <w:szCs w:val="21"/>
              </w:rPr>
            </w:pPr>
            <w:r>
              <w:rPr>
                <w:rFonts w:cs="Times New Roman"/>
                <w:color w:val="auto"/>
                <w:sz w:val="21"/>
                <w:szCs w:val="21"/>
              </w:rPr>
              <w:t xml:space="preserve">92.9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6EC657F">
            <w:pPr>
              <w:widowControl/>
              <w:spacing w:line="240" w:lineRule="auto"/>
              <w:jc w:val="center"/>
              <w:rPr>
                <w:rFonts w:cs="Times New Roman"/>
                <w:color w:val="auto"/>
                <w:sz w:val="21"/>
                <w:szCs w:val="21"/>
              </w:rPr>
            </w:pPr>
            <w:r>
              <w:rPr>
                <w:rFonts w:cs="Times New Roman"/>
                <w:color w:val="auto"/>
                <w:sz w:val="21"/>
                <w:szCs w:val="21"/>
              </w:rPr>
              <w:t xml:space="preserve">39.6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3C7BC82">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7992038">
            <w:pPr>
              <w:widowControl/>
              <w:spacing w:line="240" w:lineRule="auto"/>
              <w:jc w:val="center"/>
              <w:rPr>
                <w:rFonts w:cs="Times New Roman"/>
                <w:color w:val="auto"/>
                <w:sz w:val="21"/>
                <w:szCs w:val="21"/>
              </w:rPr>
            </w:pPr>
            <w:r>
              <w:rPr>
                <w:rFonts w:cs="Times New Roman"/>
                <w:color w:val="auto"/>
                <w:sz w:val="21"/>
                <w:szCs w:val="21"/>
              </w:rPr>
              <w:t xml:space="preserve">39.6 </w:t>
            </w:r>
          </w:p>
        </w:tc>
      </w:tr>
      <w:tr w14:paraId="7EA54D9E">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0D59E8D">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132E54F">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4C574AC9">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BA5EC46">
            <w:pPr>
              <w:widowControl/>
              <w:spacing w:line="240" w:lineRule="auto"/>
              <w:jc w:val="center"/>
              <w:rPr>
                <w:rFonts w:cs="Times New Roman"/>
                <w:color w:val="auto"/>
                <w:sz w:val="21"/>
                <w:szCs w:val="21"/>
              </w:rPr>
            </w:pPr>
            <w:r>
              <w:rPr>
                <w:rFonts w:cs="Times New Roman"/>
                <w:color w:val="auto"/>
                <w:sz w:val="21"/>
                <w:szCs w:val="21"/>
              </w:rPr>
              <w:t xml:space="preserve">55.3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E8454EE">
            <w:pPr>
              <w:widowControl/>
              <w:spacing w:line="240" w:lineRule="auto"/>
              <w:jc w:val="center"/>
              <w:rPr>
                <w:rFonts w:cs="Times New Roman"/>
                <w:color w:val="auto"/>
                <w:sz w:val="21"/>
                <w:szCs w:val="21"/>
              </w:rPr>
            </w:pPr>
            <w:r>
              <w:rPr>
                <w:rFonts w:cs="Times New Roman"/>
                <w:color w:val="auto"/>
                <w:sz w:val="21"/>
                <w:szCs w:val="21"/>
              </w:rPr>
              <w:t xml:space="preserve">27.6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0E1FDC5">
            <w:pPr>
              <w:widowControl/>
              <w:spacing w:line="240" w:lineRule="auto"/>
              <w:jc w:val="center"/>
              <w:rPr>
                <w:rFonts w:cs="Times New Roman"/>
                <w:color w:val="auto"/>
                <w:sz w:val="21"/>
                <w:szCs w:val="21"/>
              </w:rPr>
            </w:pPr>
            <w:r>
              <w:rPr>
                <w:rFonts w:cs="Times New Roman"/>
                <w:color w:val="auto"/>
                <w:sz w:val="21"/>
                <w:szCs w:val="21"/>
              </w:rPr>
              <w:t xml:space="preserve">27.8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AA3FC95">
            <w:pPr>
              <w:widowControl/>
              <w:spacing w:line="240" w:lineRule="auto"/>
              <w:jc w:val="center"/>
              <w:rPr>
                <w:rFonts w:cs="Times New Roman"/>
                <w:color w:val="auto"/>
                <w:sz w:val="21"/>
                <w:szCs w:val="21"/>
              </w:rPr>
            </w:pPr>
            <w:r>
              <w:rPr>
                <w:rFonts w:cs="Times New Roman"/>
                <w:color w:val="auto"/>
                <w:sz w:val="21"/>
                <w:szCs w:val="21"/>
              </w:rPr>
              <w:t>49.8%</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6BA585B">
            <w:pPr>
              <w:widowControl/>
              <w:spacing w:line="240" w:lineRule="auto"/>
              <w:jc w:val="center"/>
              <w:rPr>
                <w:rFonts w:cs="Times New Roman"/>
                <w:color w:val="auto"/>
                <w:sz w:val="21"/>
                <w:szCs w:val="21"/>
              </w:rPr>
            </w:pPr>
            <w:r>
              <w:rPr>
                <w:rFonts w:cs="Times New Roman"/>
                <w:color w:val="auto"/>
                <w:sz w:val="21"/>
                <w:szCs w:val="21"/>
              </w:rPr>
              <w:t xml:space="preserve">5.1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2C24486">
            <w:pPr>
              <w:widowControl/>
              <w:spacing w:line="240" w:lineRule="auto"/>
              <w:jc w:val="center"/>
              <w:rPr>
                <w:rFonts w:cs="Times New Roman"/>
                <w:color w:val="auto"/>
                <w:sz w:val="21"/>
                <w:szCs w:val="21"/>
              </w:rPr>
            </w:pPr>
            <w:r>
              <w:rPr>
                <w:rFonts w:cs="Times New Roman"/>
                <w:color w:val="auto"/>
                <w:sz w:val="21"/>
                <w:szCs w:val="21"/>
              </w:rPr>
              <w:t xml:space="preserve">107.6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2149BF4">
            <w:pPr>
              <w:widowControl/>
              <w:spacing w:line="240" w:lineRule="auto"/>
              <w:jc w:val="center"/>
              <w:rPr>
                <w:rFonts w:cs="Times New Roman"/>
                <w:color w:val="auto"/>
                <w:sz w:val="21"/>
                <w:szCs w:val="21"/>
              </w:rPr>
            </w:pPr>
            <w:r>
              <w:rPr>
                <w:rFonts w:cs="Times New Roman"/>
                <w:color w:val="auto"/>
                <w:sz w:val="21"/>
                <w:szCs w:val="21"/>
              </w:rPr>
              <w:t xml:space="preserve">112.6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00745B4">
            <w:pPr>
              <w:widowControl/>
              <w:spacing w:line="240" w:lineRule="auto"/>
              <w:jc w:val="center"/>
              <w:rPr>
                <w:rFonts w:cs="Times New Roman"/>
                <w:color w:val="auto"/>
                <w:sz w:val="21"/>
                <w:szCs w:val="21"/>
              </w:rPr>
            </w:pPr>
            <w:r>
              <w:rPr>
                <w:rFonts w:cs="Times New Roman"/>
                <w:color w:val="auto"/>
                <w:sz w:val="21"/>
                <w:szCs w:val="21"/>
              </w:rPr>
              <w:t xml:space="preserve">173.9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C00CEAD">
            <w:pPr>
              <w:widowControl/>
              <w:spacing w:line="240" w:lineRule="auto"/>
              <w:jc w:val="center"/>
              <w:rPr>
                <w:rFonts w:cs="Times New Roman"/>
                <w:color w:val="auto"/>
                <w:sz w:val="21"/>
                <w:szCs w:val="21"/>
              </w:rPr>
            </w:pPr>
            <w:r>
              <w:rPr>
                <w:rFonts w:cs="Times New Roman"/>
                <w:color w:val="auto"/>
                <w:sz w:val="21"/>
                <w:szCs w:val="21"/>
              </w:rPr>
              <w:t xml:space="preserve">76.8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3E6CED4">
            <w:pPr>
              <w:widowControl/>
              <w:spacing w:line="240" w:lineRule="auto"/>
              <w:jc w:val="center"/>
              <w:rPr>
                <w:rFonts w:cs="Times New Roman"/>
                <w:color w:val="auto"/>
                <w:sz w:val="21"/>
                <w:szCs w:val="21"/>
              </w:rPr>
            </w:pPr>
            <w:r>
              <w:rPr>
                <w:rFonts w:cs="Times New Roman"/>
                <w:color w:val="auto"/>
                <w:sz w:val="21"/>
                <w:szCs w:val="21"/>
              </w:rPr>
              <w:t xml:space="preserve">15.2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1B5F1C1">
            <w:pPr>
              <w:widowControl/>
              <w:spacing w:line="240" w:lineRule="auto"/>
              <w:jc w:val="center"/>
              <w:rPr>
                <w:rFonts w:cs="Times New Roman"/>
                <w:color w:val="auto"/>
                <w:sz w:val="21"/>
                <w:szCs w:val="21"/>
              </w:rPr>
            </w:pPr>
            <w:r>
              <w:rPr>
                <w:rFonts w:cs="Times New Roman"/>
                <w:color w:val="auto"/>
                <w:sz w:val="21"/>
                <w:szCs w:val="21"/>
              </w:rPr>
              <w:t xml:space="preserve">92.0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7C0E82">
            <w:pPr>
              <w:widowControl/>
              <w:spacing w:line="240" w:lineRule="auto"/>
              <w:jc w:val="center"/>
              <w:rPr>
                <w:rFonts w:cs="Times New Roman"/>
                <w:color w:val="auto"/>
                <w:sz w:val="21"/>
                <w:szCs w:val="21"/>
              </w:rPr>
            </w:pPr>
            <w:r>
              <w:rPr>
                <w:rFonts w:cs="Times New Roman"/>
                <w:color w:val="auto"/>
                <w:sz w:val="21"/>
                <w:szCs w:val="21"/>
              </w:rPr>
              <w:t xml:space="preserve">57.5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A96B4C7">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B84E257">
            <w:pPr>
              <w:widowControl/>
              <w:spacing w:line="240" w:lineRule="auto"/>
              <w:jc w:val="center"/>
              <w:rPr>
                <w:rFonts w:cs="Times New Roman"/>
                <w:color w:val="auto"/>
                <w:sz w:val="21"/>
                <w:szCs w:val="21"/>
              </w:rPr>
            </w:pPr>
            <w:r>
              <w:rPr>
                <w:rFonts w:cs="Times New Roman"/>
                <w:color w:val="auto"/>
                <w:sz w:val="21"/>
                <w:szCs w:val="21"/>
              </w:rPr>
              <w:t xml:space="preserve">57.5 </w:t>
            </w:r>
          </w:p>
        </w:tc>
      </w:tr>
      <w:tr w14:paraId="06FDADFE">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1C887E8">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53A4E20">
            <w:pPr>
              <w:widowControl/>
              <w:spacing w:line="240" w:lineRule="auto"/>
              <w:jc w:val="center"/>
              <w:rPr>
                <w:rFonts w:cs="Times New Roman"/>
                <w:color w:val="auto"/>
                <w:sz w:val="21"/>
                <w:szCs w:val="21"/>
              </w:rPr>
            </w:pPr>
            <w:r>
              <w:rPr>
                <w:rFonts w:cs="Times New Roman"/>
                <w:color w:val="auto"/>
                <w:sz w:val="21"/>
                <w:szCs w:val="21"/>
              </w:rPr>
              <w:t>陆良县甸溪河</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63A5A3AC">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33955BC">
            <w:pPr>
              <w:widowControl/>
              <w:spacing w:line="240" w:lineRule="auto"/>
              <w:jc w:val="center"/>
              <w:rPr>
                <w:rFonts w:cs="Times New Roman"/>
                <w:color w:val="auto"/>
                <w:sz w:val="21"/>
                <w:szCs w:val="21"/>
              </w:rPr>
            </w:pPr>
            <w:r>
              <w:rPr>
                <w:rFonts w:cs="Times New Roman"/>
                <w:color w:val="auto"/>
                <w:sz w:val="21"/>
                <w:szCs w:val="21"/>
              </w:rPr>
              <w:t xml:space="preserve">2.8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A17590D">
            <w:pPr>
              <w:widowControl/>
              <w:spacing w:line="240" w:lineRule="auto"/>
              <w:jc w:val="center"/>
              <w:rPr>
                <w:rFonts w:cs="Times New Roman"/>
                <w:color w:val="auto"/>
                <w:sz w:val="21"/>
                <w:szCs w:val="21"/>
              </w:rPr>
            </w:pPr>
            <w:r>
              <w:rPr>
                <w:rFonts w:cs="Times New Roman"/>
                <w:color w:val="auto"/>
                <w:sz w:val="21"/>
                <w:szCs w:val="21"/>
              </w:rPr>
              <w:t xml:space="preserve">1.2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BB57AD4">
            <w:pPr>
              <w:widowControl/>
              <w:spacing w:line="240" w:lineRule="auto"/>
              <w:jc w:val="center"/>
              <w:rPr>
                <w:rFonts w:cs="Times New Roman"/>
                <w:color w:val="auto"/>
                <w:sz w:val="21"/>
                <w:szCs w:val="21"/>
              </w:rPr>
            </w:pPr>
            <w:r>
              <w:rPr>
                <w:rFonts w:cs="Times New Roman"/>
                <w:color w:val="auto"/>
                <w:sz w:val="21"/>
                <w:szCs w:val="21"/>
              </w:rPr>
              <w:t xml:space="preserve">1.6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D71D50A">
            <w:pPr>
              <w:widowControl/>
              <w:spacing w:line="240" w:lineRule="auto"/>
              <w:jc w:val="center"/>
              <w:rPr>
                <w:rFonts w:cs="Times New Roman"/>
                <w:color w:val="auto"/>
                <w:sz w:val="21"/>
                <w:szCs w:val="21"/>
              </w:rPr>
            </w:pPr>
            <w:r>
              <w:rPr>
                <w:rFonts w:cs="Times New Roman"/>
                <w:color w:val="auto"/>
                <w:sz w:val="21"/>
                <w:szCs w:val="21"/>
              </w:rPr>
              <w:t>43.0%</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E4A6782">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600D22A">
            <w:pPr>
              <w:widowControl/>
              <w:spacing w:line="240" w:lineRule="auto"/>
              <w:jc w:val="center"/>
              <w:rPr>
                <w:rFonts w:cs="Times New Roman"/>
                <w:color w:val="auto"/>
                <w:sz w:val="21"/>
                <w:szCs w:val="21"/>
              </w:rPr>
            </w:pPr>
            <w:r>
              <w:rPr>
                <w:rFonts w:cs="Times New Roman"/>
                <w:color w:val="auto"/>
                <w:sz w:val="21"/>
                <w:szCs w:val="21"/>
              </w:rPr>
              <w:t xml:space="preserve">5.0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57EAAA">
            <w:pPr>
              <w:widowControl/>
              <w:spacing w:line="240" w:lineRule="auto"/>
              <w:jc w:val="center"/>
              <w:rPr>
                <w:rFonts w:cs="Times New Roman"/>
                <w:color w:val="auto"/>
                <w:sz w:val="21"/>
                <w:szCs w:val="21"/>
              </w:rPr>
            </w:pPr>
            <w:r>
              <w:rPr>
                <w:rFonts w:cs="Times New Roman"/>
                <w:color w:val="auto"/>
                <w:sz w:val="21"/>
                <w:szCs w:val="21"/>
              </w:rPr>
              <w:t xml:space="preserve">5.2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A064645">
            <w:pPr>
              <w:widowControl/>
              <w:spacing w:line="240" w:lineRule="auto"/>
              <w:jc w:val="center"/>
              <w:rPr>
                <w:rFonts w:cs="Times New Roman"/>
                <w:color w:val="auto"/>
                <w:sz w:val="21"/>
                <w:szCs w:val="21"/>
              </w:rPr>
            </w:pPr>
            <w:r>
              <w:rPr>
                <w:rFonts w:cs="Times New Roman"/>
                <w:color w:val="auto"/>
                <w:sz w:val="21"/>
                <w:szCs w:val="21"/>
              </w:rPr>
              <w:t xml:space="preserve">6.5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0C09E28">
            <w:pPr>
              <w:widowControl/>
              <w:spacing w:line="240" w:lineRule="auto"/>
              <w:jc w:val="center"/>
              <w:rPr>
                <w:rFonts w:cs="Times New Roman"/>
                <w:color w:val="auto"/>
                <w:sz w:val="21"/>
                <w:szCs w:val="21"/>
              </w:rPr>
            </w:pPr>
            <w:r>
              <w:rPr>
                <w:rFonts w:cs="Times New Roman"/>
                <w:color w:val="auto"/>
                <w:sz w:val="21"/>
                <w:szCs w:val="21"/>
              </w:rPr>
              <w:t xml:space="preserve">11.9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7E93987">
            <w:pPr>
              <w:widowControl/>
              <w:spacing w:line="240" w:lineRule="auto"/>
              <w:jc w:val="center"/>
              <w:rPr>
                <w:rFonts w:cs="Times New Roman"/>
                <w:color w:val="auto"/>
                <w:sz w:val="21"/>
                <w:szCs w:val="21"/>
              </w:rPr>
            </w:pPr>
            <w:r>
              <w:rPr>
                <w:rFonts w:cs="Times New Roman"/>
                <w:color w:val="auto"/>
                <w:sz w:val="21"/>
                <w:szCs w:val="21"/>
              </w:rPr>
              <w:t xml:space="preserve">0.8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9679B84">
            <w:pPr>
              <w:widowControl/>
              <w:spacing w:line="240" w:lineRule="auto"/>
              <w:jc w:val="center"/>
              <w:rPr>
                <w:rFonts w:cs="Times New Roman"/>
                <w:color w:val="auto"/>
                <w:sz w:val="21"/>
                <w:szCs w:val="21"/>
              </w:rPr>
            </w:pPr>
            <w:r>
              <w:rPr>
                <w:rFonts w:cs="Times New Roman"/>
                <w:color w:val="auto"/>
                <w:sz w:val="21"/>
                <w:szCs w:val="21"/>
              </w:rPr>
              <w:t xml:space="preserve">12.7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38EB0E0">
            <w:pPr>
              <w:widowControl/>
              <w:spacing w:line="240" w:lineRule="auto"/>
              <w:jc w:val="center"/>
              <w:rPr>
                <w:rFonts w:cs="Times New Roman"/>
                <w:color w:val="auto"/>
                <w:sz w:val="21"/>
                <w:szCs w:val="21"/>
              </w:rPr>
            </w:pPr>
            <w:r>
              <w:rPr>
                <w:rFonts w:cs="Times New Roman"/>
                <w:color w:val="auto"/>
                <w:sz w:val="21"/>
                <w:szCs w:val="21"/>
              </w:rPr>
              <w:t xml:space="preserve">2.3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3D0CE60">
            <w:pPr>
              <w:widowControl/>
              <w:spacing w:line="240" w:lineRule="auto"/>
              <w:jc w:val="center"/>
              <w:rPr>
                <w:rFonts w:cs="Times New Roman"/>
                <w:color w:val="auto"/>
                <w:sz w:val="21"/>
                <w:szCs w:val="21"/>
              </w:rPr>
            </w:pPr>
            <w:r>
              <w:rPr>
                <w:rFonts w:cs="Times New Roman"/>
                <w:color w:val="auto"/>
                <w:sz w:val="21"/>
                <w:szCs w:val="21"/>
              </w:rPr>
              <w:t xml:space="preserve">0.5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EF6864C">
            <w:pPr>
              <w:widowControl/>
              <w:spacing w:line="240" w:lineRule="auto"/>
              <w:jc w:val="center"/>
              <w:rPr>
                <w:rFonts w:cs="Times New Roman"/>
                <w:color w:val="auto"/>
                <w:sz w:val="21"/>
                <w:szCs w:val="21"/>
              </w:rPr>
            </w:pPr>
            <w:r>
              <w:rPr>
                <w:rFonts w:cs="Times New Roman"/>
                <w:color w:val="auto"/>
                <w:sz w:val="21"/>
                <w:szCs w:val="21"/>
              </w:rPr>
              <w:t xml:space="preserve">2.8 </w:t>
            </w:r>
          </w:p>
        </w:tc>
      </w:tr>
      <w:tr w14:paraId="68F530C5">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2743DA8">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E353F2C">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3DCDC1D5">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E5E4439">
            <w:pPr>
              <w:widowControl/>
              <w:spacing w:line="240" w:lineRule="auto"/>
              <w:jc w:val="center"/>
              <w:rPr>
                <w:rFonts w:cs="Times New Roman"/>
                <w:color w:val="auto"/>
                <w:sz w:val="21"/>
                <w:szCs w:val="21"/>
              </w:rPr>
            </w:pPr>
            <w:r>
              <w:rPr>
                <w:rFonts w:cs="Times New Roman"/>
                <w:color w:val="auto"/>
                <w:sz w:val="21"/>
                <w:szCs w:val="21"/>
              </w:rPr>
              <w:t xml:space="preserve">2.8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2A3296">
            <w:pPr>
              <w:widowControl/>
              <w:spacing w:line="240" w:lineRule="auto"/>
              <w:jc w:val="center"/>
              <w:rPr>
                <w:rFonts w:cs="Times New Roman"/>
                <w:color w:val="auto"/>
                <w:sz w:val="21"/>
                <w:szCs w:val="21"/>
              </w:rPr>
            </w:pPr>
            <w:r>
              <w:rPr>
                <w:rFonts w:cs="Times New Roman"/>
                <w:color w:val="auto"/>
                <w:sz w:val="21"/>
                <w:szCs w:val="21"/>
              </w:rPr>
              <w:t xml:space="preserve">1.3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6D7868E">
            <w:pPr>
              <w:widowControl/>
              <w:spacing w:line="240" w:lineRule="auto"/>
              <w:jc w:val="center"/>
              <w:rPr>
                <w:rFonts w:cs="Times New Roman"/>
                <w:color w:val="auto"/>
                <w:sz w:val="21"/>
                <w:szCs w:val="21"/>
              </w:rPr>
            </w:pPr>
            <w:r>
              <w:rPr>
                <w:rFonts w:cs="Times New Roman"/>
                <w:color w:val="auto"/>
                <w:sz w:val="21"/>
                <w:szCs w:val="21"/>
              </w:rPr>
              <w:t xml:space="preserve">1.5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817B1D9">
            <w:pPr>
              <w:widowControl/>
              <w:spacing w:line="240" w:lineRule="auto"/>
              <w:jc w:val="center"/>
              <w:rPr>
                <w:rFonts w:cs="Times New Roman"/>
                <w:color w:val="auto"/>
                <w:sz w:val="21"/>
                <w:szCs w:val="21"/>
              </w:rPr>
            </w:pPr>
            <w:r>
              <w:rPr>
                <w:rFonts w:cs="Times New Roman"/>
                <w:color w:val="auto"/>
                <w:sz w:val="21"/>
                <w:szCs w:val="21"/>
              </w:rPr>
              <w:t>46.7%</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25114C1">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04B5241">
            <w:pPr>
              <w:widowControl/>
              <w:spacing w:line="240" w:lineRule="auto"/>
              <w:jc w:val="center"/>
              <w:rPr>
                <w:rFonts w:cs="Times New Roman"/>
                <w:color w:val="auto"/>
                <w:sz w:val="21"/>
                <w:szCs w:val="21"/>
              </w:rPr>
            </w:pPr>
            <w:r>
              <w:rPr>
                <w:rFonts w:cs="Times New Roman"/>
                <w:color w:val="auto"/>
                <w:sz w:val="21"/>
                <w:szCs w:val="21"/>
              </w:rPr>
              <w:t xml:space="preserve">5.7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19C15BB">
            <w:pPr>
              <w:widowControl/>
              <w:spacing w:line="240" w:lineRule="auto"/>
              <w:jc w:val="center"/>
              <w:rPr>
                <w:rFonts w:cs="Times New Roman"/>
                <w:color w:val="auto"/>
                <w:sz w:val="21"/>
                <w:szCs w:val="21"/>
              </w:rPr>
            </w:pPr>
            <w:r>
              <w:rPr>
                <w:rFonts w:cs="Times New Roman"/>
                <w:color w:val="auto"/>
                <w:sz w:val="21"/>
                <w:szCs w:val="21"/>
              </w:rPr>
              <w:t xml:space="preserve">5.9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26C9B88">
            <w:pPr>
              <w:widowControl/>
              <w:spacing w:line="240" w:lineRule="auto"/>
              <w:jc w:val="center"/>
              <w:rPr>
                <w:rFonts w:cs="Times New Roman"/>
                <w:color w:val="auto"/>
                <w:sz w:val="21"/>
                <w:szCs w:val="21"/>
              </w:rPr>
            </w:pPr>
            <w:r>
              <w:rPr>
                <w:rFonts w:cs="Times New Roman"/>
                <w:color w:val="auto"/>
                <w:sz w:val="21"/>
                <w:szCs w:val="21"/>
              </w:rPr>
              <w:t xml:space="preserve">13.7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DB7C108">
            <w:pPr>
              <w:widowControl/>
              <w:spacing w:line="240" w:lineRule="auto"/>
              <w:jc w:val="center"/>
              <w:rPr>
                <w:rFonts w:cs="Times New Roman"/>
                <w:color w:val="auto"/>
                <w:sz w:val="21"/>
                <w:szCs w:val="21"/>
              </w:rPr>
            </w:pPr>
            <w:r>
              <w:rPr>
                <w:rFonts w:cs="Times New Roman"/>
                <w:color w:val="auto"/>
                <w:sz w:val="21"/>
                <w:szCs w:val="21"/>
              </w:rPr>
              <w:t xml:space="preserve">11.9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54BB834">
            <w:pPr>
              <w:widowControl/>
              <w:spacing w:line="240" w:lineRule="auto"/>
              <w:jc w:val="center"/>
              <w:rPr>
                <w:rFonts w:cs="Times New Roman"/>
                <w:color w:val="auto"/>
                <w:sz w:val="21"/>
                <w:szCs w:val="21"/>
              </w:rPr>
            </w:pPr>
            <w:r>
              <w:rPr>
                <w:rFonts w:cs="Times New Roman"/>
                <w:color w:val="auto"/>
                <w:sz w:val="21"/>
                <w:szCs w:val="21"/>
              </w:rPr>
              <w:t xml:space="preserve">0.8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D675166">
            <w:pPr>
              <w:widowControl/>
              <w:spacing w:line="240" w:lineRule="auto"/>
              <w:jc w:val="center"/>
              <w:rPr>
                <w:rFonts w:cs="Times New Roman"/>
                <w:color w:val="auto"/>
                <w:sz w:val="21"/>
                <w:szCs w:val="21"/>
              </w:rPr>
            </w:pPr>
            <w:r>
              <w:rPr>
                <w:rFonts w:cs="Times New Roman"/>
                <w:color w:val="auto"/>
                <w:sz w:val="21"/>
                <w:szCs w:val="21"/>
              </w:rPr>
              <w:t xml:space="preserve">12.7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0ADF79B">
            <w:pPr>
              <w:widowControl/>
              <w:spacing w:line="240" w:lineRule="auto"/>
              <w:jc w:val="center"/>
              <w:rPr>
                <w:rFonts w:cs="Times New Roman"/>
                <w:color w:val="auto"/>
                <w:sz w:val="21"/>
                <w:szCs w:val="21"/>
              </w:rPr>
            </w:pPr>
            <w:r>
              <w:rPr>
                <w:rFonts w:cs="Times New Roman"/>
                <w:color w:val="auto"/>
                <w:sz w:val="21"/>
                <w:szCs w:val="21"/>
              </w:rPr>
              <w:t xml:space="preserve">3.1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4C29C6">
            <w:pPr>
              <w:widowControl/>
              <w:spacing w:line="240" w:lineRule="auto"/>
              <w:jc w:val="center"/>
              <w:rPr>
                <w:rFonts w:cs="Times New Roman"/>
                <w:color w:val="auto"/>
                <w:sz w:val="21"/>
                <w:szCs w:val="21"/>
              </w:rPr>
            </w:pPr>
            <w:r>
              <w:rPr>
                <w:rFonts w:cs="Times New Roman"/>
                <w:color w:val="auto"/>
                <w:sz w:val="21"/>
                <w:szCs w:val="21"/>
              </w:rPr>
              <w:t xml:space="preserve">0.5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718A605">
            <w:pPr>
              <w:widowControl/>
              <w:spacing w:line="240" w:lineRule="auto"/>
              <w:jc w:val="center"/>
              <w:rPr>
                <w:rFonts w:cs="Times New Roman"/>
                <w:color w:val="auto"/>
                <w:sz w:val="21"/>
                <w:szCs w:val="21"/>
              </w:rPr>
            </w:pPr>
            <w:r>
              <w:rPr>
                <w:rFonts w:cs="Times New Roman"/>
                <w:color w:val="auto"/>
                <w:sz w:val="21"/>
                <w:szCs w:val="21"/>
              </w:rPr>
              <w:t xml:space="preserve">3.6 </w:t>
            </w:r>
          </w:p>
        </w:tc>
      </w:tr>
      <w:tr w14:paraId="017B1DF7">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909FBB2">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80A23CC">
            <w:pPr>
              <w:widowControl/>
              <w:spacing w:line="240" w:lineRule="auto"/>
              <w:jc w:val="center"/>
              <w:rPr>
                <w:rFonts w:cs="Times New Roman"/>
                <w:color w:val="auto"/>
                <w:sz w:val="21"/>
                <w:szCs w:val="21"/>
              </w:rPr>
            </w:pPr>
            <w:r>
              <w:rPr>
                <w:rFonts w:cs="Times New Roman"/>
                <w:color w:val="auto"/>
                <w:sz w:val="21"/>
                <w:szCs w:val="21"/>
              </w:rPr>
              <w:t>陆良县黄泥河</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4B8E283D">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2B8C48">
            <w:pPr>
              <w:widowControl/>
              <w:spacing w:line="240" w:lineRule="auto"/>
              <w:jc w:val="center"/>
              <w:rPr>
                <w:rFonts w:cs="Times New Roman"/>
                <w:color w:val="auto"/>
                <w:sz w:val="21"/>
                <w:szCs w:val="21"/>
              </w:rPr>
            </w:pPr>
            <w:r>
              <w:rPr>
                <w:rFonts w:cs="Times New Roman"/>
                <w:color w:val="auto"/>
                <w:sz w:val="21"/>
                <w:szCs w:val="21"/>
              </w:rPr>
              <w:t xml:space="preserve">5.2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4BBB473">
            <w:pPr>
              <w:widowControl/>
              <w:spacing w:line="240" w:lineRule="auto"/>
              <w:jc w:val="center"/>
              <w:rPr>
                <w:rFonts w:cs="Times New Roman"/>
                <w:color w:val="auto"/>
                <w:sz w:val="21"/>
                <w:szCs w:val="21"/>
              </w:rPr>
            </w:pPr>
            <w:r>
              <w:rPr>
                <w:rFonts w:cs="Times New Roman"/>
                <w:color w:val="auto"/>
                <w:sz w:val="21"/>
                <w:szCs w:val="21"/>
              </w:rPr>
              <w:t xml:space="preserve">0.4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280A379">
            <w:pPr>
              <w:widowControl/>
              <w:spacing w:line="240" w:lineRule="auto"/>
              <w:jc w:val="center"/>
              <w:rPr>
                <w:rFonts w:cs="Times New Roman"/>
                <w:color w:val="auto"/>
                <w:sz w:val="21"/>
                <w:szCs w:val="21"/>
              </w:rPr>
            </w:pPr>
            <w:r>
              <w:rPr>
                <w:rFonts w:cs="Times New Roman"/>
                <w:color w:val="auto"/>
                <w:sz w:val="21"/>
                <w:szCs w:val="21"/>
              </w:rPr>
              <w:t xml:space="preserve">4.8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11592FB">
            <w:pPr>
              <w:widowControl/>
              <w:spacing w:line="240" w:lineRule="auto"/>
              <w:jc w:val="center"/>
              <w:rPr>
                <w:rFonts w:cs="Times New Roman"/>
                <w:color w:val="auto"/>
                <w:sz w:val="21"/>
                <w:szCs w:val="21"/>
              </w:rPr>
            </w:pPr>
            <w:r>
              <w:rPr>
                <w:rFonts w:cs="Times New Roman"/>
                <w:color w:val="auto"/>
                <w:sz w:val="21"/>
                <w:szCs w:val="21"/>
              </w:rPr>
              <w:t>7.0%</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0681CA1">
            <w:pPr>
              <w:widowControl/>
              <w:spacing w:line="240" w:lineRule="auto"/>
              <w:jc w:val="center"/>
              <w:rPr>
                <w:rFonts w:cs="Times New Roman"/>
                <w:color w:val="auto"/>
                <w:sz w:val="21"/>
                <w:szCs w:val="21"/>
              </w:rPr>
            </w:pPr>
            <w:r>
              <w:rPr>
                <w:rFonts w:cs="Times New Roman"/>
                <w:color w:val="auto"/>
                <w:sz w:val="21"/>
                <w:szCs w:val="21"/>
              </w:rPr>
              <w:t xml:space="preserve">0.8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E8DDFAF">
            <w:pPr>
              <w:widowControl/>
              <w:spacing w:line="240" w:lineRule="auto"/>
              <w:jc w:val="center"/>
              <w:rPr>
                <w:rFonts w:cs="Times New Roman"/>
                <w:color w:val="auto"/>
                <w:sz w:val="21"/>
                <w:szCs w:val="21"/>
              </w:rPr>
            </w:pPr>
            <w:r>
              <w:rPr>
                <w:rFonts w:cs="Times New Roman"/>
                <w:color w:val="auto"/>
                <w:sz w:val="21"/>
                <w:szCs w:val="21"/>
              </w:rPr>
              <w:t xml:space="preserve">13.1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1F1AC6B">
            <w:pPr>
              <w:widowControl/>
              <w:spacing w:line="240" w:lineRule="auto"/>
              <w:jc w:val="center"/>
              <w:rPr>
                <w:rFonts w:cs="Times New Roman"/>
                <w:color w:val="auto"/>
                <w:sz w:val="21"/>
                <w:szCs w:val="21"/>
              </w:rPr>
            </w:pPr>
            <w:r>
              <w:rPr>
                <w:rFonts w:cs="Times New Roman"/>
                <w:color w:val="auto"/>
                <w:sz w:val="21"/>
                <w:szCs w:val="21"/>
              </w:rPr>
              <w:t xml:space="preserve">14.0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F838003">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EB7D3A">
            <w:pPr>
              <w:widowControl/>
              <w:spacing w:line="240" w:lineRule="auto"/>
              <w:jc w:val="center"/>
              <w:rPr>
                <w:rFonts w:cs="Times New Roman"/>
                <w:color w:val="auto"/>
                <w:sz w:val="21"/>
                <w:szCs w:val="21"/>
              </w:rPr>
            </w:pPr>
            <w:r>
              <w:rPr>
                <w:rFonts w:cs="Times New Roman"/>
                <w:color w:val="auto"/>
                <w:sz w:val="21"/>
                <w:szCs w:val="21"/>
              </w:rPr>
              <w:t xml:space="preserve">20.7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5725545">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0162B10">
            <w:pPr>
              <w:widowControl/>
              <w:spacing w:line="240" w:lineRule="auto"/>
              <w:jc w:val="center"/>
              <w:rPr>
                <w:rFonts w:cs="Times New Roman"/>
                <w:color w:val="auto"/>
                <w:sz w:val="21"/>
                <w:szCs w:val="21"/>
              </w:rPr>
            </w:pPr>
            <w:r>
              <w:rPr>
                <w:rFonts w:cs="Times New Roman"/>
                <w:color w:val="auto"/>
                <w:sz w:val="21"/>
                <w:szCs w:val="21"/>
              </w:rPr>
              <w:t xml:space="preserve">20.8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6DA1103">
            <w:pPr>
              <w:widowControl/>
              <w:spacing w:line="240" w:lineRule="auto"/>
              <w:jc w:val="center"/>
              <w:rPr>
                <w:rFonts w:cs="Times New Roman"/>
                <w:color w:val="auto"/>
                <w:sz w:val="21"/>
                <w:szCs w:val="21"/>
              </w:rPr>
            </w:pPr>
            <w:r>
              <w:rPr>
                <w:rFonts w:cs="Times New Roman"/>
                <w:color w:val="auto"/>
                <w:sz w:val="21"/>
                <w:szCs w:val="21"/>
              </w:rPr>
              <w:t xml:space="preserve">4.0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20F45DE">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CAE8F21">
            <w:pPr>
              <w:widowControl/>
              <w:spacing w:line="240" w:lineRule="auto"/>
              <w:jc w:val="center"/>
              <w:rPr>
                <w:rFonts w:cs="Times New Roman"/>
                <w:color w:val="auto"/>
                <w:sz w:val="21"/>
                <w:szCs w:val="21"/>
              </w:rPr>
            </w:pPr>
            <w:r>
              <w:rPr>
                <w:rFonts w:cs="Times New Roman"/>
                <w:color w:val="auto"/>
                <w:sz w:val="21"/>
                <w:szCs w:val="21"/>
              </w:rPr>
              <w:t xml:space="preserve">4.0 </w:t>
            </w:r>
          </w:p>
        </w:tc>
      </w:tr>
      <w:tr w14:paraId="2DD026C3">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110EED0">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7434377">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33B1331E">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D4F5CF9">
            <w:pPr>
              <w:widowControl/>
              <w:spacing w:line="240" w:lineRule="auto"/>
              <w:jc w:val="center"/>
              <w:rPr>
                <w:rFonts w:cs="Times New Roman"/>
                <w:color w:val="auto"/>
                <w:sz w:val="21"/>
                <w:szCs w:val="21"/>
              </w:rPr>
            </w:pPr>
            <w:r>
              <w:rPr>
                <w:rFonts w:cs="Times New Roman"/>
                <w:color w:val="auto"/>
                <w:sz w:val="21"/>
                <w:szCs w:val="21"/>
              </w:rPr>
              <w:t xml:space="preserve">5.7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A54D80">
            <w:pPr>
              <w:widowControl/>
              <w:spacing w:line="240" w:lineRule="auto"/>
              <w:jc w:val="center"/>
              <w:rPr>
                <w:rFonts w:cs="Times New Roman"/>
                <w:color w:val="auto"/>
                <w:sz w:val="21"/>
                <w:szCs w:val="21"/>
              </w:rPr>
            </w:pPr>
            <w:r>
              <w:rPr>
                <w:rFonts w:cs="Times New Roman"/>
                <w:color w:val="auto"/>
                <w:sz w:val="21"/>
                <w:szCs w:val="21"/>
              </w:rPr>
              <w:t xml:space="preserve">0.5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5BB0D18">
            <w:pPr>
              <w:widowControl/>
              <w:spacing w:line="240" w:lineRule="auto"/>
              <w:jc w:val="center"/>
              <w:rPr>
                <w:rFonts w:cs="Times New Roman"/>
                <w:color w:val="auto"/>
                <w:sz w:val="21"/>
                <w:szCs w:val="21"/>
              </w:rPr>
            </w:pPr>
            <w:r>
              <w:rPr>
                <w:rFonts w:cs="Times New Roman"/>
                <w:color w:val="auto"/>
                <w:sz w:val="21"/>
                <w:szCs w:val="21"/>
              </w:rPr>
              <w:t xml:space="preserve">5.2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9CFD7C3">
            <w:pPr>
              <w:widowControl/>
              <w:spacing w:line="240" w:lineRule="auto"/>
              <w:jc w:val="center"/>
              <w:rPr>
                <w:rFonts w:cs="Times New Roman"/>
                <w:color w:val="auto"/>
                <w:sz w:val="21"/>
                <w:szCs w:val="21"/>
              </w:rPr>
            </w:pPr>
            <w:r>
              <w:rPr>
                <w:rFonts w:cs="Times New Roman"/>
                <w:color w:val="auto"/>
                <w:sz w:val="21"/>
                <w:szCs w:val="21"/>
              </w:rPr>
              <w:t>8.4%</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F7F5DDC">
            <w:pPr>
              <w:widowControl/>
              <w:spacing w:line="240" w:lineRule="auto"/>
              <w:jc w:val="center"/>
              <w:rPr>
                <w:rFonts w:cs="Times New Roman"/>
                <w:color w:val="auto"/>
                <w:sz w:val="21"/>
                <w:szCs w:val="21"/>
              </w:rPr>
            </w:pPr>
            <w:r>
              <w:rPr>
                <w:rFonts w:cs="Times New Roman"/>
                <w:color w:val="auto"/>
                <w:sz w:val="21"/>
                <w:szCs w:val="21"/>
              </w:rPr>
              <w:t xml:space="preserve">1.0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091A3AD">
            <w:pPr>
              <w:widowControl/>
              <w:spacing w:line="240" w:lineRule="auto"/>
              <w:jc w:val="center"/>
              <w:rPr>
                <w:rFonts w:cs="Times New Roman"/>
                <w:color w:val="auto"/>
                <w:sz w:val="21"/>
                <w:szCs w:val="21"/>
              </w:rPr>
            </w:pPr>
            <w:r>
              <w:rPr>
                <w:rFonts w:cs="Times New Roman"/>
                <w:color w:val="auto"/>
                <w:sz w:val="21"/>
                <w:szCs w:val="21"/>
              </w:rPr>
              <w:t xml:space="preserve">15.6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15B9050">
            <w:pPr>
              <w:widowControl/>
              <w:spacing w:line="240" w:lineRule="auto"/>
              <w:jc w:val="center"/>
              <w:rPr>
                <w:rFonts w:cs="Times New Roman"/>
                <w:color w:val="auto"/>
                <w:sz w:val="21"/>
                <w:szCs w:val="21"/>
              </w:rPr>
            </w:pPr>
            <w:r>
              <w:rPr>
                <w:rFonts w:cs="Times New Roman"/>
                <w:color w:val="auto"/>
                <w:sz w:val="21"/>
                <w:szCs w:val="21"/>
              </w:rPr>
              <w:t xml:space="preserve">16.5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1C97DDA">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EFB3E31">
            <w:pPr>
              <w:widowControl/>
              <w:spacing w:line="240" w:lineRule="auto"/>
              <w:jc w:val="center"/>
              <w:rPr>
                <w:rFonts w:cs="Times New Roman"/>
                <w:color w:val="auto"/>
                <w:sz w:val="21"/>
                <w:szCs w:val="21"/>
              </w:rPr>
            </w:pPr>
            <w:r>
              <w:rPr>
                <w:rFonts w:cs="Times New Roman"/>
                <w:color w:val="auto"/>
                <w:sz w:val="21"/>
                <w:szCs w:val="21"/>
              </w:rPr>
              <w:t xml:space="preserve">20.7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2C2B155">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30A7A78">
            <w:pPr>
              <w:widowControl/>
              <w:spacing w:line="240" w:lineRule="auto"/>
              <w:jc w:val="center"/>
              <w:rPr>
                <w:rFonts w:cs="Times New Roman"/>
                <w:color w:val="auto"/>
                <w:sz w:val="21"/>
                <w:szCs w:val="21"/>
              </w:rPr>
            </w:pPr>
            <w:r>
              <w:rPr>
                <w:rFonts w:cs="Times New Roman"/>
                <w:color w:val="auto"/>
                <w:sz w:val="21"/>
                <w:szCs w:val="21"/>
              </w:rPr>
              <w:t xml:space="preserve">20.8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72090F">
            <w:pPr>
              <w:widowControl/>
              <w:spacing w:line="240" w:lineRule="auto"/>
              <w:jc w:val="center"/>
              <w:rPr>
                <w:rFonts w:cs="Times New Roman"/>
                <w:color w:val="auto"/>
                <w:sz w:val="21"/>
                <w:szCs w:val="21"/>
              </w:rPr>
            </w:pPr>
            <w:r>
              <w:rPr>
                <w:rFonts w:cs="Times New Roman"/>
                <w:color w:val="auto"/>
                <w:sz w:val="21"/>
                <w:szCs w:val="21"/>
              </w:rPr>
              <w:t xml:space="preserve">8.2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D81DEB">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4DD8B55">
            <w:pPr>
              <w:widowControl/>
              <w:spacing w:line="240" w:lineRule="auto"/>
              <w:jc w:val="center"/>
              <w:rPr>
                <w:rFonts w:cs="Times New Roman"/>
                <w:color w:val="auto"/>
                <w:sz w:val="21"/>
                <w:szCs w:val="21"/>
              </w:rPr>
            </w:pPr>
            <w:r>
              <w:rPr>
                <w:rFonts w:cs="Times New Roman"/>
                <w:color w:val="auto"/>
                <w:sz w:val="21"/>
                <w:szCs w:val="21"/>
              </w:rPr>
              <w:t xml:space="preserve">8.2 </w:t>
            </w:r>
          </w:p>
        </w:tc>
      </w:tr>
      <w:tr w14:paraId="6016CF31">
        <w:tblPrEx>
          <w:tblCellMar>
            <w:top w:w="0" w:type="dxa"/>
            <w:left w:w="108" w:type="dxa"/>
            <w:bottom w:w="0" w:type="dxa"/>
            <w:right w:w="108" w:type="dxa"/>
          </w:tblCellMar>
        </w:tblPrEx>
        <w:trPr>
          <w:trHeight w:val="285" w:hRule="atLeast"/>
        </w:trPr>
        <w:tc>
          <w:tcPr>
            <w:tcW w:w="212"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21A2E7D">
            <w:pPr>
              <w:widowControl/>
              <w:spacing w:line="240" w:lineRule="auto"/>
              <w:jc w:val="center"/>
              <w:rPr>
                <w:rFonts w:cs="Times New Roman"/>
                <w:color w:val="auto"/>
                <w:sz w:val="21"/>
                <w:szCs w:val="21"/>
              </w:rPr>
            </w:pPr>
            <w:r>
              <w:rPr>
                <w:rFonts w:cs="Times New Roman"/>
                <w:color w:val="auto"/>
                <w:sz w:val="21"/>
                <w:szCs w:val="21"/>
              </w:rPr>
              <w:t>师宗县</w:t>
            </w: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CE15CA9">
            <w:pPr>
              <w:widowControl/>
              <w:spacing w:line="240" w:lineRule="auto"/>
              <w:jc w:val="center"/>
              <w:rPr>
                <w:rFonts w:cs="Times New Roman"/>
                <w:color w:val="auto"/>
                <w:sz w:val="21"/>
                <w:szCs w:val="21"/>
              </w:rPr>
            </w:pPr>
            <w:r>
              <w:rPr>
                <w:rFonts w:cs="Times New Roman"/>
                <w:color w:val="auto"/>
                <w:sz w:val="21"/>
                <w:szCs w:val="21"/>
              </w:rPr>
              <w:t>师宗县甸溪河</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4AFA828E">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72A8F3A">
            <w:pPr>
              <w:widowControl/>
              <w:spacing w:line="240" w:lineRule="auto"/>
              <w:jc w:val="center"/>
              <w:rPr>
                <w:rFonts w:cs="Times New Roman"/>
                <w:color w:val="auto"/>
                <w:sz w:val="21"/>
                <w:szCs w:val="21"/>
              </w:rPr>
            </w:pPr>
            <w:r>
              <w:rPr>
                <w:rFonts w:cs="Times New Roman"/>
                <w:color w:val="auto"/>
                <w:sz w:val="21"/>
                <w:szCs w:val="21"/>
              </w:rPr>
              <w:t xml:space="preserve">8.8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08DC03">
            <w:pPr>
              <w:widowControl/>
              <w:spacing w:line="240" w:lineRule="auto"/>
              <w:jc w:val="center"/>
              <w:rPr>
                <w:rFonts w:cs="Times New Roman"/>
                <w:color w:val="auto"/>
                <w:sz w:val="21"/>
                <w:szCs w:val="21"/>
              </w:rPr>
            </w:pPr>
            <w:r>
              <w:rPr>
                <w:rFonts w:cs="Times New Roman"/>
                <w:color w:val="auto"/>
                <w:sz w:val="21"/>
                <w:szCs w:val="21"/>
              </w:rPr>
              <w:t xml:space="preserve">3.2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C436C21">
            <w:pPr>
              <w:widowControl/>
              <w:spacing w:line="240" w:lineRule="auto"/>
              <w:jc w:val="center"/>
              <w:rPr>
                <w:rFonts w:cs="Times New Roman"/>
                <w:color w:val="auto"/>
                <w:sz w:val="21"/>
                <w:szCs w:val="21"/>
              </w:rPr>
            </w:pPr>
            <w:r>
              <w:rPr>
                <w:rFonts w:cs="Times New Roman"/>
                <w:color w:val="auto"/>
                <w:sz w:val="21"/>
                <w:szCs w:val="21"/>
              </w:rPr>
              <w:t xml:space="preserve">5.5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EA69A2">
            <w:pPr>
              <w:widowControl/>
              <w:spacing w:line="240" w:lineRule="auto"/>
              <w:jc w:val="center"/>
              <w:rPr>
                <w:rFonts w:cs="Times New Roman"/>
                <w:color w:val="auto"/>
                <w:sz w:val="21"/>
                <w:szCs w:val="21"/>
              </w:rPr>
            </w:pPr>
            <w:r>
              <w:rPr>
                <w:rFonts w:cs="Times New Roman"/>
                <w:color w:val="auto"/>
                <w:sz w:val="21"/>
                <w:szCs w:val="21"/>
              </w:rPr>
              <w:t>37.0%</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DB859D">
            <w:pPr>
              <w:widowControl/>
              <w:spacing w:line="240" w:lineRule="auto"/>
              <w:jc w:val="center"/>
              <w:rPr>
                <w:rFonts w:cs="Times New Roman"/>
                <w:color w:val="auto"/>
                <w:sz w:val="21"/>
                <w:szCs w:val="21"/>
              </w:rPr>
            </w:pPr>
            <w:r>
              <w:rPr>
                <w:rFonts w:cs="Times New Roman"/>
                <w:color w:val="auto"/>
                <w:sz w:val="21"/>
                <w:szCs w:val="21"/>
              </w:rPr>
              <w:t xml:space="preserve">2.0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1F8982">
            <w:pPr>
              <w:widowControl/>
              <w:spacing w:line="240" w:lineRule="auto"/>
              <w:jc w:val="center"/>
              <w:rPr>
                <w:rFonts w:cs="Times New Roman"/>
                <w:color w:val="auto"/>
                <w:sz w:val="21"/>
                <w:szCs w:val="21"/>
              </w:rPr>
            </w:pPr>
            <w:r>
              <w:rPr>
                <w:rFonts w:cs="Times New Roman"/>
                <w:color w:val="auto"/>
                <w:sz w:val="21"/>
                <w:szCs w:val="21"/>
              </w:rPr>
              <w:t xml:space="preserve">15.3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1A6263A">
            <w:pPr>
              <w:widowControl/>
              <w:spacing w:line="240" w:lineRule="auto"/>
              <w:jc w:val="center"/>
              <w:rPr>
                <w:rFonts w:cs="Times New Roman"/>
                <w:color w:val="auto"/>
                <w:sz w:val="21"/>
                <w:szCs w:val="21"/>
              </w:rPr>
            </w:pPr>
            <w:r>
              <w:rPr>
                <w:rFonts w:cs="Times New Roman"/>
                <w:color w:val="auto"/>
                <w:sz w:val="21"/>
                <w:szCs w:val="21"/>
              </w:rPr>
              <w:t xml:space="preserve">17.3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0A864B4">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66A293">
            <w:pPr>
              <w:widowControl/>
              <w:spacing w:line="240" w:lineRule="auto"/>
              <w:jc w:val="center"/>
              <w:rPr>
                <w:rFonts w:cs="Times New Roman"/>
                <w:color w:val="auto"/>
                <w:sz w:val="21"/>
                <w:szCs w:val="21"/>
              </w:rPr>
            </w:pPr>
            <w:r>
              <w:rPr>
                <w:rFonts w:cs="Times New Roman"/>
                <w:color w:val="auto"/>
                <w:sz w:val="21"/>
                <w:szCs w:val="21"/>
              </w:rPr>
              <w:t xml:space="preserve">35.1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A5AFD5D">
            <w:pPr>
              <w:widowControl/>
              <w:spacing w:line="240" w:lineRule="auto"/>
              <w:jc w:val="center"/>
              <w:rPr>
                <w:rFonts w:cs="Times New Roman"/>
                <w:color w:val="auto"/>
                <w:sz w:val="21"/>
                <w:szCs w:val="21"/>
              </w:rPr>
            </w:pPr>
            <w:r>
              <w:rPr>
                <w:rFonts w:cs="Times New Roman"/>
                <w:color w:val="auto"/>
                <w:sz w:val="21"/>
                <w:szCs w:val="21"/>
              </w:rPr>
              <w:t xml:space="preserve">3.3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5803053">
            <w:pPr>
              <w:widowControl/>
              <w:spacing w:line="240" w:lineRule="auto"/>
              <w:jc w:val="center"/>
              <w:rPr>
                <w:rFonts w:cs="Times New Roman"/>
                <w:color w:val="auto"/>
                <w:sz w:val="21"/>
                <w:szCs w:val="21"/>
              </w:rPr>
            </w:pPr>
            <w:r>
              <w:rPr>
                <w:rFonts w:cs="Times New Roman"/>
                <w:color w:val="auto"/>
                <w:sz w:val="21"/>
                <w:szCs w:val="21"/>
              </w:rPr>
              <w:t xml:space="preserve">38.4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04CCF8C">
            <w:pPr>
              <w:widowControl/>
              <w:spacing w:line="240" w:lineRule="auto"/>
              <w:jc w:val="center"/>
              <w:rPr>
                <w:rFonts w:cs="Times New Roman"/>
                <w:color w:val="auto"/>
                <w:sz w:val="21"/>
                <w:szCs w:val="21"/>
              </w:rPr>
            </w:pPr>
            <w:r>
              <w:rPr>
                <w:rFonts w:cs="Times New Roman"/>
                <w:color w:val="auto"/>
                <w:sz w:val="21"/>
                <w:szCs w:val="21"/>
              </w:rPr>
              <w:t xml:space="preserve">5.0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B3529C9">
            <w:pPr>
              <w:widowControl/>
              <w:spacing w:line="240" w:lineRule="auto"/>
              <w:jc w:val="center"/>
              <w:rPr>
                <w:rFonts w:cs="Times New Roman"/>
                <w:color w:val="auto"/>
                <w:sz w:val="21"/>
                <w:szCs w:val="21"/>
              </w:rPr>
            </w:pPr>
            <w:r>
              <w:rPr>
                <w:rFonts w:cs="Times New Roman"/>
                <w:color w:val="auto"/>
                <w:sz w:val="21"/>
                <w:szCs w:val="21"/>
              </w:rPr>
              <w:t xml:space="preserve">1.4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2AAA43A">
            <w:pPr>
              <w:widowControl/>
              <w:spacing w:line="240" w:lineRule="auto"/>
              <w:jc w:val="center"/>
              <w:rPr>
                <w:rFonts w:cs="Times New Roman"/>
                <w:color w:val="auto"/>
                <w:sz w:val="21"/>
                <w:szCs w:val="21"/>
              </w:rPr>
            </w:pPr>
            <w:r>
              <w:rPr>
                <w:rFonts w:cs="Times New Roman"/>
                <w:color w:val="auto"/>
                <w:sz w:val="21"/>
                <w:szCs w:val="21"/>
              </w:rPr>
              <w:t xml:space="preserve">6.4 </w:t>
            </w:r>
          </w:p>
        </w:tc>
      </w:tr>
      <w:tr w14:paraId="23F40018">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9FF889E">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729CDA7">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7673FD34">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4621245">
            <w:pPr>
              <w:widowControl/>
              <w:spacing w:line="240" w:lineRule="auto"/>
              <w:jc w:val="center"/>
              <w:rPr>
                <w:rFonts w:cs="Times New Roman"/>
                <w:color w:val="auto"/>
                <w:sz w:val="21"/>
                <w:szCs w:val="21"/>
              </w:rPr>
            </w:pPr>
            <w:r>
              <w:rPr>
                <w:rFonts w:cs="Times New Roman"/>
                <w:color w:val="auto"/>
                <w:sz w:val="21"/>
                <w:szCs w:val="21"/>
              </w:rPr>
              <w:t xml:space="preserve">9.5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A5C4F86">
            <w:pPr>
              <w:widowControl/>
              <w:spacing w:line="240" w:lineRule="auto"/>
              <w:jc w:val="center"/>
              <w:rPr>
                <w:rFonts w:cs="Times New Roman"/>
                <w:color w:val="auto"/>
                <w:sz w:val="21"/>
                <w:szCs w:val="21"/>
              </w:rPr>
            </w:pPr>
            <w:r>
              <w:rPr>
                <w:rFonts w:cs="Times New Roman"/>
                <w:color w:val="auto"/>
                <w:sz w:val="21"/>
                <w:szCs w:val="21"/>
              </w:rPr>
              <w:t xml:space="preserve">4.4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35E59E2">
            <w:pPr>
              <w:widowControl/>
              <w:spacing w:line="240" w:lineRule="auto"/>
              <w:jc w:val="center"/>
              <w:rPr>
                <w:rFonts w:cs="Times New Roman"/>
                <w:color w:val="auto"/>
                <w:sz w:val="21"/>
                <w:szCs w:val="21"/>
              </w:rPr>
            </w:pPr>
            <w:r>
              <w:rPr>
                <w:rFonts w:cs="Times New Roman"/>
                <w:color w:val="auto"/>
                <w:sz w:val="21"/>
                <w:szCs w:val="21"/>
              </w:rPr>
              <w:t xml:space="preserve">5.1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76C4C89">
            <w:pPr>
              <w:widowControl/>
              <w:spacing w:line="240" w:lineRule="auto"/>
              <w:jc w:val="center"/>
              <w:rPr>
                <w:rFonts w:cs="Times New Roman"/>
                <w:color w:val="auto"/>
                <w:sz w:val="21"/>
                <w:szCs w:val="21"/>
              </w:rPr>
            </w:pPr>
            <w:r>
              <w:rPr>
                <w:rFonts w:cs="Times New Roman"/>
                <w:color w:val="auto"/>
                <w:sz w:val="21"/>
                <w:szCs w:val="21"/>
              </w:rPr>
              <w:t>46.3%</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9D804A3">
            <w:pPr>
              <w:widowControl/>
              <w:spacing w:line="240" w:lineRule="auto"/>
              <w:jc w:val="center"/>
              <w:rPr>
                <w:rFonts w:cs="Times New Roman"/>
                <w:color w:val="auto"/>
                <w:sz w:val="21"/>
                <w:szCs w:val="21"/>
              </w:rPr>
            </w:pPr>
            <w:r>
              <w:rPr>
                <w:rFonts w:cs="Times New Roman"/>
                <w:color w:val="auto"/>
                <w:sz w:val="21"/>
                <w:szCs w:val="21"/>
              </w:rPr>
              <w:t xml:space="preserve">2.0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479B751">
            <w:pPr>
              <w:widowControl/>
              <w:spacing w:line="240" w:lineRule="auto"/>
              <w:jc w:val="center"/>
              <w:rPr>
                <w:rFonts w:cs="Times New Roman"/>
                <w:color w:val="auto"/>
                <w:sz w:val="21"/>
                <w:szCs w:val="21"/>
              </w:rPr>
            </w:pPr>
            <w:r>
              <w:rPr>
                <w:rFonts w:cs="Times New Roman"/>
                <w:color w:val="auto"/>
                <w:sz w:val="21"/>
                <w:szCs w:val="21"/>
              </w:rPr>
              <w:t xml:space="preserve">18.0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F258AB">
            <w:pPr>
              <w:widowControl/>
              <w:spacing w:line="240" w:lineRule="auto"/>
              <w:jc w:val="center"/>
              <w:rPr>
                <w:rFonts w:cs="Times New Roman"/>
                <w:color w:val="auto"/>
                <w:sz w:val="21"/>
                <w:szCs w:val="21"/>
              </w:rPr>
            </w:pPr>
            <w:r>
              <w:rPr>
                <w:rFonts w:cs="Times New Roman"/>
                <w:color w:val="auto"/>
                <w:sz w:val="21"/>
                <w:szCs w:val="21"/>
              </w:rPr>
              <w:t xml:space="preserve">20.0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BF220FE">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A791EE7">
            <w:pPr>
              <w:widowControl/>
              <w:spacing w:line="240" w:lineRule="auto"/>
              <w:jc w:val="center"/>
              <w:rPr>
                <w:rFonts w:cs="Times New Roman"/>
                <w:color w:val="auto"/>
                <w:sz w:val="21"/>
                <w:szCs w:val="21"/>
              </w:rPr>
            </w:pPr>
            <w:r>
              <w:rPr>
                <w:rFonts w:cs="Times New Roman"/>
                <w:color w:val="auto"/>
                <w:sz w:val="21"/>
                <w:szCs w:val="21"/>
              </w:rPr>
              <w:t xml:space="preserve">35.0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AE147B7">
            <w:pPr>
              <w:widowControl/>
              <w:spacing w:line="240" w:lineRule="auto"/>
              <w:jc w:val="center"/>
              <w:rPr>
                <w:rFonts w:cs="Times New Roman"/>
                <w:color w:val="auto"/>
                <w:sz w:val="21"/>
                <w:szCs w:val="21"/>
              </w:rPr>
            </w:pPr>
            <w:r>
              <w:rPr>
                <w:rFonts w:cs="Times New Roman"/>
                <w:color w:val="auto"/>
                <w:sz w:val="21"/>
                <w:szCs w:val="21"/>
              </w:rPr>
              <w:t xml:space="preserve">3.3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3198991">
            <w:pPr>
              <w:widowControl/>
              <w:spacing w:line="240" w:lineRule="auto"/>
              <w:jc w:val="center"/>
              <w:rPr>
                <w:rFonts w:cs="Times New Roman"/>
                <w:color w:val="auto"/>
                <w:sz w:val="21"/>
                <w:szCs w:val="21"/>
              </w:rPr>
            </w:pPr>
            <w:r>
              <w:rPr>
                <w:rFonts w:cs="Times New Roman"/>
                <w:color w:val="auto"/>
                <w:sz w:val="21"/>
                <w:szCs w:val="21"/>
              </w:rPr>
              <w:t xml:space="preserve">38.2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EFB7B0E">
            <w:pPr>
              <w:widowControl/>
              <w:spacing w:line="240" w:lineRule="auto"/>
              <w:jc w:val="center"/>
              <w:rPr>
                <w:rFonts w:cs="Times New Roman"/>
                <w:color w:val="auto"/>
                <w:sz w:val="21"/>
                <w:szCs w:val="21"/>
              </w:rPr>
            </w:pPr>
            <w:r>
              <w:rPr>
                <w:rFonts w:cs="Times New Roman"/>
                <w:color w:val="auto"/>
                <w:sz w:val="21"/>
                <w:szCs w:val="21"/>
              </w:rPr>
              <w:t xml:space="preserve">13.6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AB66210">
            <w:pPr>
              <w:widowControl/>
              <w:spacing w:line="240" w:lineRule="auto"/>
              <w:jc w:val="center"/>
              <w:rPr>
                <w:rFonts w:cs="Times New Roman"/>
                <w:color w:val="auto"/>
                <w:sz w:val="21"/>
                <w:szCs w:val="21"/>
              </w:rPr>
            </w:pPr>
            <w:r>
              <w:rPr>
                <w:rFonts w:cs="Times New Roman"/>
                <w:color w:val="auto"/>
                <w:sz w:val="21"/>
                <w:szCs w:val="21"/>
              </w:rPr>
              <w:t xml:space="preserve">5.7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B4D7E12">
            <w:pPr>
              <w:widowControl/>
              <w:spacing w:line="240" w:lineRule="auto"/>
              <w:jc w:val="center"/>
              <w:rPr>
                <w:rFonts w:cs="Times New Roman"/>
                <w:color w:val="auto"/>
                <w:sz w:val="21"/>
                <w:szCs w:val="21"/>
              </w:rPr>
            </w:pPr>
            <w:r>
              <w:rPr>
                <w:rFonts w:cs="Times New Roman"/>
                <w:color w:val="auto"/>
                <w:sz w:val="21"/>
                <w:szCs w:val="21"/>
              </w:rPr>
              <w:t xml:space="preserve">19.3 </w:t>
            </w:r>
          </w:p>
        </w:tc>
      </w:tr>
      <w:tr w14:paraId="51C63E09">
        <w:tblPrEx>
          <w:tblCellMar>
            <w:top w:w="0" w:type="dxa"/>
            <w:left w:w="108" w:type="dxa"/>
            <w:bottom w:w="0" w:type="dxa"/>
            <w:right w:w="108" w:type="dxa"/>
          </w:tblCellMar>
        </w:tblPrEx>
        <w:trPr>
          <w:trHeight w:val="34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BE802E4">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586E7AB">
            <w:pPr>
              <w:widowControl/>
              <w:spacing w:line="240" w:lineRule="auto"/>
              <w:jc w:val="center"/>
              <w:rPr>
                <w:rFonts w:cs="Times New Roman"/>
                <w:color w:val="auto"/>
                <w:sz w:val="21"/>
                <w:szCs w:val="21"/>
              </w:rPr>
            </w:pPr>
            <w:r>
              <w:rPr>
                <w:rFonts w:cs="Times New Roman"/>
                <w:color w:val="auto"/>
                <w:sz w:val="21"/>
                <w:szCs w:val="21"/>
              </w:rPr>
              <w:t>师宗县清水江</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5968BE81">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1A1B3F0">
            <w:pPr>
              <w:widowControl/>
              <w:spacing w:line="240" w:lineRule="auto"/>
              <w:jc w:val="center"/>
              <w:rPr>
                <w:rFonts w:cs="Times New Roman"/>
                <w:color w:val="auto"/>
                <w:sz w:val="21"/>
                <w:szCs w:val="21"/>
              </w:rPr>
            </w:pPr>
            <w:r>
              <w:rPr>
                <w:rFonts w:cs="Times New Roman"/>
                <w:color w:val="auto"/>
                <w:sz w:val="21"/>
                <w:szCs w:val="21"/>
              </w:rPr>
              <w:t xml:space="preserve">0.4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C8CDDE6">
            <w:pPr>
              <w:widowControl/>
              <w:spacing w:line="240" w:lineRule="auto"/>
              <w:jc w:val="center"/>
              <w:rPr>
                <w:rFonts w:cs="Times New Roman"/>
                <w:color w:val="auto"/>
                <w:sz w:val="21"/>
                <w:szCs w:val="21"/>
              </w:rPr>
            </w:pP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707E397">
            <w:pPr>
              <w:widowControl/>
              <w:spacing w:line="240" w:lineRule="auto"/>
              <w:jc w:val="center"/>
              <w:rPr>
                <w:rFonts w:cs="Times New Roman"/>
                <w:color w:val="auto"/>
                <w:sz w:val="21"/>
                <w:szCs w:val="21"/>
              </w:rPr>
            </w:pPr>
            <w:r>
              <w:rPr>
                <w:rFonts w:cs="Times New Roman"/>
                <w:color w:val="auto"/>
                <w:sz w:val="21"/>
                <w:szCs w:val="21"/>
              </w:rPr>
              <w:t xml:space="preserve">0.4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037A4E1">
            <w:pPr>
              <w:widowControl/>
              <w:spacing w:line="240" w:lineRule="auto"/>
              <w:jc w:val="center"/>
              <w:rPr>
                <w:rFonts w:cs="Times New Roman"/>
                <w:color w:val="auto"/>
                <w:sz w:val="21"/>
                <w:szCs w:val="21"/>
              </w:rPr>
            </w:pP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9DA7BE1">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C8D354A">
            <w:pPr>
              <w:widowControl/>
              <w:spacing w:line="240" w:lineRule="auto"/>
              <w:jc w:val="center"/>
              <w:rPr>
                <w:rFonts w:cs="Times New Roman"/>
                <w:color w:val="auto"/>
                <w:sz w:val="21"/>
                <w:szCs w:val="21"/>
              </w:rPr>
            </w:pPr>
            <w:r>
              <w:rPr>
                <w:rFonts w:cs="Times New Roman"/>
                <w:color w:val="auto"/>
                <w:sz w:val="21"/>
                <w:szCs w:val="21"/>
              </w:rPr>
              <w:t xml:space="preserve">0.6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42CC586">
            <w:pPr>
              <w:widowControl/>
              <w:spacing w:line="240" w:lineRule="auto"/>
              <w:jc w:val="center"/>
              <w:rPr>
                <w:rFonts w:cs="Times New Roman"/>
                <w:color w:val="auto"/>
                <w:sz w:val="21"/>
                <w:szCs w:val="21"/>
              </w:rPr>
            </w:pPr>
            <w:r>
              <w:rPr>
                <w:rFonts w:cs="Times New Roman"/>
                <w:color w:val="auto"/>
                <w:sz w:val="21"/>
                <w:szCs w:val="21"/>
              </w:rPr>
              <w:t xml:space="preserve">0.7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DB676AA">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69A2071">
            <w:pPr>
              <w:widowControl/>
              <w:spacing w:line="240" w:lineRule="auto"/>
              <w:jc w:val="center"/>
              <w:rPr>
                <w:rFonts w:cs="Times New Roman"/>
                <w:color w:val="auto"/>
                <w:sz w:val="21"/>
                <w:szCs w:val="21"/>
              </w:rPr>
            </w:pPr>
            <w:r>
              <w:rPr>
                <w:rFonts w:cs="Times New Roman"/>
                <w:color w:val="auto"/>
                <w:sz w:val="21"/>
                <w:szCs w:val="21"/>
              </w:rPr>
              <w:t xml:space="preserve">1.4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BF8785F">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9393084">
            <w:pPr>
              <w:widowControl/>
              <w:spacing w:line="240" w:lineRule="auto"/>
              <w:jc w:val="center"/>
              <w:rPr>
                <w:rFonts w:cs="Times New Roman"/>
                <w:color w:val="auto"/>
                <w:sz w:val="21"/>
                <w:szCs w:val="21"/>
              </w:rPr>
            </w:pPr>
            <w:r>
              <w:rPr>
                <w:rFonts w:cs="Times New Roman"/>
                <w:color w:val="auto"/>
                <w:sz w:val="21"/>
                <w:szCs w:val="21"/>
              </w:rPr>
              <w:t xml:space="preserve">1.6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681DF9">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4F6192">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6CEBA4E">
            <w:pPr>
              <w:widowControl/>
              <w:spacing w:line="240" w:lineRule="auto"/>
              <w:jc w:val="center"/>
              <w:rPr>
                <w:rFonts w:cs="Times New Roman"/>
                <w:color w:val="auto"/>
                <w:sz w:val="21"/>
                <w:szCs w:val="21"/>
              </w:rPr>
            </w:pPr>
            <w:r>
              <w:rPr>
                <w:rFonts w:cs="Times New Roman"/>
                <w:color w:val="auto"/>
                <w:sz w:val="21"/>
                <w:szCs w:val="21"/>
              </w:rPr>
              <w:t xml:space="preserve">0.3 </w:t>
            </w:r>
          </w:p>
        </w:tc>
      </w:tr>
      <w:tr w14:paraId="64C7A01F">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9FA8D52">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6C2A9E5">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56625BF8">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015A0D8">
            <w:pPr>
              <w:widowControl/>
              <w:spacing w:line="240" w:lineRule="auto"/>
              <w:jc w:val="center"/>
              <w:rPr>
                <w:rFonts w:cs="Times New Roman"/>
                <w:color w:val="auto"/>
                <w:sz w:val="21"/>
                <w:szCs w:val="21"/>
              </w:rPr>
            </w:pPr>
            <w:r>
              <w:rPr>
                <w:rFonts w:cs="Times New Roman"/>
                <w:color w:val="auto"/>
                <w:sz w:val="21"/>
                <w:szCs w:val="21"/>
              </w:rPr>
              <w:t xml:space="preserve">0.4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00E44D9">
            <w:pPr>
              <w:widowControl/>
              <w:spacing w:line="240" w:lineRule="auto"/>
              <w:jc w:val="center"/>
              <w:rPr>
                <w:rFonts w:cs="Times New Roman"/>
                <w:color w:val="auto"/>
                <w:sz w:val="21"/>
                <w:szCs w:val="21"/>
              </w:rPr>
            </w:pP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94BD815">
            <w:pPr>
              <w:widowControl/>
              <w:spacing w:line="240" w:lineRule="auto"/>
              <w:jc w:val="center"/>
              <w:rPr>
                <w:rFonts w:cs="Times New Roman"/>
                <w:color w:val="auto"/>
                <w:sz w:val="21"/>
                <w:szCs w:val="21"/>
              </w:rPr>
            </w:pPr>
            <w:r>
              <w:rPr>
                <w:rFonts w:cs="Times New Roman"/>
                <w:color w:val="auto"/>
                <w:sz w:val="21"/>
                <w:szCs w:val="21"/>
              </w:rPr>
              <w:t xml:space="preserve">0.4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7139D97">
            <w:pPr>
              <w:widowControl/>
              <w:spacing w:line="240" w:lineRule="auto"/>
              <w:jc w:val="center"/>
              <w:rPr>
                <w:rFonts w:cs="Times New Roman"/>
                <w:color w:val="auto"/>
                <w:sz w:val="21"/>
                <w:szCs w:val="21"/>
              </w:rPr>
            </w:pP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5876347">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5EBBD0D">
            <w:pPr>
              <w:widowControl/>
              <w:spacing w:line="240" w:lineRule="auto"/>
              <w:jc w:val="center"/>
              <w:rPr>
                <w:rFonts w:cs="Times New Roman"/>
                <w:color w:val="auto"/>
                <w:sz w:val="21"/>
                <w:szCs w:val="21"/>
              </w:rPr>
            </w:pPr>
            <w:r>
              <w:rPr>
                <w:rFonts w:cs="Times New Roman"/>
                <w:color w:val="auto"/>
                <w:sz w:val="21"/>
                <w:szCs w:val="21"/>
              </w:rPr>
              <w:t xml:space="preserve">0.7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4D023E1">
            <w:pPr>
              <w:widowControl/>
              <w:spacing w:line="240" w:lineRule="auto"/>
              <w:jc w:val="center"/>
              <w:rPr>
                <w:rFonts w:cs="Times New Roman"/>
                <w:color w:val="auto"/>
                <w:sz w:val="21"/>
                <w:szCs w:val="21"/>
              </w:rPr>
            </w:pPr>
            <w:r>
              <w:rPr>
                <w:rFonts w:cs="Times New Roman"/>
                <w:color w:val="auto"/>
                <w:sz w:val="21"/>
                <w:szCs w:val="21"/>
              </w:rPr>
              <w:t xml:space="preserve">0.8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19AE544">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0C3B06">
            <w:pPr>
              <w:widowControl/>
              <w:spacing w:line="240" w:lineRule="auto"/>
              <w:jc w:val="center"/>
              <w:rPr>
                <w:rFonts w:cs="Times New Roman"/>
                <w:color w:val="auto"/>
                <w:sz w:val="21"/>
                <w:szCs w:val="21"/>
              </w:rPr>
            </w:pPr>
            <w:r>
              <w:rPr>
                <w:rFonts w:cs="Times New Roman"/>
                <w:color w:val="auto"/>
                <w:sz w:val="21"/>
                <w:szCs w:val="21"/>
              </w:rPr>
              <w:t xml:space="preserve">1.4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4200E7">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DCE9B0C">
            <w:pPr>
              <w:widowControl/>
              <w:spacing w:line="240" w:lineRule="auto"/>
              <w:jc w:val="center"/>
              <w:rPr>
                <w:rFonts w:cs="Times New Roman"/>
                <w:color w:val="auto"/>
                <w:sz w:val="21"/>
                <w:szCs w:val="21"/>
              </w:rPr>
            </w:pPr>
            <w:r>
              <w:rPr>
                <w:rFonts w:cs="Times New Roman"/>
                <w:color w:val="auto"/>
                <w:sz w:val="21"/>
                <w:szCs w:val="21"/>
              </w:rPr>
              <w:t xml:space="preserve">1.6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A9ECF42">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AA9598">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736A014">
            <w:pPr>
              <w:widowControl/>
              <w:spacing w:line="240" w:lineRule="auto"/>
              <w:jc w:val="center"/>
              <w:rPr>
                <w:rFonts w:cs="Times New Roman"/>
                <w:color w:val="auto"/>
                <w:sz w:val="21"/>
                <w:szCs w:val="21"/>
              </w:rPr>
            </w:pPr>
            <w:r>
              <w:rPr>
                <w:rFonts w:cs="Times New Roman"/>
                <w:color w:val="auto"/>
                <w:sz w:val="21"/>
                <w:szCs w:val="21"/>
              </w:rPr>
              <w:t xml:space="preserve">0.3 </w:t>
            </w:r>
          </w:p>
        </w:tc>
      </w:tr>
      <w:tr w14:paraId="72B152A7">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CAB5E64">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C5B2E37">
            <w:pPr>
              <w:widowControl/>
              <w:spacing w:line="240" w:lineRule="auto"/>
              <w:jc w:val="center"/>
              <w:rPr>
                <w:rFonts w:cs="Times New Roman"/>
                <w:color w:val="auto"/>
                <w:sz w:val="21"/>
                <w:szCs w:val="21"/>
              </w:rPr>
            </w:pPr>
            <w:r>
              <w:rPr>
                <w:rFonts w:cs="Times New Roman"/>
                <w:color w:val="auto"/>
                <w:sz w:val="21"/>
                <w:szCs w:val="21"/>
              </w:rPr>
              <w:t>师宗县黄泥河</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2954DFC2">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F9122C5">
            <w:pPr>
              <w:widowControl/>
              <w:spacing w:line="240" w:lineRule="auto"/>
              <w:jc w:val="center"/>
              <w:rPr>
                <w:rFonts w:cs="Times New Roman"/>
                <w:color w:val="auto"/>
                <w:sz w:val="21"/>
                <w:szCs w:val="21"/>
              </w:rPr>
            </w:pPr>
            <w:r>
              <w:rPr>
                <w:rFonts w:cs="Times New Roman"/>
                <w:color w:val="auto"/>
                <w:sz w:val="21"/>
                <w:szCs w:val="21"/>
              </w:rPr>
              <w:t xml:space="preserve">18.5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531C8FA">
            <w:pPr>
              <w:widowControl/>
              <w:spacing w:line="240" w:lineRule="auto"/>
              <w:jc w:val="center"/>
              <w:rPr>
                <w:rFonts w:cs="Times New Roman"/>
                <w:color w:val="auto"/>
                <w:sz w:val="21"/>
                <w:szCs w:val="21"/>
              </w:rPr>
            </w:pPr>
            <w:r>
              <w:rPr>
                <w:rFonts w:cs="Times New Roman"/>
                <w:color w:val="auto"/>
                <w:sz w:val="21"/>
                <w:szCs w:val="21"/>
              </w:rPr>
              <w:t xml:space="preserve">10.8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44D4CB1">
            <w:pPr>
              <w:widowControl/>
              <w:spacing w:line="240" w:lineRule="auto"/>
              <w:jc w:val="center"/>
              <w:rPr>
                <w:rFonts w:cs="Times New Roman"/>
                <w:color w:val="auto"/>
                <w:sz w:val="21"/>
                <w:szCs w:val="21"/>
              </w:rPr>
            </w:pPr>
            <w:r>
              <w:rPr>
                <w:rFonts w:cs="Times New Roman"/>
                <w:color w:val="auto"/>
                <w:sz w:val="21"/>
                <w:szCs w:val="21"/>
              </w:rPr>
              <w:t xml:space="preserve">7.7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B6C59D0">
            <w:pPr>
              <w:widowControl/>
              <w:spacing w:line="240" w:lineRule="auto"/>
              <w:jc w:val="center"/>
              <w:rPr>
                <w:rFonts w:cs="Times New Roman"/>
                <w:color w:val="auto"/>
                <w:sz w:val="21"/>
                <w:szCs w:val="21"/>
              </w:rPr>
            </w:pPr>
            <w:r>
              <w:rPr>
                <w:rFonts w:cs="Times New Roman"/>
                <w:color w:val="auto"/>
                <w:sz w:val="21"/>
                <w:szCs w:val="21"/>
              </w:rPr>
              <w:t>58.2%</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E455EE5">
            <w:pPr>
              <w:widowControl/>
              <w:spacing w:line="240" w:lineRule="auto"/>
              <w:jc w:val="center"/>
              <w:rPr>
                <w:rFonts w:cs="Times New Roman"/>
                <w:color w:val="auto"/>
                <w:sz w:val="21"/>
                <w:szCs w:val="21"/>
              </w:rPr>
            </w:pPr>
            <w:r>
              <w:rPr>
                <w:rFonts w:cs="Times New Roman"/>
                <w:color w:val="auto"/>
                <w:sz w:val="21"/>
                <w:szCs w:val="21"/>
              </w:rPr>
              <w:t xml:space="preserve">2.6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457C017">
            <w:pPr>
              <w:widowControl/>
              <w:spacing w:line="240" w:lineRule="auto"/>
              <w:jc w:val="center"/>
              <w:rPr>
                <w:rFonts w:cs="Times New Roman"/>
                <w:color w:val="auto"/>
                <w:sz w:val="21"/>
                <w:szCs w:val="21"/>
              </w:rPr>
            </w:pPr>
            <w:r>
              <w:rPr>
                <w:rFonts w:cs="Times New Roman"/>
                <w:color w:val="auto"/>
                <w:sz w:val="21"/>
                <w:szCs w:val="21"/>
              </w:rPr>
              <w:t xml:space="preserve">21.9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2571272">
            <w:pPr>
              <w:widowControl/>
              <w:spacing w:line="240" w:lineRule="auto"/>
              <w:jc w:val="center"/>
              <w:rPr>
                <w:rFonts w:cs="Times New Roman"/>
                <w:color w:val="auto"/>
                <w:sz w:val="21"/>
                <w:szCs w:val="21"/>
              </w:rPr>
            </w:pPr>
            <w:r>
              <w:rPr>
                <w:rFonts w:cs="Times New Roman"/>
                <w:color w:val="auto"/>
                <w:sz w:val="21"/>
                <w:szCs w:val="21"/>
              </w:rPr>
              <w:t xml:space="preserve">24.5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91431E4">
            <w:pPr>
              <w:widowControl/>
              <w:spacing w:line="240" w:lineRule="auto"/>
              <w:jc w:val="center"/>
              <w:rPr>
                <w:rFonts w:cs="Times New Roman"/>
                <w:color w:val="auto"/>
                <w:sz w:val="21"/>
                <w:szCs w:val="21"/>
              </w:rPr>
            </w:pPr>
            <w:r>
              <w:rPr>
                <w:rFonts w:cs="Times New Roman"/>
                <w:color w:val="auto"/>
                <w:sz w:val="21"/>
                <w:szCs w:val="21"/>
              </w:rPr>
              <w:t xml:space="preserve">24.1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C088954">
            <w:pPr>
              <w:widowControl/>
              <w:spacing w:line="240" w:lineRule="auto"/>
              <w:jc w:val="center"/>
              <w:rPr>
                <w:rFonts w:cs="Times New Roman"/>
                <w:color w:val="auto"/>
                <w:sz w:val="21"/>
                <w:szCs w:val="21"/>
              </w:rPr>
            </w:pPr>
            <w:r>
              <w:rPr>
                <w:rFonts w:cs="Times New Roman"/>
                <w:color w:val="auto"/>
                <w:sz w:val="21"/>
                <w:szCs w:val="21"/>
              </w:rPr>
              <w:t xml:space="preserve">42.5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1510E9B">
            <w:pPr>
              <w:widowControl/>
              <w:spacing w:line="240" w:lineRule="auto"/>
              <w:jc w:val="center"/>
              <w:rPr>
                <w:rFonts w:cs="Times New Roman"/>
                <w:color w:val="auto"/>
                <w:sz w:val="21"/>
                <w:szCs w:val="21"/>
              </w:rPr>
            </w:pPr>
            <w:r>
              <w:rPr>
                <w:rFonts w:cs="Times New Roman"/>
                <w:color w:val="auto"/>
                <w:sz w:val="21"/>
                <w:szCs w:val="21"/>
              </w:rPr>
              <w:t xml:space="preserve">2.0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0E36B7D">
            <w:pPr>
              <w:widowControl/>
              <w:spacing w:line="240" w:lineRule="auto"/>
              <w:jc w:val="center"/>
              <w:rPr>
                <w:rFonts w:cs="Times New Roman"/>
                <w:color w:val="auto"/>
                <w:sz w:val="21"/>
                <w:szCs w:val="21"/>
              </w:rPr>
            </w:pPr>
            <w:r>
              <w:rPr>
                <w:rFonts w:cs="Times New Roman"/>
                <w:color w:val="auto"/>
                <w:sz w:val="21"/>
                <w:szCs w:val="21"/>
              </w:rPr>
              <w:t xml:space="preserve">44.4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8D7228">
            <w:pPr>
              <w:widowControl/>
              <w:spacing w:line="240" w:lineRule="auto"/>
              <w:jc w:val="center"/>
              <w:rPr>
                <w:rFonts w:cs="Times New Roman"/>
                <w:color w:val="auto"/>
                <w:sz w:val="21"/>
                <w:szCs w:val="21"/>
              </w:rPr>
            </w:pPr>
            <w:r>
              <w:rPr>
                <w:rFonts w:cs="Times New Roman"/>
                <w:color w:val="auto"/>
                <w:sz w:val="21"/>
                <w:szCs w:val="21"/>
              </w:rPr>
              <w:t xml:space="preserve">9.5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837BA2C">
            <w:pPr>
              <w:widowControl/>
              <w:spacing w:line="240" w:lineRule="auto"/>
              <w:jc w:val="center"/>
              <w:rPr>
                <w:rFonts w:cs="Times New Roman"/>
                <w:color w:val="auto"/>
                <w:sz w:val="21"/>
                <w:szCs w:val="21"/>
              </w:rPr>
            </w:pPr>
            <w:r>
              <w:rPr>
                <w:rFonts w:cs="Times New Roman"/>
                <w:color w:val="auto"/>
                <w:sz w:val="21"/>
                <w:szCs w:val="21"/>
              </w:rPr>
              <w:t xml:space="preserve">1.4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8C31028">
            <w:pPr>
              <w:widowControl/>
              <w:spacing w:line="240" w:lineRule="auto"/>
              <w:jc w:val="center"/>
              <w:rPr>
                <w:rFonts w:cs="Times New Roman"/>
                <w:color w:val="auto"/>
                <w:sz w:val="21"/>
                <w:szCs w:val="21"/>
              </w:rPr>
            </w:pPr>
            <w:r>
              <w:rPr>
                <w:rFonts w:cs="Times New Roman"/>
                <w:color w:val="auto"/>
                <w:sz w:val="21"/>
                <w:szCs w:val="21"/>
              </w:rPr>
              <w:t xml:space="preserve">10.9 </w:t>
            </w:r>
          </w:p>
        </w:tc>
      </w:tr>
      <w:tr w14:paraId="1AE7EC15">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B7CDE2D">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CB37DED">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785C9278">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6A22C3C">
            <w:pPr>
              <w:widowControl/>
              <w:spacing w:line="240" w:lineRule="auto"/>
              <w:jc w:val="center"/>
              <w:rPr>
                <w:rFonts w:cs="Times New Roman"/>
                <w:color w:val="auto"/>
                <w:sz w:val="21"/>
                <w:szCs w:val="21"/>
              </w:rPr>
            </w:pPr>
            <w:r>
              <w:rPr>
                <w:rFonts w:cs="Times New Roman"/>
                <w:color w:val="auto"/>
                <w:sz w:val="21"/>
                <w:szCs w:val="21"/>
              </w:rPr>
              <w:t xml:space="preserve">22.1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65D1A2">
            <w:pPr>
              <w:widowControl/>
              <w:spacing w:line="240" w:lineRule="auto"/>
              <w:jc w:val="center"/>
              <w:rPr>
                <w:rFonts w:cs="Times New Roman"/>
                <w:color w:val="auto"/>
                <w:sz w:val="21"/>
                <w:szCs w:val="21"/>
              </w:rPr>
            </w:pPr>
            <w:r>
              <w:rPr>
                <w:rFonts w:cs="Times New Roman"/>
                <w:color w:val="auto"/>
                <w:sz w:val="21"/>
                <w:szCs w:val="21"/>
              </w:rPr>
              <w:t xml:space="preserve">16.1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DF41BC">
            <w:pPr>
              <w:widowControl/>
              <w:spacing w:line="240" w:lineRule="auto"/>
              <w:jc w:val="center"/>
              <w:rPr>
                <w:rFonts w:cs="Times New Roman"/>
                <w:color w:val="auto"/>
                <w:sz w:val="21"/>
                <w:szCs w:val="21"/>
              </w:rPr>
            </w:pPr>
            <w:r>
              <w:rPr>
                <w:rFonts w:cs="Times New Roman"/>
                <w:color w:val="auto"/>
                <w:sz w:val="21"/>
                <w:szCs w:val="21"/>
              </w:rPr>
              <w:t xml:space="preserve">6.0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6C68FA2">
            <w:pPr>
              <w:widowControl/>
              <w:spacing w:line="240" w:lineRule="auto"/>
              <w:jc w:val="center"/>
              <w:rPr>
                <w:rFonts w:cs="Times New Roman"/>
                <w:color w:val="auto"/>
                <w:sz w:val="21"/>
                <w:szCs w:val="21"/>
              </w:rPr>
            </w:pPr>
            <w:r>
              <w:rPr>
                <w:rFonts w:cs="Times New Roman"/>
                <w:color w:val="auto"/>
                <w:sz w:val="21"/>
                <w:szCs w:val="21"/>
              </w:rPr>
              <w:t>72.9%</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821E81F">
            <w:pPr>
              <w:widowControl/>
              <w:spacing w:line="240" w:lineRule="auto"/>
              <w:jc w:val="center"/>
              <w:rPr>
                <w:rFonts w:cs="Times New Roman"/>
                <w:color w:val="auto"/>
                <w:sz w:val="21"/>
                <w:szCs w:val="21"/>
              </w:rPr>
            </w:pPr>
            <w:r>
              <w:rPr>
                <w:rFonts w:cs="Times New Roman"/>
                <w:color w:val="auto"/>
                <w:sz w:val="21"/>
                <w:szCs w:val="21"/>
              </w:rPr>
              <w:t xml:space="preserve">2.4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C4E8D23">
            <w:pPr>
              <w:widowControl/>
              <w:spacing w:line="240" w:lineRule="auto"/>
              <w:jc w:val="center"/>
              <w:rPr>
                <w:rFonts w:cs="Times New Roman"/>
                <w:color w:val="auto"/>
                <w:sz w:val="21"/>
                <w:szCs w:val="21"/>
              </w:rPr>
            </w:pPr>
            <w:r>
              <w:rPr>
                <w:rFonts w:cs="Times New Roman"/>
                <w:color w:val="auto"/>
                <w:sz w:val="21"/>
                <w:szCs w:val="21"/>
              </w:rPr>
              <w:t xml:space="preserve">21.6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3F97E89">
            <w:pPr>
              <w:widowControl/>
              <w:spacing w:line="240" w:lineRule="auto"/>
              <w:jc w:val="center"/>
              <w:rPr>
                <w:rFonts w:cs="Times New Roman"/>
                <w:color w:val="auto"/>
                <w:sz w:val="21"/>
                <w:szCs w:val="21"/>
              </w:rPr>
            </w:pPr>
            <w:r>
              <w:rPr>
                <w:rFonts w:cs="Times New Roman"/>
                <w:color w:val="auto"/>
                <w:sz w:val="21"/>
                <w:szCs w:val="21"/>
              </w:rPr>
              <w:t xml:space="preserve">24.0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F8A324A">
            <w:pPr>
              <w:widowControl/>
              <w:spacing w:line="240" w:lineRule="auto"/>
              <w:jc w:val="center"/>
              <w:rPr>
                <w:rFonts w:cs="Times New Roman"/>
                <w:color w:val="auto"/>
                <w:sz w:val="21"/>
                <w:szCs w:val="21"/>
              </w:rPr>
            </w:pPr>
            <w:r>
              <w:rPr>
                <w:rFonts w:cs="Times New Roman"/>
                <w:color w:val="auto"/>
                <w:sz w:val="21"/>
                <w:szCs w:val="21"/>
              </w:rPr>
              <w:t xml:space="preserve">53.3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B784E7A">
            <w:pPr>
              <w:widowControl/>
              <w:spacing w:line="240" w:lineRule="auto"/>
              <w:jc w:val="center"/>
              <w:rPr>
                <w:rFonts w:cs="Times New Roman"/>
                <w:color w:val="auto"/>
                <w:sz w:val="21"/>
                <w:szCs w:val="21"/>
              </w:rPr>
            </w:pPr>
            <w:r>
              <w:rPr>
                <w:rFonts w:cs="Times New Roman"/>
                <w:color w:val="auto"/>
                <w:sz w:val="21"/>
                <w:szCs w:val="21"/>
              </w:rPr>
              <w:t xml:space="preserve">41.0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F07363B">
            <w:pPr>
              <w:widowControl/>
              <w:spacing w:line="240" w:lineRule="auto"/>
              <w:jc w:val="center"/>
              <w:rPr>
                <w:rFonts w:cs="Times New Roman"/>
                <w:color w:val="auto"/>
                <w:sz w:val="21"/>
                <w:szCs w:val="21"/>
              </w:rPr>
            </w:pPr>
            <w:r>
              <w:rPr>
                <w:rFonts w:cs="Times New Roman"/>
                <w:color w:val="auto"/>
                <w:sz w:val="21"/>
                <w:szCs w:val="21"/>
              </w:rPr>
              <w:t xml:space="preserve">1.8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DD6E2EA">
            <w:pPr>
              <w:widowControl/>
              <w:spacing w:line="240" w:lineRule="auto"/>
              <w:jc w:val="center"/>
              <w:rPr>
                <w:rFonts w:cs="Times New Roman"/>
                <w:color w:val="auto"/>
                <w:sz w:val="21"/>
                <w:szCs w:val="21"/>
              </w:rPr>
            </w:pPr>
            <w:r>
              <w:rPr>
                <w:rFonts w:cs="Times New Roman"/>
                <w:color w:val="auto"/>
                <w:sz w:val="21"/>
                <w:szCs w:val="21"/>
              </w:rPr>
              <w:t xml:space="preserve">42.8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21C14C8">
            <w:pPr>
              <w:widowControl/>
              <w:spacing w:line="240" w:lineRule="auto"/>
              <w:jc w:val="center"/>
              <w:rPr>
                <w:rFonts w:cs="Times New Roman"/>
                <w:color w:val="auto"/>
                <w:sz w:val="21"/>
                <w:szCs w:val="21"/>
              </w:rPr>
            </w:pPr>
            <w:r>
              <w:rPr>
                <w:rFonts w:cs="Times New Roman"/>
                <w:color w:val="auto"/>
                <w:sz w:val="21"/>
                <w:szCs w:val="21"/>
              </w:rPr>
              <w:t xml:space="preserve">8.1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05DAE7C">
            <w:pPr>
              <w:widowControl/>
              <w:spacing w:line="240" w:lineRule="auto"/>
              <w:jc w:val="center"/>
              <w:rPr>
                <w:rFonts w:cs="Times New Roman"/>
                <w:color w:val="auto"/>
                <w:sz w:val="21"/>
                <w:szCs w:val="21"/>
              </w:rPr>
            </w:pPr>
            <w:r>
              <w:rPr>
                <w:rFonts w:cs="Times New Roman"/>
                <w:color w:val="auto"/>
                <w:sz w:val="21"/>
                <w:szCs w:val="21"/>
              </w:rPr>
              <w:t xml:space="preserve">7.7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EBFD72F">
            <w:pPr>
              <w:widowControl/>
              <w:spacing w:line="240" w:lineRule="auto"/>
              <w:jc w:val="center"/>
              <w:rPr>
                <w:rFonts w:cs="Times New Roman"/>
                <w:color w:val="auto"/>
                <w:sz w:val="21"/>
                <w:szCs w:val="21"/>
              </w:rPr>
            </w:pPr>
            <w:r>
              <w:rPr>
                <w:rFonts w:cs="Times New Roman"/>
                <w:color w:val="auto"/>
                <w:sz w:val="21"/>
                <w:szCs w:val="21"/>
              </w:rPr>
              <w:t xml:space="preserve">15.8 </w:t>
            </w:r>
          </w:p>
        </w:tc>
      </w:tr>
      <w:tr w14:paraId="2F72E7BF">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39D8C5A">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9118BC0">
            <w:pPr>
              <w:widowControl/>
              <w:spacing w:line="240" w:lineRule="auto"/>
              <w:jc w:val="center"/>
              <w:rPr>
                <w:rFonts w:cs="Times New Roman"/>
                <w:color w:val="auto"/>
                <w:sz w:val="21"/>
                <w:szCs w:val="21"/>
              </w:rPr>
            </w:pPr>
            <w:r>
              <w:rPr>
                <w:rFonts w:cs="Times New Roman"/>
                <w:color w:val="auto"/>
                <w:sz w:val="21"/>
                <w:szCs w:val="21"/>
              </w:rPr>
              <w:t>师宗县南盘江下段干流</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6D799467">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FBDD0CF">
            <w:pPr>
              <w:widowControl/>
              <w:spacing w:line="240" w:lineRule="auto"/>
              <w:jc w:val="center"/>
              <w:rPr>
                <w:rFonts w:cs="Times New Roman"/>
                <w:color w:val="auto"/>
                <w:sz w:val="21"/>
                <w:szCs w:val="21"/>
              </w:rPr>
            </w:pPr>
            <w:r>
              <w:rPr>
                <w:rFonts w:cs="Times New Roman"/>
                <w:color w:val="auto"/>
                <w:sz w:val="21"/>
                <w:szCs w:val="21"/>
              </w:rPr>
              <w:t xml:space="preserve">8.9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F759A15">
            <w:pPr>
              <w:widowControl/>
              <w:spacing w:line="240" w:lineRule="auto"/>
              <w:jc w:val="center"/>
              <w:rPr>
                <w:rFonts w:cs="Times New Roman"/>
                <w:color w:val="auto"/>
                <w:sz w:val="21"/>
                <w:szCs w:val="21"/>
              </w:rPr>
            </w:pPr>
            <w:r>
              <w:rPr>
                <w:rFonts w:cs="Times New Roman"/>
                <w:color w:val="auto"/>
                <w:sz w:val="21"/>
                <w:szCs w:val="21"/>
              </w:rPr>
              <w:t xml:space="preserve">0.2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CDB397">
            <w:pPr>
              <w:widowControl/>
              <w:spacing w:line="240" w:lineRule="auto"/>
              <w:jc w:val="center"/>
              <w:rPr>
                <w:rFonts w:cs="Times New Roman"/>
                <w:color w:val="auto"/>
                <w:sz w:val="21"/>
                <w:szCs w:val="21"/>
              </w:rPr>
            </w:pPr>
            <w:r>
              <w:rPr>
                <w:rFonts w:cs="Times New Roman"/>
                <w:color w:val="auto"/>
                <w:sz w:val="21"/>
                <w:szCs w:val="21"/>
              </w:rPr>
              <w:t xml:space="preserve">8.7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E9E417C">
            <w:pPr>
              <w:widowControl/>
              <w:spacing w:line="240" w:lineRule="auto"/>
              <w:jc w:val="center"/>
              <w:rPr>
                <w:rFonts w:cs="Times New Roman"/>
                <w:color w:val="auto"/>
                <w:sz w:val="21"/>
                <w:szCs w:val="21"/>
              </w:rPr>
            </w:pPr>
            <w:r>
              <w:rPr>
                <w:rFonts w:cs="Times New Roman"/>
                <w:color w:val="auto"/>
                <w:sz w:val="21"/>
                <w:szCs w:val="21"/>
              </w:rPr>
              <w:t>2.3%</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6B2127E">
            <w:pPr>
              <w:widowControl/>
              <w:spacing w:line="240" w:lineRule="auto"/>
              <w:jc w:val="center"/>
              <w:rPr>
                <w:rFonts w:cs="Times New Roman"/>
                <w:color w:val="auto"/>
                <w:sz w:val="21"/>
                <w:szCs w:val="21"/>
              </w:rPr>
            </w:pPr>
            <w:r>
              <w:rPr>
                <w:rFonts w:cs="Times New Roman"/>
                <w:color w:val="auto"/>
                <w:sz w:val="21"/>
                <w:szCs w:val="21"/>
              </w:rPr>
              <w:t xml:space="preserve">2.6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FF31293">
            <w:pPr>
              <w:widowControl/>
              <w:spacing w:line="240" w:lineRule="auto"/>
              <w:jc w:val="center"/>
              <w:rPr>
                <w:rFonts w:cs="Times New Roman"/>
                <w:color w:val="auto"/>
                <w:sz w:val="21"/>
                <w:szCs w:val="21"/>
              </w:rPr>
            </w:pPr>
            <w:r>
              <w:rPr>
                <w:rFonts w:cs="Times New Roman"/>
                <w:color w:val="auto"/>
                <w:sz w:val="21"/>
                <w:szCs w:val="21"/>
              </w:rPr>
              <w:t xml:space="preserve">15.5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ED210A0">
            <w:pPr>
              <w:widowControl/>
              <w:spacing w:line="240" w:lineRule="auto"/>
              <w:jc w:val="center"/>
              <w:rPr>
                <w:rFonts w:cs="Times New Roman"/>
                <w:color w:val="auto"/>
                <w:sz w:val="21"/>
                <w:szCs w:val="21"/>
              </w:rPr>
            </w:pPr>
            <w:r>
              <w:rPr>
                <w:rFonts w:cs="Times New Roman"/>
                <w:color w:val="auto"/>
                <w:sz w:val="21"/>
                <w:szCs w:val="21"/>
              </w:rPr>
              <w:t xml:space="preserve">18.1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8FD50ED">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773438E">
            <w:pPr>
              <w:widowControl/>
              <w:spacing w:line="240" w:lineRule="auto"/>
              <w:jc w:val="center"/>
              <w:rPr>
                <w:rFonts w:cs="Times New Roman"/>
                <w:color w:val="auto"/>
                <w:sz w:val="21"/>
                <w:szCs w:val="21"/>
              </w:rPr>
            </w:pPr>
            <w:r>
              <w:rPr>
                <w:rFonts w:cs="Times New Roman"/>
                <w:color w:val="auto"/>
                <w:sz w:val="21"/>
                <w:szCs w:val="21"/>
              </w:rPr>
              <w:t xml:space="preserve">23.9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F43D397">
            <w:pPr>
              <w:widowControl/>
              <w:spacing w:line="240" w:lineRule="auto"/>
              <w:jc w:val="center"/>
              <w:rPr>
                <w:rFonts w:cs="Times New Roman"/>
                <w:color w:val="auto"/>
                <w:sz w:val="21"/>
                <w:szCs w:val="21"/>
              </w:rPr>
            </w:pPr>
            <w:r>
              <w:rPr>
                <w:rFonts w:cs="Times New Roman"/>
                <w:color w:val="auto"/>
                <w:sz w:val="21"/>
                <w:szCs w:val="21"/>
              </w:rPr>
              <w:t xml:space="preserve">2.0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4511233">
            <w:pPr>
              <w:widowControl/>
              <w:spacing w:line="240" w:lineRule="auto"/>
              <w:jc w:val="center"/>
              <w:rPr>
                <w:rFonts w:cs="Times New Roman"/>
                <w:color w:val="auto"/>
                <w:sz w:val="21"/>
                <w:szCs w:val="21"/>
              </w:rPr>
            </w:pPr>
            <w:r>
              <w:rPr>
                <w:rFonts w:cs="Times New Roman"/>
                <w:color w:val="auto"/>
                <w:sz w:val="21"/>
                <w:szCs w:val="21"/>
              </w:rPr>
              <w:t xml:space="preserve">25.9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749D8AA">
            <w:pPr>
              <w:widowControl/>
              <w:spacing w:line="240" w:lineRule="auto"/>
              <w:jc w:val="center"/>
              <w:rPr>
                <w:rFonts w:cs="Times New Roman"/>
                <w:color w:val="auto"/>
                <w:sz w:val="21"/>
                <w:szCs w:val="21"/>
              </w:rPr>
            </w:pPr>
            <w:r>
              <w:rPr>
                <w:rFonts w:cs="Times New Roman"/>
                <w:color w:val="auto"/>
                <w:sz w:val="21"/>
                <w:szCs w:val="21"/>
              </w:rPr>
              <w:t xml:space="preserve">3.0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A03B43">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D379554">
            <w:pPr>
              <w:widowControl/>
              <w:spacing w:line="240" w:lineRule="auto"/>
              <w:jc w:val="center"/>
              <w:rPr>
                <w:rFonts w:cs="Times New Roman"/>
                <w:color w:val="auto"/>
                <w:sz w:val="21"/>
                <w:szCs w:val="21"/>
              </w:rPr>
            </w:pPr>
            <w:r>
              <w:rPr>
                <w:rFonts w:cs="Times New Roman"/>
                <w:color w:val="auto"/>
                <w:sz w:val="21"/>
                <w:szCs w:val="21"/>
              </w:rPr>
              <w:t xml:space="preserve">3.0 </w:t>
            </w:r>
          </w:p>
        </w:tc>
      </w:tr>
      <w:tr w14:paraId="268CE6F0">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63834C6">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0997BAB">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5840E0F4">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5DC340D">
            <w:pPr>
              <w:widowControl/>
              <w:spacing w:line="240" w:lineRule="auto"/>
              <w:jc w:val="center"/>
              <w:rPr>
                <w:rFonts w:cs="Times New Roman"/>
                <w:color w:val="auto"/>
                <w:sz w:val="21"/>
                <w:szCs w:val="21"/>
              </w:rPr>
            </w:pPr>
            <w:r>
              <w:rPr>
                <w:rFonts w:cs="Times New Roman"/>
                <w:color w:val="auto"/>
                <w:sz w:val="21"/>
                <w:szCs w:val="21"/>
              </w:rPr>
              <w:t xml:space="preserve">9.0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DCE3A85">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09CDE3D">
            <w:pPr>
              <w:widowControl/>
              <w:spacing w:line="240" w:lineRule="auto"/>
              <w:jc w:val="center"/>
              <w:rPr>
                <w:rFonts w:cs="Times New Roman"/>
                <w:color w:val="auto"/>
                <w:sz w:val="21"/>
                <w:szCs w:val="21"/>
              </w:rPr>
            </w:pPr>
            <w:r>
              <w:rPr>
                <w:rFonts w:cs="Times New Roman"/>
                <w:color w:val="auto"/>
                <w:sz w:val="21"/>
                <w:szCs w:val="21"/>
              </w:rPr>
              <w:t xml:space="preserve">8.7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54A5E9D">
            <w:pPr>
              <w:widowControl/>
              <w:spacing w:line="240" w:lineRule="auto"/>
              <w:jc w:val="center"/>
              <w:rPr>
                <w:rFonts w:cs="Times New Roman"/>
                <w:color w:val="auto"/>
                <w:sz w:val="21"/>
                <w:szCs w:val="21"/>
              </w:rPr>
            </w:pPr>
            <w:r>
              <w:rPr>
                <w:rFonts w:cs="Times New Roman"/>
                <w:color w:val="auto"/>
                <w:sz w:val="21"/>
                <w:szCs w:val="21"/>
              </w:rPr>
              <w:t>3.5%</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0E26F32">
            <w:pPr>
              <w:widowControl/>
              <w:spacing w:line="240" w:lineRule="auto"/>
              <w:jc w:val="center"/>
              <w:rPr>
                <w:rFonts w:cs="Times New Roman"/>
                <w:color w:val="auto"/>
                <w:sz w:val="21"/>
                <w:szCs w:val="21"/>
              </w:rPr>
            </w:pPr>
            <w:r>
              <w:rPr>
                <w:rFonts w:cs="Times New Roman"/>
                <w:color w:val="auto"/>
                <w:sz w:val="21"/>
                <w:szCs w:val="21"/>
              </w:rPr>
              <w:t xml:space="preserve">2.9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089028">
            <w:pPr>
              <w:widowControl/>
              <w:spacing w:line="240" w:lineRule="auto"/>
              <w:jc w:val="center"/>
              <w:rPr>
                <w:rFonts w:cs="Times New Roman"/>
                <w:color w:val="auto"/>
                <w:sz w:val="21"/>
                <w:szCs w:val="21"/>
              </w:rPr>
            </w:pPr>
            <w:r>
              <w:rPr>
                <w:rFonts w:cs="Times New Roman"/>
                <w:color w:val="auto"/>
                <w:sz w:val="21"/>
                <w:szCs w:val="21"/>
              </w:rPr>
              <w:t xml:space="preserve">18.9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A5D9476">
            <w:pPr>
              <w:widowControl/>
              <w:spacing w:line="240" w:lineRule="auto"/>
              <w:jc w:val="center"/>
              <w:rPr>
                <w:rFonts w:cs="Times New Roman"/>
                <w:color w:val="auto"/>
                <w:sz w:val="21"/>
                <w:szCs w:val="21"/>
              </w:rPr>
            </w:pPr>
            <w:r>
              <w:rPr>
                <w:rFonts w:cs="Times New Roman"/>
                <w:color w:val="auto"/>
                <w:sz w:val="21"/>
                <w:szCs w:val="21"/>
              </w:rPr>
              <w:t xml:space="preserve">21.8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433CCAA">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21ECB23">
            <w:pPr>
              <w:widowControl/>
              <w:spacing w:line="240" w:lineRule="auto"/>
              <w:jc w:val="center"/>
              <w:rPr>
                <w:rFonts w:cs="Times New Roman"/>
                <w:color w:val="auto"/>
                <w:sz w:val="21"/>
                <w:szCs w:val="21"/>
              </w:rPr>
            </w:pPr>
            <w:r>
              <w:rPr>
                <w:rFonts w:cs="Times New Roman"/>
                <w:color w:val="auto"/>
                <w:sz w:val="21"/>
                <w:szCs w:val="21"/>
              </w:rPr>
              <w:t xml:space="preserve">23.9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52B9AC5">
            <w:pPr>
              <w:widowControl/>
              <w:spacing w:line="240" w:lineRule="auto"/>
              <w:jc w:val="center"/>
              <w:rPr>
                <w:rFonts w:cs="Times New Roman"/>
                <w:color w:val="auto"/>
                <w:sz w:val="21"/>
                <w:szCs w:val="21"/>
              </w:rPr>
            </w:pPr>
            <w:r>
              <w:rPr>
                <w:rFonts w:cs="Times New Roman"/>
                <w:color w:val="auto"/>
                <w:sz w:val="21"/>
                <w:szCs w:val="21"/>
              </w:rPr>
              <w:t xml:space="preserve">2.0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81C8D8">
            <w:pPr>
              <w:widowControl/>
              <w:spacing w:line="240" w:lineRule="auto"/>
              <w:jc w:val="center"/>
              <w:rPr>
                <w:rFonts w:cs="Times New Roman"/>
                <w:color w:val="auto"/>
                <w:sz w:val="21"/>
                <w:szCs w:val="21"/>
              </w:rPr>
            </w:pPr>
            <w:r>
              <w:rPr>
                <w:rFonts w:cs="Times New Roman"/>
                <w:color w:val="auto"/>
                <w:sz w:val="21"/>
                <w:szCs w:val="21"/>
              </w:rPr>
              <w:t xml:space="preserve">25.9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645155A">
            <w:pPr>
              <w:widowControl/>
              <w:spacing w:line="240" w:lineRule="auto"/>
              <w:jc w:val="center"/>
              <w:rPr>
                <w:rFonts w:cs="Times New Roman"/>
                <w:color w:val="auto"/>
                <w:sz w:val="21"/>
                <w:szCs w:val="21"/>
              </w:rPr>
            </w:pPr>
            <w:r>
              <w:rPr>
                <w:rFonts w:cs="Times New Roman"/>
                <w:color w:val="auto"/>
                <w:sz w:val="21"/>
                <w:szCs w:val="21"/>
              </w:rPr>
              <w:t xml:space="preserve">5.3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0BA353B">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3C9AF3B">
            <w:pPr>
              <w:widowControl/>
              <w:spacing w:line="240" w:lineRule="auto"/>
              <w:jc w:val="center"/>
              <w:rPr>
                <w:rFonts w:cs="Times New Roman"/>
                <w:color w:val="auto"/>
                <w:sz w:val="21"/>
                <w:szCs w:val="21"/>
              </w:rPr>
            </w:pPr>
            <w:r>
              <w:rPr>
                <w:rFonts w:cs="Times New Roman"/>
                <w:color w:val="auto"/>
                <w:sz w:val="21"/>
                <w:szCs w:val="21"/>
              </w:rPr>
              <w:t xml:space="preserve">5.3 </w:t>
            </w:r>
          </w:p>
        </w:tc>
      </w:tr>
      <w:tr w14:paraId="6247BE6E">
        <w:tblPrEx>
          <w:tblCellMar>
            <w:top w:w="0" w:type="dxa"/>
            <w:left w:w="108" w:type="dxa"/>
            <w:bottom w:w="0" w:type="dxa"/>
            <w:right w:w="108" w:type="dxa"/>
          </w:tblCellMar>
        </w:tblPrEx>
        <w:trPr>
          <w:trHeight w:val="330" w:hRule="atLeast"/>
        </w:trPr>
        <w:tc>
          <w:tcPr>
            <w:tcW w:w="212"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33E8A71">
            <w:pPr>
              <w:widowControl/>
              <w:spacing w:line="240" w:lineRule="auto"/>
              <w:jc w:val="center"/>
              <w:rPr>
                <w:rFonts w:cs="Times New Roman"/>
                <w:color w:val="auto"/>
                <w:sz w:val="21"/>
                <w:szCs w:val="21"/>
              </w:rPr>
            </w:pPr>
            <w:r>
              <w:rPr>
                <w:rFonts w:cs="Times New Roman"/>
                <w:color w:val="auto"/>
                <w:sz w:val="21"/>
                <w:szCs w:val="21"/>
              </w:rPr>
              <w:t>罗平县</w:t>
            </w: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D9FEEE7">
            <w:pPr>
              <w:widowControl/>
              <w:spacing w:line="240" w:lineRule="auto"/>
              <w:jc w:val="center"/>
              <w:rPr>
                <w:rFonts w:cs="Times New Roman"/>
                <w:color w:val="auto"/>
                <w:sz w:val="21"/>
                <w:szCs w:val="21"/>
              </w:rPr>
            </w:pPr>
            <w:r>
              <w:rPr>
                <w:rFonts w:cs="Times New Roman"/>
                <w:color w:val="auto"/>
                <w:sz w:val="21"/>
                <w:szCs w:val="21"/>
              </w:rPr>
              <w:t>罗平县黄泥河阿岗片</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01D2D9AA">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46B7AC3">
            <w:pPr>
              <w:widowControl/>
              <w:spacing w:line="240" w:lineRule="auto"/>
              <w:jc w:val="center"/>
              <w:rPr>
                <w:rFonts w:cs="Times New Roman"/>
                <w:color w:val="auto"/>
                <w:sz w:val="21"/>
                <w:szCs w:val="21"/>
              </w:rPr>
            </w:pPr>
            <w:r>
              <w:rPr>
                <w:rFonts w:cs="Times New Roman"/>
                <w:color w:val="auto"/>
                <w:sz w:val="21"/>
                <w:szCs w:val="21"/>
              </w:rPr>
              <w:t xml:space="preserve">8.5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130E9A3">
            <w:pPr>
              <w:widowControl/>
              <w:spacing w:line="240" w:lineRule="auto"/>
              <w:jc w:val="center"/>
              <w:rPr>
                <w:rFonts w:cs="Times New Roman"/>
                <w:color w:val="auto"/>
                <w:sz w:val="21"/>
                <w:szCs w:val="21"/>
              </w:rPr>
            </w:pPr>
            <w:r>
              <w:rPr>
                <w:rFonts w:cs="Times New Roman"/>
                <w:color w:val="auto"/>
                <w:sz w:val="21"/>
                <w:szCs w:val="21"/>
              </w:rPr>
              <w:t xml:space="preserve">1.7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F15D24F">
            <w:pPr>
              <w:widowControl/>
              <w:spacing w:line="240" w:lineRule="auto"/>
              <w:jc w:val="center"/>
              <w:rPr>
                <w:rFonts w:cs="Times New Roman"/>
                <w:color w:val="auto"/>
                <w:sz w:val="21"/>
                <w:szCs w:val="21"/>
              </w:rPr>
            </w:pPr>
            <w:r>
              <w:rPr>
                <w:rFonts w:cs="Times New Roman"/>
                <w:color w:val="auto"/>
                <w:sz w:val="21"/>
                <w:szCs w:val="21"/>
              </w:rPr>
              <w:t xml:space="preserve">6.7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B0955F7">
            <w:pPr>
              <w:widowControl/>
              <w:spacing w:line="240" w:lineRule="auto"/>
              <w:jc w:val="center"/>
              <w:rPr>
                <w:rFonts w:cs="Times New Roman"/>
                <w:color w:val="auto"/>
                <w:sz w:val="21"/>
                <w:szCs w:val="21"/>
              </w:rPr>
            </w:pPr>
            <w:r>
              <w:rPr>
                <w:rFonts w:cs="Times New Roman"/>
                <w:color w:val="auto"/>
                <w:sz w:val="21"/>
                <w:szCs w:val="21"/>
              </w:rPr>
              <w:t>20.4%</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049C879">
            <w:pPr>
              <w:widowControl/>
              <w:spacing w:line="240" w:lineRule="auto"/>
              <w:jc w:val="center"/>
              <w:rPr>
                <w:rFonts w:cs="Times New Roman"/>
                <w:color w:val="auto"/>
                <w:sz w:val="21"/>
                <w:szCs w:val="21"/>
              </w:rPr>
            </w:pPr>
            <w:r>
              <w:rPr>
                <w:rFonts w:cs="Times New Roman"/>
                <w:color w:val="auto"/>
                <w:sz w:val="21"/>
                <w:szCs w:val="21"/>
              </w:rPr>
              <w:t xml:space="preserve">1.4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5A59A78">
            <w:pPr>
              <w:widowControl/>
              <w:spacing w:line="240" w:lineRule="auto"/>
              <w:jc w:val="center"/>
              <w:rPr>
                <w:rFonts w:cs="Times New Roman"/>
                <w:color w:val="auto"/>
                <w:sz w:val="21"/>
                <w:szCs w:val="21"/>
              </w:rPr>
            </w:pPr>
            <w:r>
              <w:rPr>
                <w:rFonts w:cs="Times New Roman"/>
                <w:color w:val="auto"/>
                <w:sz w:val="21"/>
                <w:szCs w:val="21"/>
              </w:rPr>
              <w:t xml:space="preserve">13.9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A2555C">
            <w:pPr>
              <w:widowControl/>
              <w:spacing w:line="240" w:lineRule="auto"/>
              <w:jc w:val="center"/>
              <w:rPr>
                <w:rFonts w:cs="Times New Roman"/>
                <w:color w:val="auto"/>
                <w:sz w:val="21"/>
                <w:szCs w:val="21"/>
              </w:rPr>
            </w:pPr>
            <w:r>
              <w:rPr>
                <w:rFonts w:cs="Times New Roman"/>
                <w:color w:val="auto"/>
                <w:sz w:val="21"/>
                <w:szCs w:val="21"/>
              </w:rPr>
              <w:t xml:space="preserve">15.3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5FD6F38">
            <w:pPr>
              <w:widowControl/>
              <w:spacing w:line="240" w:lineRule="auto"/>
              <w:jc w:val="center"/>
              <w:rPr>
                <w:rFonts w:cs="Times New Roman"/>
                <w:color w:val="auto"/>
                <w:sz w:val="21"/>
                <w:szCs w:val="21"/>
              </w:rPr>
            </w:pPr>
            <w:r>
              <w:rPr>
                <w:rFonts w:cs="Times New Roman"/>
                <w:color w:val="auto"/>
                <w:sz w:val="21"/>
                <w:szCs w:val="21"/>
              </w:rPr>
              <w:t xml:space="preserve">5.3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481E685">
            <w:pPr>
              <w:widowControl/>
              <w:spacing w:line="240" w:lineRule="auto"/>
              <w:jc w:val="center"/>
              <w:rPr>
                <w:rFonts w:cs="Times New Roman"/>
                <w:color w:val="auto"/>
                <w:sz w:val="21"/>
                <w:szCs w:val="21"/>
              </w:rPr>
            </w:pPr>
            <w:r>
              <w:rPr>
                <w:rFonts w:cs="Times New Roman"/>
                <w:color w:val="auto"/>
                <w:sz w:val="21"/>
                <w:szCs w:val="21"/>
              </w:rPr>
              <w:t xml:space="preserve">30.2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6A194A3">
            <w:pPr>
              <w:widowControl/>
              <w:spacing w:line="240" w:lineRule="auto"/>
              <w:jc w:val="center"/>
              <w:rPr>
                <w:rFonts w:cs="Times New Roman"/>
                <w:color w:val="auto"/>
                <w:sz w:val="21"/>
                <w:szCs w:val="21"/>
              </w:rPr>
            </w:pPr>
            <w:r>
              <w:rPr>
                <w:rFonts w:cs="Times New Roman"/>
                <w:color w:val="auto"/>
                <w:sz w:val="21"/>
                <w:szCs w:val="21"/>
              </w:rPr>
              <w:t xml:space="preserve">0.4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1AF2912">
            <w:pPr>
              <w:widowControl/>
              <w:spacing w:line="240" w:lineRule="auto"/>
              <w:jc w:val="center"/>
              <w:rPr>
                <w:rFonts w:cs="Times New Roman"/>
                <w:color w:val="auto"/>
                <w:sz w:val="21"/>
                <w:szCs w:val="21"/>
              </w:rPr>
            </w:pPr>
            <w:r>
              <w:rPr>
                <w:rFonts w:cs="Times New Roman"/>
                <w:color w:val="auto"/>
                <w:sz w:val="21"/>
                <w:szCs w:val="21"/>
              </w:rPr>
              <w:t xml:space="preserve">30.6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7C03E59">
            <w:pPr>
              <w:widowControl/>
              <w:spacing w:line="240" w:lineRule="auto"/>
              <w:jc w:val="center"/>
              <w:rPr>
                <w:rFonts w:cs="Times New Roman"/>
                <w:color w:val="auto"/>
                <w:sz w:val="21"/>
                <w:szCs w:val="21"/>
              </w:rPr>
            </w:pPr>
            <w:r>
              <w:rPr>
                <w:rFonts w:cs="Times New Roman"/>
                <w:color w:val="auto"/>
                <w:sz w:val="21"/>
                <w:szCs w:val="21"/>
              </w:rPr>
              <w:t xml:space="preserve">13.7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C747168">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8B46AA">
            <w:pPr>
              <w:widowControl/>
              <w:spacing w:line="240" w:lineRule="auto"/>
              <w:jc w:val="center"/>
              <w:rPr>
                <w:rFonts w:cs="Times New Roman"/>
                <w:color w:val="auto"/>
                <w:sz w:val="21"/>
                <w:szCs w:val="21"/>
              </w:rPr>
            </w:pPr>
            <w:r>
              <w:rPr>
                <w:rFonts w:cs="Times New Roman"/>
                <w:color w:val="auto"/>
                <w:sz w:val="21"/>
                <w:szCs w:val="21"/>
              </w:rPr>
              <w:t xml:space="preserve">13.7 </w:t>
            </w:r>
          </w:p>
        </w:tc>
      </w:tr>
      <w:tr w14:paraId="07D84FD1">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9427890">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C6261B3">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4DE3E133">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05430E">
            <w:pPr>
              <w:widowControl/>
              <w:spacing w:line="240" w:lineRule="auto"/>
              <w:jc w:val="center"/>
              <w:rPr>
                <w:rFonts w:cs="Times New Roman"/>
                <w:color w:val="auto"/>
                <w:sz w:val="21"/>
                <w:szCs w:val="21"/>
              </w:rPr>
            </w:pPr>
            <w:r>
              <w:rPr>
                <w:rFonts w:cs="Times New Roman"/>
                <w:color w:val="auto"/>
                <w:sz w:val="21"/>
                <w:szCs w:val="21"/>
              </w:rPr>
              <w:t xml:space="preserve">9.1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E0CDE67">
            <w:pPr>
              <w:widowControl/>
              <w:spacing w:line="240" w:lineRule="auto"/>
              <w:jc w:val="center"/>
              <w:rPr>
                <w:rFonts w:cs="Times New Roman"/>
                <w:color w:val="auto"/>
                <w:sz w:val="21"/>
                <w:szCs w:val="21"/>
              </w:rPr>
            </w:pPr>
            <w:r>
              <w:rPr>
                <w:rFonts w:cs="Times New Roman"/>
                <w:color w:val="auto"/>
                <w:sz w:val="21"/>
                <w:szCs w:val="21"/>
              </w:rPr>
              <w:t xml:space="preserve">2.2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36A9020">
            <w:pPr>
              <w:widowControl/>
              <w:spacing w:line="240" w:lineRule="auto"/>
              <w:jc w:val="center"/>
              <w:rPr>
                <w:rFonts w:cs="Times New Roman"/>
                <w:color w:val="auto"/>
                <w:sz w:val="21"/>
                <w:szCs w:val="21"/>
              </w:rPr>
            </w:pPr>
            <w:r>
              <w:rPr>
                <w:rFonts w:cs="Times New Roman"/>
                <w:color w:val="auto"/>
                <w:sz w:val="21"/>
                <w:szCs w:val="21"/>
              </w:rPr>
              <w:t xml:space="preserve">7.0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5686EB3">
            <w:pPr>
              <w:widowControl/>
              <w:spacing w:line="240" w:lineRule="auto"/>
              <w:jc w:val="center"/>
              <w:rPr>
                <w:rFonts w:cs="Times New Roman"/>
                <w:color w:val="auto"/>
                <w:sz w:val="21"/>
                <w:szCs w:val="21"/>
              </w:rPr>
            </w:pPr>
            <w:r>
              <w:rPr>
                <w:rFonts w:cs="Times New Roman"/>
                <w:color w:val="auto"/>
                <w:sz w:val="21"/>
                <w:szCs w:val="21"/>
              </w:rPr>
              <w:t>23.8%</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6F38055">
            <w:pPr>
              <w:widowControl/>
              <w:spacing w:line="240" w:lineRule="auto"/>
              <w:jc w:val="center"/>
              <w:rPr>
                <w:rFonts w:cs="Times New Roman"/>
                <w:color w:val="auto"/>
                <w:sz w:val="21"/>
                <w:szCs w:val="21"/>
              </w:rPr>
            </w:pPr>
            <w:r>
              <w:rPr>
                <w:rFonts w:cs="Times New Roman"/>
                <w:color w:val="auto"/>
                <w:sz w:val="21"/>
                <w:szCs w:val="21"/>
              </w:rPr>
              <w:t xml:space="preserve">1.5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412B780">
            <w:pPr>
              <w:widowControl/>
              <w:spacing w:line="240" w:lineRule="auto"/>
              <w:jc w:val="center"/>
              <w:rPr>
                <w:rFonts w:cs="Times New Roman"/>
                <w:color w:val="auto"/>
                <w:sz w:val="21"/>
                <w:szCs w:val="21"/>
              </w:rPr>
            </w:pPr>
            <w:r>
              <w:rPr>
                <w:rFonts w:cs="Times New Roman"/>
                <w:color w:val="auto"/>
                <w:sz w:val="21"/>
                <w:szCs w:val="21"/>
              </w:rPr>
              <w:t xml:space="preserve">15.8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05808D5">
            <w:pPr>
              <w:widowControl/>
              <w:spacing w:line="240" w:lineRule="auto"/>
              <w:jc w:val="center"/>
              <w:rPr>
                <w:rFonts w:cs="Times New Roman"/>
                <w:color w:val="auto"/>
                <w:sz w:val="21"/>
                <w:szCs w:val="21"/>
              </w:rPr>
            </w:pPr>
            <w:r>
              <w:rPr>
                <w:rFonts w:cs="Times New Roman"/>
                <w:color w:val="auto"/>
                <w:sz w:val="21"/>
                <w:szCs w:val="21"/>
              </w:rPr>
              <w:t xml:space="preserve">17.3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C606477">
            <w:pPr>
              <w:widowControl/>
              <w:spacing w:line="240" w:lineRule="auto"/>
              <w:jc w:val="center"/>
              <w:rPr>
                <w:rFonts w:cs="Times New Roman"/>
                <w:color w:val="auto"/>
                <w:sz w:val="21"/>
                <w:szCs w:val="21"/>
              </w:rPr>
            </w:pPr>
            <w:r>
              <w:rPr>
                <w:rFonts w:cs="Times New Roman"/>
                <w:color w:val="auto"/>
                <w:sz w:val="21"/>
                <w:szCs w:val="21"/>
              </w:rPr>
              <w:t xml:space="preserve">11.8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107B8C0">
            <w:pPr>
              <w:widowControl/>
              <w:spacing w:line="240" w:lineRule="auto"/>
              <w:jc w:val="center"/>
              <w:rPr>
                <w:rFonts w:cs="Times New Roman"/>
                <w:color w:val="auto"/>
                <w:sz w:val="21"/>
                <w:szCs w:val="21"/>
              </w:rPr>
            </w:pPr>
            <w:r>
              <w:rPr>
                <w:rFonts w:cs="Times New Roman"/>
                <w:color w:val="auto"/>
                <w:sz w:val="21"/>
                <w:szCs w:val="21"/>
              </w:rPr>
              <w:t xml:space="preserve">29.4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04C763">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128F084">
            <w:pPr>
              <w:widowControl/>
              <w:spacing w:line="240" w:lineRule="auto"/>
              <w:jc w:val="center"/>
              <w:rPr>
                <w:rFonts w:cs="Times New Roman"/>
                <w:color w:val="auto"/>
                <w:sz w:val="21"/>
                <w:szCs w:val="21"/>
              </w:rPr>
            </w:pPr>
            <w:r>
              <w:rPr>
                <w:rFonts w:cs="Times New Roman"/>
                <w:color w:val="auto"/>
                <w:sz w:val="21"/>
                <w:szCs w:val="21"/>
              </w:rPr>
              <w:t xml:space="preserve">29.8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3DBA207">
            <w:pPr>
              <w:widowControl/>
              <w:spacing w:line="240" w:lineRule="auto"/>
              <w:jc w:val="center"/>
              <w:rPr>
                <w:rFonts w:cs="Times New Roman"/>
                <w:color w:val="auto"/>
                <w:sz w:val="21"/>
                <w:szCs w:val="21"/>
              </w:rPr>
            </w:pPr>
            <w:r>
              <w:rPr>
                <w:rFonts w:cs="Times New Roman"/>
                <w:color w:val="auto"/>
                <w:sz w:val="21"/>
                <w:szCs w:val="21"/>
              </w:rPr>
              <w:t xml:space="preserve">11.4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1C7E0A8">
            <w:pPr>
              <w:widowControl/>
              <w:spacing w:line="240" w:lineRule="auto"/>
              <w:jc w:val="center"/>
              <w:rPr>
                <w:rFonts w:cs="Times New Roman"/>
                <w:color w:val="auto"/>
                <w:sz w:val="21"/>
                <w:szCs w:val="21"/>
              </w:rPr>
            </w:pPr>
            <w:r>
              <w:rPr>
                <w:rFonts w:cs="Times New Roman"/>
                <w:color w:val="auto"/>
                <w:sz w:val="21"/>
                <w:szCs w:val="21"/>
              </w:rPr>
              <w:t xml:space="preserve">4.2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DC80155">
            <w:pPr>
              <w:widowControl/>
              <w:spacing w:line="240" w:lineRule="auto"/>
              <w:jc w:val="center"/>
              <w:rPr>
                <w:rFonts w:cs="Times New Roman"/>
                <w:color w:val="auto"/>
                <w:sz w:val="21"/>
                <w:szCs w:val="21"/>
              </w:rPr>
            </w:pPr>
            <w:r>
              <w:rPr>
                <w:rFonts w:cs="Times New Roman"/>
                <w:color w:val="auto"/>
                <w:sz w:val="21"/>
                <w:szCs w:val="21"/>
              </w:rPr>
              <w:t xml:space="preserve">15.6 </w:t>
            </w:r>
          </w:p>
        </w:tc>
      </w:tr>
      <w:tr w14:paraId="0224B0C0">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F835687">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4D6291B">
            <w:pPr>
              <w:widowControl/>
              <w:spacing w:line="240" w:lineRule="auto"/>
              <w:jc w:val="center"/>
              <w:rPr>
                <w:rFonts w:cs="Times New Roman"/>
                <w:color w:val="auto"/>
                <w:sz w:val="21"/>
                <w:szCs w:val="21"/>
              </w:rPr>
            </w:pPr>
            <w:r>
              <w:rPr>
                <w:rFonts w:cs="Times New Roman"/>
                <w:color w:val="auto"/>
                <w:sz w:val="21"/>
                <w:szCs w:val="21"/>
              </w:rPr>
              <w:t>罗平县黄泥河板桥片</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073DD4B5">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2F7A08">
            <w:pPr>
              <w:widowControl/>
              <w:spacing w:line="240" w:lineRule="auto"/>
              <w:jc w:val="center"/>
              <w:rPr>
                <w:rFonts w:cs="Times New Roman"/>
                <w:color w:val="auto"/>
                <w:sz w:val="21"/>
                <w:szCs w:val="21"/>
              </w:rPr>
            </w:pPr>
            <w:r>
              <w:rPr>
                <w:rFonts w:cs="Times New Roman"/>
                <w:color w:val="auto"/>
                <w:sz w:val="21"/>
                <w:szCs w:val="21"/>
              </w:rPr>
              <w:t xml:space="preserve">15.3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17F4C2F">
            <w:pPr>
              <w:widowControl/>
              <w:spacing w:line="240" w:lineRule="auto"/>
              <w:jc w:val="center"/>
              <w:rPr>
                <w:rFonts w:cs="Times New Roman"/>
                <w:color w:val="auto"/>
                <w:sz w:val="21"/>
                <w:szCs w:val="21"/>
              </w:rPr>
            </w:pPr>
            <w:r>
              <w:rPr>
                <w:rFonts w:cs="Times New Roman"/>
                <w:color w:val="auto"/>
                <w:sz w:val="21"/>
                <w:szCs w:val="21"/>
              </w:rPr>
              <w:t xml:space="preserve">5.2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1B43DDF">
            <w:pPr>
              <w:widowControl/>
              <w:spacing w:line="240" w:lineRule="auto"/>
              <w:jc w:val="center"/>
              <w:rPr>
                <w:rFonts w:cs="Times New Roman"/>
                <w:color w:val="auto"/>
                <w:sz w:val="21"/>
                <w:szCs w:val="21"/>
              </w:rPr>
            </w:pPr>
            <w:r>
              <w:rPr>
                <w:rFonts w:cs="Times New Roman"/>
                <w:color w:val="auto"/>
                <w:sz w:val="21"/>
                <w:szCs w:val="21"/>
              </w:rPr>
              <w:t xml:space="preserve">10.1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84FCE94">
            <w:pPr>
              <w:widowControl/>
              <w:spacing w:line="240" w:lineRule="auto"/>
              <w:jc w:val="center"/>
              <w:rPr>
                <w:rFonts w:cs="Times New Roman"/>
                <w:color w:val="auto"/>
                <w:sz w:val="21"/>
                <w:szCs w:val="21"/>
              </w:rPr>
            </w:pPr>
            <w:r>
              <w:rPr>
                <w:rFonts w:cs="Times New Roman"/>
                <w:color w:val="auto"/>
                <w:sz w:val="21"/>
                <w:szCs w:val="21"/>
              </w:rPr>
              <w:t>34.2%</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507A8C9">
            <w:pPr>
              <w:widowControl/>
              <w:spacing w:line="240" w:lineRule="auto"/>
              <w:jc w:val="center"/>
              <w:rPr>
                <w:rFonts w:cs="Times New Roman"/>
                <w:color w:val="auto"/>
                <w:sz w:val="21"/>
                <w:szCs w:val="21"/>
              </w:rPr>
            </w:pPr>
            <w:r>
              <w:rPr>
                <w:rFonts w:cs="Times New Roman"/>
                <w:color w:val="auto"/>
                <w:sz w:val="21"/>
                <w:szCs w:val="21"/>
              </w:rPr>
              <w:t xml:space="preserve">2.4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3E25395">
            <w:pPr>
              <w:widowControl/>
              <w:spacing w:line="240" w:lineRule="auto"/>
              <w:jc w:val="center"/>
              <w:rPr>
                <w:rFonts w:cs="Times New Roman"/>
                <w:color w:val="auto"/>
                <w:sz w:val="21"/>
                <w:szCs w:val="21"/>
              </w:rPr>
            </w:pPr>
            <w:r>
              <w:rPr>
                <w:rFonts w:cs="Times New Roman"/>
                <w:color w:val="auto"/>
                <w:sz w:val="21"/>
                <w:szCs w:val="21"/>
              </w:rPr>
              <w:t xml:space="preserve">24.4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0C61949">
            <w:pPr>
              <w:widowControl/>
              <w:spacing w:line="240" w:lineRule="auto"/>
              <w:jc w:val="center"/>
              <w:rPr>
                <w:rFonts w:cs="Times New Roman"/>
                <w:color w:val="auto"/>
                <w:sz w:val="21"/>
                <w:szCs w:val="21"/>
              </w:rPr>
            </w:pPr>
            <w:r>
              <w:rPr>
                <w:rFonts w:cs="Times New Roman"/>
                <w:color w:val="auto"/>
                <w:sz w:val="21"/>
                <w:szCs w:val="21"/>
              </w:rPr>
              <w:t xml:space="preserve">26.7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F950F2C">
            <w:pPr>
              <w:widowControl/>
              <w:spacing w:line="240" w:lineRule="auto"/>
              <w:jc w:val="center"/>
              <w:rPr>
                <w:rFonts w:cs="Times New Roman"/>
                <w:color w:val="auto"/>
                <w:sz w:val="21"/>
                <w:szCs w:val="21"/>
              </w:rPr>
            </w:pPr>
            <w:r>
              <w:rPr>
                <w:rFonts w:cs="Times New Roman"/>
                <w:color w:val="auto"/>
                <w:sz w:val="21"/>
                <w:szCs w:val="21"/>
              </w:rPr>
              <w:t xml:space="preserve">1.1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4E62BAD">
            <w:pPr>
              <w:widowControl/>
              <w:spacing w:line="240" w:lineRule="auto"/>
              <w:jc w:val="center"/>
              <w:rPr>
                <w:rFonts w:cs="Times New Roman"/>
                <w:color w:val="auto"/>
                <w:sz w:val="21"/>
                <w:szCs w:val="21"/>
              </w:rPr>
            </w:pPr>
            <w:r>
              <w:rPr>
                <w:rFonts w:cs="Times New Roman"/>
                <w:color w:val="auto"/>
                <w:sz w:val="21"/>
                <w:szCs w:val="21"/>
              </w:rPr>
              <w:t xml:space="preserve">25.1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69B0EEB">
            <w:pPr>
              <w:widowControl/>
              <w:spacing w:line="240" w:lineRule="auto"/>
              <w:jc w:val="center"/>
              <w:rPr>
                <w:rFonts w:cs="Times New Roman"/>
                <w:color w:val="auto"/>
                <w:sz w:val="21"/>
                <w:szCs w:val="21"/>
              </w:rPr>
            </w:pPr>
            <w:r>
              <w:rPr>
                <w:rFonts w:cs="Times New Roman"/>
                <w:color w:val="auto"/>
                <w:sz w:val="21"/>
                <w:szCs w:val="21"/>
              </w:rPr>
              <w:t xml:space="preserve">0.6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36E2CA0">
            <w:pPr>
              <w:widowControl/>
              <w:spacing w:line="240" w:lineRule="auto"/>
              <w:jc w:val="center"/>
              <w:rPr>
                <w:rFonts w:cs="Times New Roman"/>
                <w:color w:val="auto"/>
                <w:sz w:val="21"/>
                <w:szCs w:val="21"/>
              </w:rPr>
            </w:pPr>
            <w:r>
              <w:rPr>
                <w:rFonts w:cs="Times New Roman"/>
                <w:color w:val="auto"/>
                <w:sz w:val="21"/>
                <w:szCs w:val="21"/>
              </w:rPr>
              <w:t xml:space="preserve">25.7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6F54FB2">
            <w:pPr>
              <w:widowControl/>
              <w:spacing w:line="240" w:lineRule="auto"/>
              <w:jc w:val="center"/>
              <w:rPr>
                <w:rFonts w:cs="Times New Roman"/>
                <w:color w:val="auto"/>
                <w:sz w:val="21"/>
                <w:szCs w:val="21"/>
              </w:rPr>
            </w:pPr>
            <w:r>
              <w:rPr>
                <w:rFonts w:cs="Times New Roman"/>
                <w:color w:val="auto"/>
                <w:sz w:val="21"/>
                <w:szCs w:val="21"/>
              </w:rPr>
              <w:t xml:space="preserve">3.1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E498EF5">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FEC79F8">
            <w:pPr>
              <w:widowControl/>
              <w:spacing w:line="240" w:lineRule="auto"/>
              <w:jc w:val="center"/>
              <w:rPr>
                <w:rFonts w:cs="Times New Roman"/>
                <w:color w:val="auto"/>
                <w:sz w:val="21"/>
                <w:szCs w:val="21"/>
              </w:rPr>
            </w:pPr>
            <w:r>
              <w:rPr>
                <w:rFonts w:cs="Times New Roman"/>
                <w:color w:val="auto"/>
                <w:sz w:val="21"/>
                <w:szCs w:val="21"/>
              </w:rPr>
              <w:t xml:space="preserve">3.1 </w:t>
            </w:r>
          </w:p>
        </w:tc>
      </w:tr>
      <w:tr w14:paraId="1267CAE2">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168BF6B">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0C0159A">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63599485">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DCF300F">
            <w:pPr>
              <w:widowControl/>
              <w:spacing w:line="240" w:lineRule="auto"/>
              <w:jc w:val="center"/>
              <w:rPr>
                <w:rFonts w:cs="Times New Roman"/>
                <w:color w:val="auto"/>
                <w:sz w:val="21"/>
                <w:szCs w:val="21"/>
              </w:rPr>
            </w:pPr>
            <w:r>
              <w:rPr>
                <w:rFonts w:cs="Times New Roman"/>
                <w:color w:val="auto"/>
                <w:sz w:val="21"/>
                <w:szCs w:val="21"/>
              </w:rPr>
              <w:t xml:space="preserve">15.8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4BA405">
            <w:pPr>
              <w:widowControl/>
              <w:spacing w:line="240" w:lineRule="auto"/>
              <w:jc w:val="center"/>
              <w:rPr>
                <w:rFonts w:cs="Times New Roman"/>
                <w:color w:val="auto"/>
                <w:sz w:val="21"/>
                <w:szCs w:val="21"/>
              </w:rPr>
            </w:pPr>
            <w:r>
              <w:rPr>
                <w:rFonts w:cs="Times New Roman"/>
                <w:color w:val="auto"/>
                <w:sz w:val="21"/>
                <w:szCs w:val="21"/>
              </w:rPr>
              <w:t xml:space="preserve">6.0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80F272D">
            <w:pPr>
              <w:widowControl/>
              <w:spacing w:line="240" w:lineRule="auto"/>
              <w:jc w:val="center"/>
              <w:rPr>
                <w:rFonts w:cs="Times New Roman"/>
                <w:color w:val="auto"/>
                <w:sz w:val="21"/>
                <w:szCs w:val="21"/>
              </w:rPr>
            </w:pPr>
            <w:r>
              <w:rPr>
                <w:rFonts w:cs="Times New Roman"/>
                <w:color w:val="auto"/>
                <w:sz w:val="21"/>
                <w:szCs w:val="21"/>
              </w:rPr>
              <w:t xml:space="preserve">9.8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027B422">
            <w:pPr>
              <w:widowControl/>
              <w:spacing w:line="240" w:lineRule="auto"/>
              <w:jc w:val="center"/>
              <w:rPr>
                <w:rFonts w:cs="Times New Roman"/>
                <w:color w:val="auto"/>
                <w:sz w:val="21"/>
                <w:szCs w:val="21"/>
              </w:rPr>
            </w:pPr>
            <w:r>
              <w:rPr>
                <w:rFonts w:cs="Times New Roman"/>
                <w:color w:val="auto"/>
                <w:sz w:val="21"/>
                <w:szCs w:val="21"/>
              </w:rPr>
              <w:t>37.9%</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E6BE0D3">
            <w:pPr>
              <w:widowControl/>
              <w:spacing w:line="240" w:lineRule="auto"/>
              <w:jc w:val="center"/>
              <w:rPr>
                <w:rFonts w:cs="Times New Roman"/>
                <w:color w:val="auto"/>
                <w:sz w:val="21"/>
                <w:szCs w:val="21"/>
              </w:rPr>
            </w:pPr>
            <w:r>
              <w:rPr>
                <w:rFonts w:cs="Times New Roman"/>
                <w:color w:val="auto"/>
                <w:sz w:val="21"/>
                <w:szCs w:val="21"/>
              </w:rPr>
              <w:t xml:space="preserve">2.6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8D02928">
            <w:pPr>
              <w:widowControl/>
              <w:spacing w:line="240" w:lineRule="auto"/>
              <w:jc w:val="center"/>
              <w:rPr>
                <w:rFonts w:cs="Times New Roman"/>
                <w:color w:val="auto"/>
                <w:sz w:val="21"/>
                <w:szCs w:val="21"/>
              </w:rPr>
            </w:pPr>
            <w:r>
              <w:rPr>
                <w:rFonts w:cs="Times New Roman"/>
                <w:color w:val="auto"/>
                <w:sz w:val="21"/>
                <w:szCs w:val="21"/>
              </w:rPr>
              <w:t xml:space="preserve">29.3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3A91788">
            <w:pPr>
              <w:widowControl/>
              <w:spacing w:line="240" w:lineRule="auto"/>
              <w:jc w:val="center"/>
              <w:rPr>
                <w:rFonts w:cs="Times New Roman"/>
                <w:color w:val="auto"/>
                <w:sz w:val="21"/>
                <w:szCs w:val="21"/>
              </w:rPr>
            </w:pPr>
            <w:r>
              <w:rPr>
                <w:rFonts w:cs="Times New Roman"/>
                <w:color w:val="auto"/>
                <w:sz w:val="21"/>
                <w:szCs w:val="21"/>
              </w:rPr>
              <w:t xml:space="preserve">31.9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8092DB9">
            <w:pPr>
              <w:widowControl/>
              <w:spacing w:line="240" w:lineRule="auto"/>
              <w:jc w:val="center"/>
              <w:rPr>
                <w:rFonts w:cs="Times New Roman"/>
                <w:color w:val="auto"/>
                <w:sz w:val="21"/>
                <w:szCs w:val="21"/>
              </w:rPr>
            </w:pPr>
            <w:r>
              <w:rPr>
                <w:rFonts w:cs="Times New Roman"/>
                <w:color w:val="auto"/>
                <w:sz w:val="21"/>
                <w:szCs w:val="21"/>
              </w:rPr>
              <w:t xml:space="preserve">2.3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EA4D359">
            <w:pPr>
              <w:widowControl/>
              <w:spacing w:line="240" w:lineRule="auto"/>
              <w:jc w:val="center"/>
              <w:rPr>
                <w:rFonts w:cs="Times New Roman"/>
                <w:color w:val="auto"/>
                <w:sz w:val="21"/>
                <w:szCs w:val="21"/>
              </w:rPr>
            </w:pPr>
            <w:r>
              <w:rPr>
                <w:rFonts w:cs="Times New Roman"/>
                <w:color w:val="auto"/>
                <w:sz w:val="21"/>
                <w:szCs w:val="21"/>
              </w:rPr>
              <w:t xml:space="preserve">25.0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D28429B">
            <w:pPr>
              <w:widowControl/>
              <w:spacing w:line="240" w:lineRule="auto"/>
              <w:jc w:val="center"/>
              <w:rPr>
                <w:rFonts w:cs="Times New Roman"/>
                <w:color w:val="auto"/>
                <w:sz w:val="21"/>
                <w:szCs w:val="21"/>
              </w:rPr>
            </w:pPr>
            <w:r>
              <w:rPr>
                <w:rFonts w:cs="Times New Roman"/>
                <w:color w:val="auto"/>
                <w:sz w:val="21"/>
                <w:szCs w:val="21"/>
              </w:rPr>
              <w:t xml:space="preserve">0.6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9A2DD01">
            <w:pPr>
              <w:widowControl/>
              <w:spacing w:line="240" w:lineRule="auto"/>
              <w:jc w:val="center"/>
              <w:rPr>
                <w:rFonts w:cs="Times New Roman"/>
                <w:color w:val="auto"/>
                <w:sz w:val="21"/>
                <w:szCs w:val="21"/>
              </w:rPr>
            </w:pPr>
            <w:r>
              <w:rPr>
                <w:rFonts w:cs="Times New Roman"/>
                <w:color w:val="auto"/>
                <w:sz w:val="21"/>
                <w:szCs w:val="21"/>
              </w:rPr>
              <w:t xml:space="preserve">25.6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ED2A932">
            <w:pPr>
              <w:widowControl/>
              <w:spacing w:line="240" w:lineRule="auto"/>
              <w:jc w:val="center"/>
              <w:rPr>
                <w:rFonts w:cs="Times New Roman"/>
                <w:color w:val="auto"/>
                <w:sz w:val="21"/>
                <w:szCs w:val="21"/>
              </w:rPr>
            </w:pPr>
            <w:r>
              <w:rPr>
                <w:rFonts w:cs="Times New Roman"/>
                <w:color w:val="auto"/>
                <w:sz w:val="21"/>
                <w:szCs w:val="21"/>
              </w:rPr>
              <w:t xml:space="preserve">7.5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0E7094E">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BBFBAA3">
            <w:pPr>
              <w:widowControl/>
              <w:spacing w:line="240" w:lineRule="auto"/>
              <w:jc w:val="center"/>
              <w:rPr>
                <w:rFonts w:cs="Times New Roman"/>
                <w:color w:val="auto"/>
                <w:sz w:val="21"/>
                <w:szCs w:val="21"/>
              </w:rPr>
            </w:pPr>
            <w:r>
              <w:rPr>
                <w:rFonts w:cs="Times New Roman"/>
                <w:color w:val="auto"/>
                <w:sz w:val="21"/>
                <w:szCs w:val="21"/>
              </w:rPr>
              <w:t xml:space="preserve">7.5 </w:t>
            </w:r>
          </w:p>
        </w:tc>
      </w:tr>
      <w:tr w14:paraId="68903E91">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B6CCD74">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1182C27">
            <w:pPr>
              <w:widowControl/>
              <w:spacing w:line="240" w:lineRule="auto"/>
              <w:jc w:val="center"/>
              <w:rPr>
                <w:rFonts w:cs="Times New Roman"/>
                <w:color w:val="auto"/>
                <w:sz w:val="21"/>
                <w:szCs w:val="21"/>
              </w:rPr>
            </w:pPr>
            <w:r>
              <w:rPr>
                <w:rFonts w:cs="Times New Roman"/>
                <w:color w:val="auto"/>
                <w:sz w:val="21"/>
                <w:szCs w:val="21"/>
              </w:rPr>
              <w:t>罗平县黄泥河老厂片</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73BCF81C">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377773D">
            <w:pPr>
              <w:widowControl/>
              <w:spacing w:line="240" w:lineRule="auto"/>
              <w:jc w:val="center"/>
              <w:rPr>
                <w:rFonts w:cs="Times New Roman"/>
                <w:color w:val="auto"/>
                <w:sz w:val="21"/>
                <w:szCs w:val="21"/>
              </w:rPr>
            </w:pPr>
            <w:r>
              <w:rPr>
                <w:rFonts w:cs="Times New Roman"/>
                <w:color w:val="auto"/>
                <w:sz w:val="21"/>
                <w:szCs w:val="21"/>
              </w:rPr>
              <w:t xml:space="preserve">14.7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85E10F">
            <w:pPr>
              <w:widowControl/>
              <w:spacing w:line="240" w:lineRule="auto"/>
              <w:jc w:val="center"/>
              <w:rPr>
                <w:rFonts w:cs="Times New Roman"/>
                <w:color w:val="auto"/>
                <w:sz w:val="21"/>
                <w:szCs w:val="21"/>
              </w:rPr>
            </w:pPr>
            <w:r>
              <w:rPr>
                <w:rFonts w:cs="Times New Roman"/>
                <w:color w:val="auto"/>
                <w:sz w:val="21"/>
                <w:szCs w:val="21"/>
              </w:rPr>
              <w:t xml:space="preserve">5.5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AEC8D5E">
            <w:pPr>
              <w:widowControl/>
              <w:spacing w:line="240" w:lineRule="auto"/>
              <w:jc w:val="center"/>
              <w:rPr>
                <w:rFonts w:cs="Times New Roman"/>
                <w:color w:val="auto"/>
                <w:sz w:val="21"/>
                <w:szCs w:val="21"/>
              </w:rPr>
            </w:pPr>
            <w:r>
              <w:rPr>
                <w:rFonts w:cs="Times New Roman"/>
                <w:color w:val="auto"/>
                <w:sz w:val="21"/>
                <w:szCs w:val="21"/>
              </w:rPr>
              <w:t xml:space="preserve">9.2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C34F14D">
            <w:pPr>
              <w:widowControl/>
              <w:spacing w:line="240" w:lineRule="auto"/>
              <w:jc w:val="center"/>
              <w:rPr>
                <w:rFonts w:cs="Times New Roman"/>
                <w:color w:val="auto"/>
                <w:sz w:val="21"/>
                <w:szCs w:val="21"/>
              </w:rPr>
            </w:pPr>
            <w:r>
              <w:rPr>
                <w:rFonts w:cs="Times New Roman"/>
                <w:color w:val="auto"/>
                <w:sz w:val="21"/>
                <w:szCs w:val="21"/>
              </w:rPr>
              <w:t>37.6%</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BD3CF8E">
            <w:pPr>
              <w:widowControl/>
              <w:spacing w:line="240" w:lineRule="auto"/>
              <w:jc w:val="center"/>
              <w:rPr>
                <w:rFonts w:cs="Times New Roman"/>
                <w:color w:val="auto"/>
                <w:sz w:val="21"/>
                <w:szCs w:val="21"/>
              </w:rPr>
            </w:pPr>
            <w:r>
              <w:rPr>
                <w:rFonts w:cs="Times New Roman"/>
                <w:color w:val="auto"/>
                <w:sz w:val="21"/>
                <w:szCs w:val="21"/>
              </w:rPr>
              <w:t xml:space="preserve">2.6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166FB6E">
            <w:pPr>
              <w:widowControl/>
              <w:spacing w:line="240" w:lineRule="auto"/>
              <w:jc w:val="center"/>
              <w:rPr>
                <w:rFonts w:cs="Times New Roman"/>
                <w:color w:val="auto"/>
                <w:sz w:val="21"/>
                <w:szCs w:val="21"/>
              </w:rPr>
            </w:pPr>
            <w:r>
              <w:rPr>
                <w:rFonts w:cs="Times New Roman"/>
                <w:color w:val="auto"/>
                <w:sz w:val="21"/>
                <w:szCs w:val="21"/>
              </w:rPr>
              <w:t xml:space="preserve">21.1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E329592">
            <w:pPr>
              <w:widowControl/>
              <w:spacing w:line="240" w:lineRule="auto"/>
              <w:jc w:val="center"/>
              <w:rPr>
                <w:rFonts w:cs="Times New Roman"/>
                <w:color w:val="auto"/>
                <w:sz w:val="21"/>
                <w:szCs w:val="21"/>
              </w:rPr>
            </w:pPr>
            <w:r>
              <w:rPr>
                <w:rFonts w:cs="Times New Roman"/>
                <w:color w:val="auto"/>
                <w:sz w:val="21"/>
                <w:szCs w:val="21"/>
              </w:rPr>
              <w:t xml:space="preserve">23.7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DB203D2">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A3EB3E7">
            <w:pPr>
              <w:widowControl/>
              <w:spacing w:line="240" w:lineRule="auto"/>
              <w:jc w:val="center"/>
              <w:rPr>
                <w:rFonts w:cs="Times New Roman"/>
                <w:color w:val="auto"/>
                <w:sz w:val="21"/>
                <w:szCs w:val="21"/>
              </w:rPr>
            </w:pPr>
            <w:r>
              <w:rPr>
                <w:rFonts w:cs="Times New Roman"/>
                <w:color w:val="auto"/>
                <w:sz w:val="21"/>
                <w:szCs w:val="21"/>
              </w:rPr>
              <w:t xml:space="preserve">43.4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6530ACD">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1604BF2">
            <w:pPr>
              <w:widowControl/>
              <w:spacing w:line="240" w:lineRule="auto"/>
              <w:jc w:val="center"/>
              <w:rPr>
                <w:rFonts w:cs="Times New Roman"/>
                <w:color w:val="auto"/>
                <w:sz w:val="21"/>
                <w:szCs w:val="21"/>
              </w:rPr>
            </w:pPr>
            <w:r>
              <w:rPr>
                <w:rFonts w:cs="Times New Roman"/>
                <w:color w:val="auto"/>
                <w:sz w:val="21"/>
                <w:szCs w:val="21"/>
              </w:rPr>
              <w:t xml:space="preserve">43.7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D474E0D">
            <w:pPr>
              <w:widowControl/>
              <w:spacing w:line="240" w:lineRule="auto"/>
              <w:jc w:val="center"/>
              <w:rPr>
                <w:rFonts w:cs="Times New Roman"/>
                <w:color w:val="auto"/>
                <w:sz w:val="21"/>
                <w:szCs w:val="21"/>
              </w:rPr>
            </w:pPr>
            <w:r>
              <w:rPr>
                <w:rFonts w:cs="Times New Roman"/>
                <w:color w:val="auto"/>
                <w:sz w:val="21"/>
                <w:szCs w:val="21"/>
              </w:rPr>
              <w:t xml:space="preserve">2.6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DFDB36E">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92E64F">
            <w:pPr>
              <w:widowControl/>
              <w:spacing w:line="240" w:lineRule="auto"/>
              <w:jc w:val="center"/>
              <w:rPr>
                <w:rFonts w:cs="Times New Roman"/>
                <w:color w:val="auto"/>
                <w:sz w:val="21"/>
                <w:szCs w:val="21"/>
              </w:rPr>
            </w:pPr>
            <w:r>
              <w:rPr>
                <w:rFonts w:cs="Times New Roman"/>
                <w:color w:val="auto"/>
                <w:sz w:val="21"/>
                <w:szCs w:val="21"/>
              </w:rPr>
              <w:t xml:space="preserve">2.6 </w:t>
            </w:r>
          </w:p>
        </w:tc>
      </w:tr>
      <w:tr w14:paraId="0C11B08D">
        <w:tblPrEx>
          <w:tblCellMar>
            <w:top w:w="0" w:type="dxa"/>
            <w:left w:w="108" w:type="dxa"/>
            <w:bottom w:w="0" w:type="dxa"/>
            <w:right w:w="108" w:type="dxa"/>
          </w:tblCellMar>
        </w:tblPrEx>
        <w:trPr>
          <w:trHeight w:val="330"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65FDB95">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F2665B9">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3F103993">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66F7D8A">
            <w:pPr>
              <w:widowControl/>
              <w:spacing w:line="240" w:lineRule="auto"/>
              <w:jc w:val="center"/>
              <w:rPr>
                <w:rFonts w:cs="Times New Roman"/>
                <w:color w:val="auto"/>
                <w:sz w:val="21"/>
                <w:szCs w:val="21"/>
              </w:rPr>
            </w:pPr>
            <w:r>
              <w:rPr>
                <w:rFonts w:cs="Times New Roman"/>
                <w:color w:val="auto"/>
                <w:sz w:val="21"/>
                <w:szCs w:val="21"/>
              </w:rPr>
              <w:t xml:space="preserve">14.1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803625C">
            <w:pPr>
              <w:widowControl/>
              <w:spacing w:line="240" w:lineRule="auto"/>
              <w:jc w:val="center"/>
              <w:rPr>
                <w:rFonts w:cs="Times New Roman"/>
                <w:color w:val="auto"/>
                <w:sz w:val="21"/>
                <w:szCs w:val="21"/>
              </w:rPr>
            </w:pPr>
            <w:r>
              <w:rPr>
                <w:rFonts w:cs="Times New Roman"/>
                <w:color w:val="auto"/>
                <w:sz w:val="21"/>
                <w:szCs w:val="21"/>
              </w:rPr>
              <w:t xml:space="preserve">7.2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E1D24F0">
            <w:pPr>
              <w:widowControl/>
              <w:spacing w:line="240" w:lineRule="auto"/>
              <w:jc w:val="center"/>
              <w:rPr>
                <w:rFonts w:cs="Times New Roman"/>
                <w:color w:val="auto"/>
                <w:sz w:val="21"/>
                <w:szCs w:val="21"/>
              </w:rPr>
            </w:pPr>
            <w:r>
              <w:rPr>
                <w:rFonts w:cs="Times New Roman"/>
                <w:color w:val="auto"/>
                <w:sz w:val="21"/>
                <w:szCs w:val="21"/>
              </w:rPr>
              <w:t xml:space="preserve">6.9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E244D7C">
            <w:pPr>
              <w:widowControl/>
              <w:spacing w:line="240" w:lineRule="auto"/>
              <w:jc w:val="center"/>
              <w:rPr>
                <w:rFonts w:cs="Times New Roman"/>
                <w:color w:val="auto"/>
                <w:sz w:val="21"/>
                <w:szCs w:val="21"/>
              </w:rPr>
            </w:pPr>
            <w:r>
              <w:rPr>
                <w:rFonts w:cs="Times New Roman"/>
                <w:color w:val="auto"/>
                <w:sz w:val="21"/>
                <w:szCs w:val="21"/>
              </w:rPr>
              <w:t>51.4%</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2A01949">
            <w:pPr>
              <w:widowControl/>
              <w:spacing w:line="240" w:lineRule="auto"/>
              <w:jc w:val="center"/>
              <w:rPr>
                <w:rFonts w:cs="Times New Roman"/>
                <w:color w:val="auto"/>
                <w:sz w:val="21"/>
                <w:szCs w:val="21"/>
              </w:rPr>
            </w:pPr>
            <w:r>
              <w:rPr>
                <w:rFonts w:cs="Times New Roman"/>
                <w:color w:val="auto"/>
                <w:sz w:val="21"/>
                <w:szCs w:val="21"/>
              </w:rPr>
              <w:t xml:space="preserve">2.7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AB1BB3">
            <w:pPr>
              <w:widowControl/>
              <w:spacing w:line="240" w:lineRule="auto"/>
              <w:jc w:val="center"/>
              <w:rPr>
                <w:rFonts w:cs="Times New Roman"/>
                <w:color w:val="auto"/>
                <w:sz w:val="21"/>
                <w:szCs w:val="21"/>
              </w:rPr>
            </w:pPr>
            <w:r>
              <w:rPr>
                <w:rFonts w:cs="Times New Roman"/>
                <w:color w:val="auto"/>
                <w:sz w:val="21"/>
                <w:szCs w:val="21"/>
              </w:rPr>
              <w:t xml:space="preserve">19.2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5C7DF7A">
            <w:pPr>
              <w:widowControl/>
              <w:spacing w:line="240" w:lineRule="auto"/>
              <w:jc w:val="center"/>
              <w:rPr>
                <w:rFonts w:cs="Times New Roman"/>
                <w:color w:val="auto"/>
                <w:sz w:val="21"/>
                <w:szCs w:val="21"/>
              </w:rPr>
            </w:pPr>
            <w:r>
              <w:rPr>
                <w:rFonts w:cs="Times New Roman"/>
                <w:color w:val="auto"/>
                <w:sz w:val="21"/>
                <w:szCs w:val="21"/>
              </w:rPr>
              <w:t xml:space="preserve">21.9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5F09DA1">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449700">
            <w:pPr>
              <w:widowControl/>
              <w:spacing w:line="240" w:lineRule="auto"/>
              <w:jc w:val="center"/>
              <w:rPr>
                <w:rFonts w:cs="Times New Roman"/>
                <w:color w:val="auto"/>
                <w:sz w:val="21"/>
                <w:szCs w:val="21"/>
              </w:rPr>
            </w:pPr>
            <w:r>
              <w:rPr>
                <w:rFonts w:cs="Times New Roman"/>
                <w:color w:val="auto"/>
                <w:sz w:val="21"/>
                <w:szCs w:val="21"/>
              </w:rPr>
              <w:t xml:space="preserve">43.4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9AAD05A">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49CE70">
            <w:pPr>
              <w:widowControl/>
              <w:spacing w:line="240" w:lineRule="auto"/>
              <w:jc w:val="center"/>
              <w:rPr>
                <w:rFonts w:cs="Times New Roman"/>
                <w:color w:val="auto"/>
                <w:sz w:val="21"/>
                <w:szCs w:val="21"/>
              </w:rPr>
            </w:pPr>
            <w:r>
              <w:rPr>
                <w:rFonts w:cs="Times New Roman"/>
                <w:color w:val="auto"/>
                <w:sz w:val="21"/>
                <w:szCs w:val="21"/>
              </w:rPr>
              <w:t xml:space="preserve">43.7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C763E2">
            <w:pPr>
              <w:widowControl/>
              <w:spacing w:line="240" w:lineRule="auto"/>
              <w:jc w:val="center"/>
              <w:rPr>
                <w:rFonts w:cs="Times New Roman"/>
                <w:color w:val="auto"/>
                <w:sz w:val="21"/>
                <w:szCs w:val="21"/>
              </w:rPr>
            </w:pPr>
            <w:r>
              <w:rPr>
                <w:rFonts w:cs="Times New Roman"/>
                <w:color w:val="auto"/>
                <w:sz w:val="21"/>
                <w:szCs w:val="21"/>
              </w:rPr>
              <w:t xml:space="preserve">3.7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9653AAE">
            <w:pPr>
              <w:widowControl/>
              <w:spacing w:line="240" w:lineRule="auto"/>
              <w:jc w:val="center"/>
              <w:rPr>
                <w:rFonts w:cs="Times New Roman"/>
                <w:color w:val="auto"/>
                <w:sz w:val="21"/>
                <w:szCs w:val="21"/>
              </w:rPr>
            </w:pPr>
            <w:r>
              <w:rPr>
                <w:rFonts w:cs="Times New Roman"/>
                <w:color w:val="auto"/>
                <w:sz w:val="21"/>
                <w:szCs w:val="21"/>
              </w:rPr>
              <w:t xml:space="preserve">10.2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2F19A69">
            <w:pPr>
              <w:widowControl/>
              <w:spacing w:line="240" w:lineRule="auto"/>
              <w:jc w:val="center"/>
              <w:rPr>
                <w:rFonts w:cs="Times New Roman"/>
                <w:color w:val="auto"/>
                <w:sz w:val="21"/>
                <w:szCs w:val="21"/>
              </w:rPr>
            </w:pPr>
            <w:r>
              <w:rPr>
                <w:rFonts w:cs="Times New Roman"/>
                <w:color w:val="auto"/>
                <w:sz w:val="21"/>
                <w:szCs w:val="21"/>
              </w:rPr>
              <w:t xml:space="preserve">13.9 </w:t>
            </w:r>
          </w:p>
        </w:tc>
      </w:tr>
      <w:tr w14:paraId="4BF0AB0B">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87F7B83">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19D656B3">
            <w:pPr>
              <w:widowControl/>
              <w:spacing w:line="240" w:lineRule="auto"/>
              <w:jc w:val="center"/>
              <w:rPr>
                <w:rFonts w:cs="Times New Roman"/>
                <w:color w:val="auto"/>
                <w:sz w:val="21"/>
                <w:szCs w:val="21"/>
              </w:rPr>
            </w:pPr>
            <w:r>
              <w:rPr>
                <w:rFonts w:cs="Times New Roman"/>
                <w:color w:val="auto"/>
                <w:sz w:val="21"/>
                <w:szCs w:val="21"/>
              </w:rPr>
              <w:t>罗平县南盘江下段干流</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23007098">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7903102">
            <w:pPr>
              <w:widowControl/>
              <w:spacing w:line="240" w:lineRule="auto"/>
              <w:jc w:val="center"/>
              <w:rPr>
                <w:rFonts w:cs="Times New Roman"/>
                <w:color w:val="auto"/>
                <w:sz w:val="21"/>
                <w:szCs w:val="21"/>
              </w:rPr>
            </w:pPr>
            <w:r>
              <w:rPr>
                <w:rFonts w:cs="Times New Roman"/>
                <w:color w:val="auto"/>
                <w:sz w:val="21"/>
                <w:szCs w:val="21"/>
              </w:rPr>
              <w:t xml:space="preserve">20.0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63D639">
            <w:pPr>
              <w:widowControl/>
              <w:spacing w:line="240" w:lineRule="auto"/>
              <w:jc w:val="center"/>
              <w:rPr>
                <w:rFonts w:cs="Times New Roman"/>
                <w:color w:val="auto"/>
                <w:sz w:val="21"/>
                <w:szCs w:val="21"/>
              </w:rPr>
            </w:pPr>
            <w:r>
              <w:rPr>
                <w:rFonts w:cs="Times New Roman"/>
                <w:color w:val="auto"/>
                <w:sz w:val="21"/>
                <w:szCs w:val="21"/>
              </w:rPr>
              <w:t xml:space="preserve">11.2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05F7B8A">
            <w:pPr>
              <w:widowControl/>
              <w:spacing w:line="240" w:lineRule="auto"/>
              <w:jc w:val="center"/>
              <w:rPr>
                <w:rFonts w:cs="Times New Roman"/>
                <w:color w:val="auto"/>
                <w:sz w:val="21"/>
                <w:szCs w:val="21"/>
              </w:rPr>
            </w:pPr>
            <w:r>
              <w:rPr>
                <w:rFonts w:cs="Times New Roman"/>
                <w:color w:val="auto"/>
                <w:sz w:val="21"/>
                <w:szCs w:val="21"/>
              </w:rPr>
              <w:t xml:space="preserve">8.8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6454479">
            <w:pPr>
              <w:widowControl/>
              <w:spacing w:line="240" w:lineRule="auto"/>
              <w:jc w:val="center"/>
              <w:rPr>
                <w:rFonts w:cs="Times New Roman"/>
                <w:color w:val="auto"/>
                <w:sz w:val="21"/>
                <w:szCs w:val="21"/>
              </w:rPr>
            </w:pPr>
            <w:r>
              <w:rPr>
                <w:rFonts w:cs="Times New Roman"/>
                <w:color w:val="auto"/>
                <w:sz w:val="21"/>
                <w:szCs w:val="21"/>
              </w:rPr>
              <w:t>55.9%</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3F1FEB2">
            <w:pPr>
              <w:widowControl/>
              <w:spacing w:line="240" w:lineRule="auto"/>
              <w:jc w:val="center"/>
              <w:rPr>
                <w:rFonts w:cs="Times New Roman"/>
                <w:color w:val="auto"/>
                <w:sz w:val="21"/>
                <w:szCs w:val="21"/>
              </w:rPr>
            </w:pPr>
            <w:r>
              <w:rPr>
                <w:rFonts w:cs="Times New Roman"/>
                <w:color w:val="auto"/>
                <w:sz w:val="21"/>
                <w:szCs w:val="21"/>
              </w:rPr>
              <w:t xml:space="preserve">2.0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6EFD923">
            <w:pPr>
              <w:widowControl/>
              <w:spacing w:line="240" w:lineRule="auto"/>
              <w:jc w:val="center"/>
              <w:rPr>
                <w:rFonts w:cs="Times New Roman"/>
                <w:color w:val="auto"/>
                <w:sz w:val="21"/>
                <w:szCs w:val="21"/>
              </w:rPr>
            </w:pPr>
            <w:r>
              <w:rPr>
                <w:rFonts w:cs="Times New Roman"/>
                <w:color w:val="auto"/>
                <w:sz w:val="21"/>
                <w:szCs w:val="21"/>
              </w:rPr>
              <w:t xml:space="preserve">25.6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39D9699">
            <w:pPr>
              <w:widowControl/>
              <w:spacing w:line="240" w:lineRule="auto"/>
              <w:jc w:val="center"/>
              <w:rPr>
                <w:rFonts w:cs="Times New Roman"/>
                <w:color w:val="auto"/>
                <w:sz w:val="21"/>
                <w:szCs w:val="21"/>
              </w:rPr>
            </w:pPr>
            <w:r>
              <w:rPr>
                <w:rFonts w:cs="Times New Roman"/>
                <w:color w:val="auto"/>
                <w:sz w:val="21"/>
                <w:szCs w:val="21"/>
              </w:rPr>
              <w:t xml:space="preserve">27.6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4F4BA07">
            <w:pPr>
              <w:widowControl/>
              <w:spacing w:line="240" w:lineRule="auto"/>
              <w:jc w:val="center"/>
              <w:rPr>
                <w:rFonts w:cs="Times New Roman"/>
                <w:color w:val="auto"/>
                <w:sz w:val="21"/>
                <w:szCs w:val="21"/>
              </w:rPr>
            </w:pPr>
            <w:r>
              <w:rPr>
                <w:rFonts w:cs="Times New Roman"/>
                <w:color w:val="auto"/>
                <w:sz w:val="21"/>
                <w:szCs w:val="21"/>
              </w:rPr>
              <w:t xml:space="preserve">23.4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8A8FAD3">
            <w:pPr>
              <w:widowControl/>
              <w:spacing w:line="240" w:lineRule="auto"/>
              <w:jc w:val="center"/>
              <w:rPr>
                <w:rFonts w:cs="Times New Roman"/>
                <w:color w:val="auto"/>
                <w:sz w:val="21"/>
                <w:szCs w:val="21"/>
              </w:rPr>
            </w:pPr>
            <w:r>
              <w:rPr>
                <w:rFonts w:cs="Times New Roman"/>
                <w:color w:val="auto"/>
                <w:sz w:val="21"/>
                <w:szCs w:val="21"/>
              </w:rPr>
              <w:t xml:space="preserve">29.5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64B7FE1">
            <w:pPr>
              <w:widowControl/>
              <w:spacing w:line="240" w:lineRule="auto"/>
              <w:jc w:val="center"/>
              <w:rPr>
                <w:rFonts w:cs="Times New Roman"/>
                <w:color w:val="auto"/>
                <w:sz w:val="21"/>
                <w:szCs w:val="21"/>
              </w:rPr>
            </w:pPr>
            <w:r>
              <w:rPr>
                <w:rFonts w:cs="Times New Roman"/>
                <w:color w:val="auto"/>
                <w:sz w:val="21"/>
                <w:szCs w:val="21"/>
              </w:rPr>
              <w:t xml:space="preserve">0.7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676BD4C">
            <w:pPr>
              <w:widowControl/>
              <w:spacing w:line="240" w:lineRule="auto"/>
              <w:jc w:val="center"/>
              <w:rPr>
                <w:rFonts w:cs="Times New Roman"/>
                <w:color w:val="auto"/>
                <w:sz w:val="21"/>
                <w:szCs w:val="21"/>
              </w:rPr>
            </w:pPr>
            <w:r>
              <w:rPr>
                <w:rFonts w:cs="Times New Roman"/>
                <w:color w:val="auto"/>
                <w:sz w:val="21"/>
                <w:szCs w:val="21"/>
              </w:rPr>
              <w:t xml:space="preserve">30.3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4B047F7">
            <w:pPr>
              <w:widowControl/>
              <w:spacing w:line="240" w:lineRule="auto"/>
              <w:jc w:val="center"/>
              <w:rPr>
                <w:rFonts w:cs="Times New Roman"/>
                <w:color w:val="auto"/>
                <w:sz w:val="21"/>
                <w:szCs w:val="21"/>
              </w:rPr>
            </w:pPr>
            <w:r>
              <w:rPr>
                <w:rFonts w:cs="Times New Roman"/>
                <w:color w:val="auto"/>
                <w:sz w:val="21"/>
                <w:szCs w:val="21"/>
              </w:rPr>
              <w:t xml:space="preserve">13.6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8BFBC1E">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0B20C1B">
            <w:pPr>
              <w:widowControl/>
              <w:spacing w:line="240" w:lineRule="auto"/>
              <w:jc w:val="center"/>
              <w:rPr>
                <w:rFonts w:cs="Times New Roman"/>
                <w:color w:val="auto"/>
                <w:sz w:val="21"/>
                <w:szCs w:val="21"/>
              </w:rPr>
            </w:pPr>
            <w:r>
              <w:rPr>
                <w:rFonts w:cs="Times New Roman"/>
                <w:color w:val="auto"/>
                <w:sz w:val="21"/>
                <w:szCs w:val="21"/>
              </w:rPr>
              <w:t xml:space="preserve">13.6 </w:t>
            </w:r>
          </w:p>
        </w:tc>
      </w:tr>
      <w:tr w14:paraId="70A72DBF">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A99DF4E">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441B0318">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0975E20B">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112E37E">
            <w:pPr>
              <w:widowControl/>
              <w:spacing w:line="240" w:lineRule="auto"/>
              <w:jc w:val="center"/>
              <w:rPr>
                <w:rFonts w:cs="Times New Roman"/>
                <w:color w:val="auto"/>
                <w:sz w:val="21"/>
                <w:szCs w:val="21"/>
              </w:rPr>
            </w:pPr>
            <w:r>
              <w:rPr>
                <w:rFonts w:cs="Times New Roman"/>
                <w:color w:val="auto"/>
                <w:sz w:val="21"/>
                <w:szCs w:val="21"/>
              </w:rPr>
              <w:t xml:space="preserve">24.6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8BB50F3">
            <w:pPr>
              <w:widowControl/>
              <w:spacing w:line="240" w:lineRule="auto"/>
              <w:jc w:val="center"/>
              <w:rPr>
                <w:rFonts w:cs="Times New Roman"/>
                <w:color w:val="auto"/>
                <w:sz w:val="21"/>
                <w:szCs w:val="21"/>
              </w:rPr>
            </w:pPr>
            <w:r>
              <w:rPr>
                <w:rFonts w:cs="Times New Roman"/>
                <w:color w:val="auto"/>
                <w:sz w:val="21"/>
                <w:szCs w:val="21"/>
              </w:rPr>
              <w:t xml:space="preserve">17.3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AE1FBDB">
            <w:pPr>
              <w:widowControl/>
              <w:spacing w:line="240" w:lineRule="auto"/>
              <w:jc w:val="center"/>
              <w:rPr>
                <w:rFonts w:cs="Times New Roman"/>
                <w:color w:val="auto"/>
                <w:sz w:val="21"/>
                <w:szCs w:val="21"/>
              </w:rPr>
            </w:pPr>
            <w:r>
              <w:rPr>
                <w:rFonts w:cs="Times New Roman"/>
                <w:color w:val="auto"/>
                <w:sz w:val="21"/>
                <w:szCs w:val="21"/>
              </w:rPr>
              <w:t xml:space="preserve">7.3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6F5517A">
            <w:pPr>
              <w:widowControl/>
              <w:spacing w:line="240" w:lineRule="auto"/>
              <w:jc w:val="center"/>
              <w:rPr>
                <w:rFonts w:cs="Times New Roman"/>
                <w:color w:val="auto"/>
                <w:sz w:val="21"/>
                <w:szCs w:val="21"/>
              </w:rPr>
            </w:pPr>
            <w:r>
              <w:rPr>
                <w:rFonts w:cs="Times New Roman"/>
                <w:color w:val="auto"/>
                <w:sz w:val="21"/>
                <w:szCs w:val="21"/>
              </w:rPr>
              <w:t>70.3%</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E04A0E6">
            <w:pPr>
              <w:widowControl/>
              <w:spacing w:line="240" w:lineRule="auto"/>
              <w:jc w:val="center"/>
              <w:rPr>
                <w:rFonts w:cs="Times New Roman"/>
                <w:color w:val="auto"/>
                <w:sz w:val="21"/>
                <w:szCs w:val="21"/>
              </w:rPr>
            </w:pPr>
            <w:r>
              <w:rPr>
                <w:rFonts w:cs="Times New Roman"/>
                <w:color w:val="auto"/>
                <w:sz w:val="21"/>
                <w:szCs w:val="21"/>
              </w:rPr>
              <w:t xml:space="preserve">2.0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9E75907">
            <w:pPr>
              <w:widowControl/>
              <w:spacing w:line="240" w:lineRule="auto"/>
              <w:jc w:val="center"/>
              <w:rPr>
                <w:rFonts w:cs="Times New Roman"/>
                <w:color w:val="auto"/>
                <w:sz w:val="21"/>
                <w:szCs w:val="21"/>
              </w:rPr>
            </w:pPr>
            <w:r>
              <w:rPr>
                <w:rFonts w:cs="Times New Roman"/>
                <w:color w:val="auto"/>
                <w:sz w:val="21"/>
                <w:szCs w:val="21"/>
              </w:rPr>
              <w:t xml:space="preserve">25.4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760C807">
            <w:pPr>
              <w:widowControl/>
              <w:spacing w:line="240" w:lineRule="auto"/>
              <w:jc w:val="center"/>
              <w:rPr>
                <w:rFonts w:cs="Times New Roman"/>
                <w:color w:val="auto"/>
                <w:sz w:val="21"/>
                <w:szCs w:val="21"/>
              </w:rPr>
            </w:pPr>
            <w:r>
              <w:rPr>
                <w:rFonts w:cs="Times New Roman"/>
                <w:color w:val="auto"/>
                <w:sz w:val="21"/>
                <w:szCs w:val="21"/>
              </w:rPr>
              <w:t xml:space="preserve">27.4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D330F92">
            <w:pPr>
              <w:widowControl/>
              <w:spacing w:line="240" w:lineRule="auto"/>
              <w:jc w:val="center"/>
              <w:rPr>
                <w:rFonts w:cs="Times New Roman"/>
                <w:color w:val="auto"/>
                <w:sz w:val="21"/>
                <w:szCs w:val="21"/>
              </w:rPr>
            </w:pPr>
            <w:r>
              <w:rPr>
                <w:rFonts w:cs="Times New Roman"/>
                <w:color w:val="auto"/>
                <w:sz w:val="21"/>
                <w:szCs w:val="21"/>
              </w:rPr>
              <w:t xml:space="preserve">51.9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A787C75">
            <w:pPr>
              <w:widowControl/>
              <w:spacing w:line="240" w:lineRule="auto"/>
              <w:jc w:val="center"/>
              <w:rPr>
                <w:rFonts w:cs="Times New Roman"/>
                <w:color w:val="auto"/>
                <w:sz w:val="21"/>
                <w:szCs w:val="21"/>
              </w:rPr>
            </w:pPr>
            <w:r>
              <w:rPr>
                <w:rFonts w:cs="Times New Roman"/>
                <w:color w:val="auto"/>
                <w:sz w:val="21"/>
                <w:szCs w:val="21"/>
              </w:rPr>
              <w:t xml:space="preserve">27.1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1C63D13">
            <w:pPr>
              <w:widowControl/>
              <w:spacing w:line="240" w:lineRule="auto"/>
              <w:jc w:val="center"/>
              <w:rPr>
                <w:rFonts w:cs="Times New Roman"/>
                <w:color w:val="auto"/>
                <w:sz w:val="21"/>
                <w:szCs w:val="21"/>
              </w:rPr>
            </w:pPr>
            <w:r>
              <w:rPr>
                <w:rFonts w:cs="Times New Roman"/>
                <w:color w:val="auto"/>
                <w:sz w:val="21"/>
                <w:szCs w:val="21"/>
              </w:rPr>
              <w:t xml:space="preserve">0.7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AFD54CF">
            <w:pPr>
              <w:widowControl/>
              <w:spacing w:line="240" w:lineRule="auto"/>
              <w:jc w:val="center"/>
              <w:rPr>
                <w:rFonts w:cs="Times New Roman"/>
                <w:color w:val="auto"/>
                <w:sz w:val="21"/>
                <w:szCs w:val="21"/>
              </w:rPr>
            </w:pPr>
            <w:r>
              <w:rPr>
                <w:rFonts w:cs="Times New Roman"/>
                <w:color w:val="auto"/>
                <w:sz w:val="21"/>
                <w:szCs w:val="21"/>
              </w:rPr>
              <w:t xml:space="preserve">27.8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D758AB2">
            <w:pPr>
              <w:widowControl/>
              <w:spacing w:line="240" w:lineRule="auto"/>
              <w:jc w:val="center"/>
              <w:rPr>
                <w:rFonts w:cs="Times New Roman"/>
                <w:color w:val="auto"/>
                <w:sz w:val="21"/>
                <w:szCs w:val="21"/>
              </w:rPr>
            </w:pPr>
            <w:r>
              <w:rPr>
                <w:rFonts w:cs="Times New Roman"/>
                <w:color w:val="auto"/>
                <w:sz w:val="21"/>
                <w:szCs w:val="21"/>
              </w:rPr>
              <w:t xml:space="preserve">20.1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E8DBDDA">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CA54FED">
            <w:pPr>
              <w:widowControl/>
              <w:spacing w:line="240" w:lineRule="auto"/>
              <w:jc w:val="center"/>
              <w:rPr>
                <w:rFonts w:cs="Times New Roman"/>
                <w:color w:val="auto"/>
                <w:sz w:val="21"/>
                <w:szCs w:val="21"/>
              </w:rPr>
            </w:pPr>
            <w:r>
              <w:rPr>
                <w:rFonts w:cs="Times New Roman"/>
                <w:color w:val="auto"/>
                <w:sz w:val="21"/>
                <w:szCs w:val="21"/>
              </w:rPr>
              <w:t xml:space="preserve">20.1 </w:t>
            </w:r>
          </w:p>
        </w:tc>
      </w:tr>
      <w:tr w14:paraId="1F40ACF2">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5C02F8B">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38CBC58">
            <w:pPr>
              <w:widowControl/>
              <w:spacing w:line="240" w:lineRule="auto"/>
              <w:jc w:val="center"/>
              <w:rPr>
                <w:rFonts w:cs="Times New Roman"/>
                <w:color w:val="auto"/>
                <w:sz w:val="21"/>
                <w:szCs w:val="21"/>
              </w:rPr>
            </w:pPr>
            <w:r>
              <w:rPr>
                <w:rFonts w:cs="Times New Roman"/>
                <w:color w:val="auto"/>
                <w:sz w:val="21"/>
                <w:szCs w:val="21"/>
              </w:rPr>
              <w:t>罗平县清水江</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1C462AB8">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F41A195">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C860586">
            <w:pPr>
              <w:widowControl/>
              <w:spacing w:line="240" w:lineRule="auto"/>
              <w:jc w:val="center"/>
              <w:rPr>
                <w:rFonts w:cs="Times New Roman"/>
                <w:color w:val="auto"/>
                <w:sz w:val="21"/>
                <w:szCs w:val="21"/>
              </w:rPr>
            </w:pP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C466D0A">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6960293">
            <w:pPr>
              <w:widowControl/>
              <w:spacing w:line="240" w:lineRule="auto"/>
              <w:jc w:val="center"/>
              <w:rPr>
                <w:rFonts w:cs="Times New Roman"/>
                <w:color w:val="auto"/>
                <w:sz w:val="21"/>
                <w:szCs w:val="21"/>
              </w:rPr>
            </w:pP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7F0FEF6">
            <w:pPr>
              <w:widowControl/>
              <w:spacing w:line="240" w:lineRule="auto"/>
              <w:jc w:val="center"/>
              <w:rPr>
                <w:rFonts w:cs="Times New Roman"/>
                <w:color w:val="auto"/>
                <w:sz w:val="21"/>
                <w:szCs w:val="21"/>
              </w:rPr>
            </w:pPr>
            <w:r>
              <w:rPr>
                <w:rFonts w:cs="Times New Roman"/>
                <w:color w:val="auto"/>
                <w:sz w:val="21"/>
                <w:szCs w:val="21"/>
              </w:rPr>
              <w:t xml:space="preserve">0.0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9794721">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7187110">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6E742F8">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E651645">
            <w:pPr>
              <w:widowControl/>
              <w:spacing w:line="240" w:lineRule="auto"/>
              <w:jc w:val="center"/>
              <w:rPr>
                <w:rFonts w:cs="Times New Roman"/>
                <w:color w:val="auto"/>
                <w:sz w:val="21"/>
                <w:szCs w:val="21"/>
              </w:rPr>
            </w:pPr>
            <w:r>
              <w:rPr>
                <w:rFonts w:cs="Times New Roman"/>
                <w:color w:val="auto"/>
                <w:sz w:val="21"/>
                <w:szCs w:val="21"/>
              </w:rPr>
              <w:t xml:space="preserve">0.2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05DEEC3">
            <w:pPr>
              <w:widowControl/>
              <w:spacing w:line="240" w:lineRule="auto"/>
              <w:jc w:val="center"/>
              <w:rPr>
                <w:rFonts w:cs="Times New Roman"/>
                <w:color w:val="auto"/>
                <w:sz w:val="21"/>
                <w:szCs w:val="21"/>
              </w:rPr>
            </w:pPr>
            <w:r>
              <w:rPr>
                <w:rFonts w:cs="Times New Roman"/>
                <w:color w:val="auto"/>
                <w:sz w:val="21"/>
                <w:szCs w:val="21"/>
              </w:rPr>
              <w:t xml:space="preserve">0.0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25F3399">
            <w:pPr>
              <w:widowControl/>
              <w:spacing w:line="240" w:lineRule="auto"/>
              <w:jc w:val="center"/>
              <w:rPr>
                <w:rFonts w:cs="Times New Roman"/>
                <w:color w:val="auto"/>
                <w:sz w:val="21"/>
                <w:szCs w:val="21"/>
              </w:rPr>
            </w:pPr>
            <w:r>
              <w:rPr>
                <w:rFonts w:cs="Times New Roman"/>
                <w:color w:val="auto"/>
                <w:sz w:val="21"/>
                <w:szCs w:val="21"/>
              </w:rPr>
              <w:t xml:space="preserve">0.2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C0E6928">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A2BD0D">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DF0225D">
            <w:pPr>
              <w:widowControl/>
              <w:spacing w:line="240" w:lineRule="auto"/>
              <w:jc w:val="center"/>
              <w:rPr>
                <w:rFonts w:cs="Times New Roman"/>
                <w:color w:val="auto"/>
                <w:sz w:val="21"/>
                <w:szCs w:val="21"/>
              </w:rPr>
            </w:pPr>
            <w:r>
              <w:rPr>
                <w:rFonts w:cs="Times New Roman"/>
                <w:color w:val="auto"/>
                <w:sz w:val="21"/>
                <w:szCs w:val="21"/>
              </w:rPr>
              <w:t xml:space="preserve">0.1 </w:t>
            </w:r>
          </w:p>
        </w:tc>
      </w:tr>
      <w:tr w14:paraId="73DF2EAB">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6C278C80">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855826C">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6815D09A">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1F4C091">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B9D6955">
            <w:pPr>
              <w:widowControl/>
              <w:spacing w:line="240" w:lineRule="auto"/>
              <w:jc w:val="center"/>
              <w:rPr>
                <w:rFonts w:cs="Times New Roman"/>
                <w:color w:val="auto"/>
                <w:sz w:val="21"/>
                <w:szCs w:val="21"/>
              </w:rPr>
            </w:pP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881A273">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01E904F">
            <w:pPr>
              <w:widowControl/>
              <w:spacing w:line="240" w:lineRule="auto"/>
              <w:jc w:val="center"/>
              <w:rPr>
                <w:rFonts w:cs="Times New Roman"/>
                <w:color w:val="auto"/>
                <w:sz w:val="21"/>
                <w:szCs w:val="21"/>
              </w:rPr>
            </w:pP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38BED51">
            <w:pPr>
              <w:widowControl/>
              <w:spacing w:line="240" w:lineRule="auto"/>
              <w:jc w:val="center"/>
              <w:rPr>
                <w:rFonts w:cs="Times New Roman"/>
                <w:color w:val="auto"/>
                <w:sz w:val="21"/>
                <w:szCs w:val="21"/>
              </w:rPr>
            </w:pPr>
            <w:r>
              <w:rPr>
                <w:rFonts w:cs="Times New Roman"/>
                <w:color w:val="auto"/>
                <w:sz w:val="21"/>
                <w:szCs w:val="21"/>
              </w:rPr>
              <w:t xml:space="preserve">0.0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A381BAD">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B4BA8E7">
            <w:pPr>
              <w:widowControl/>
              <w:spacing w:line="240" w:lineRule="auto"/>
              <w:jc w:val="center"/>
              <w:rPr>
                <w:rFonts w:cs="Times New Roman"/>
                <w:color w:val="auto"/>
                <w:sz w:val="21"/>
                <w:szCs w:val="21"/>
              </w:rPr>
            </w:pPr>
            <w:r>
              <w:rPr>
                <w:rFonts w:cs="Times New Roman"/>
                <w:color w:val="auto"/>
                <w:sz w:val="21"/>
                <w:szCs w:val="21"/>
              </w:rPr>
              <w:t xml:space="preserve">0.3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B656F96">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C26ED1F">
            <w:pPr>
              <w:widowControl/>
              <w:spacing w:line="240" w:lineRule="auto"/>
              <w:jc w:val="center"/>
              <w:rPr>
                <w:rFonts w:cs="Times New Roman"/>
                <w:color w:val="auto"/>
                <w:sz w:val="21"/>
                <w:szCs w:val="21"/>
              </w:rPr>
            </w:pPr>
            <w:r>
              <w:rPr>
                <w:rFonts w:cs="Times New Roman"/>
                <w:color w:val="auto"/>
                <w:sz w:val="21"/>
                <w:szCs w:val="21"/>
              </w:rPr>
              <w:t xml:space="preserve">0.2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503764B">
            <w:pPr>
              <w:widowControl/>
              <w:spacing w:line="240" w:lineRule="auto"/>
              <w:jc w:val="center"/>
              <w:rPr>
                <w:rFonts w:cs="Times New Roman"/>
                <w:color w:val="auto"/>
                <w:sz w:val="21"/>
                <w:szCs w:val="21"/>
              </w:rPr>
            </w:pPr>
            <w:r>
              <w:rPr>
                <w:rFonts w:cs="Times New Roman"/>
                <w:color w:val="auto"/>
                <w:sz w:val="21"/>
                <w:szCs w:val="21"/>
              </w:rPr>
              <w:t xml:space="preserve">0.0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1491958">
            <w:pPr>
              <w:widowControl/>
              <w:spacing w:line="240" w:lineRule="auto"/>
              <w:jc w:val="center"/>
              <w:rPr>
                <w:rFonts w:cs="Times New Roman"/>
                <w:color w:val="auto"/>
                <w:sz w:val="21"/>
                <w:szCs w:val="21"/>
              </w:rPr>
            </w:pPr>
            <w:r>
              <w:rPr>
                <w:rFonts w:cs="Times New Roman"/>
                <w:color w:val="auto"/>
                <w:sz w:val="21"/>
                <w:szCs w:val="21"/>
              </w:rPr>
              <w:t xml:space="preserve">0.2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B817346">
            <w:pPr>
              <w:widowControl/>
              <w:spacing w:line="240" w:lineRule="auto"/>
              <w:jc w:val="center"/>
              <w:rPr>
                <w:rFonts w:cs="Times New Roman"/>
                <w:color w:val="auto"/>
                <w:sz w:val="21"/>
                <w:szCs w:val="21"/>
              </w:rPr>
            </w:pPr>
            <w:r>
              <w:rPr>
                <w:rFonts w:cs="Times New Roman"/>
                <w:color w:val="auto"/>
                <w:sz w:val="21"/>
                <w:szCs w:val="21"/>
              </w:rPr>
              <w:t xml:space="preserve">0.1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E497FC9">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65D4E23">
            <w:pPr>
              <w:widowControl/>
              <w:spacing w:line="240" w:lineRule="auto"/>
              <w:jc w:val="center"/>
              <w:rPr>
                <w:rFonts w:cs="Times New Roman"/>
                <w:color w:val="auto"/>
                <w:sz w:val="21"/>
                <w:szCs w:val="21"/>
              </w:rPr>
            </w:pPr>
            <w:r>
              <w:rPr>
                <w:rFonts w:cs="Times New Roman"/>
                <w:color w:val="auto"/>
                <w:sz w:val="21"/>
                <w:szCs w:val="21"/>
              </w:rPr>
              <w:t xml:space="preserve">0.1 </w:t>
            </w:r>
          </w:p>
        </w:tc>
      </w:tr>
      <w:tr w14:paraId="183414B6">
        <w:tblPrEx>
          <w:tblCellMar>
            <w:top w:w="0" w:type="dxa"/>
            <w:left w:w="108" w:type="dxa"/>
            <w:bottom w:w="0" w:type="dxa"/>
            <w:right w:w="108" w:type="dxa"/>
          </w:tblCellMar>
        </w:tblPrEx>
        <w:trPr>
          <w:trHeight w:val="285" w:hRule="atLeast"/>
        </w:trPr>
        <w:tc>
          <w:tcPr>
            <w:tcW w:w="212"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F8A7751">
            <w:pPr>
              <w:widowControl/>
              <w:spacing w:line="240" w:lineRule="auto"/>
              <w:jc w:val="center"/>
              <w:rPr>
                <w:rFonts w:cs="Times New Roman"/>
                <w:color w:val="auto"/>
                <w:sz w:val="21"/>
                <w:szCs w:val="21"/>
              </w:rPr>
            </w:pPr>
            <w:r>
              <w:rPr>
                <w:rFonts w:cs="Times New Roman"/>
                <w:color w:val="auto"/>
                <w:sz w:val="21"/>
                <w:szCs w:val="21"/>
              </w:rPr>
              <w:t>富源县</w:t>
            </w: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903EF65">
            <w:pPr>
              <w:widowControl/>
              <w:spacing w:line="240" w:lineRule="auto"/>
              <w:jc w:val="center"/>
              <w:rPr>
                <w:rFonts w:cs="Times New Roman"/>
                <w:color w:val="auto"/>
                <w:sz w:val="21"/>
                <w:szCs w:val="21"/>
              </w:rPr>
            </w:pPr>
            <w:r>
              <w:rPr>
                <w:rFonts w:cs="Times New Roman"/>
                <w:color w:val="auto"/>
                <w:sz w:val="21"/>
                <w:szCs w:val="21"/>
              </w:rPr>
              <w:t>富源县沾曲陆宜</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04D6BC02">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94DCFB1">
            <w:pPr>
              <w:widowControl/>
              <w:spacing w:line="240" w:lineRule="auto"/>
              <w:jc w:val="center"/>
              <w:rPr>
                <w:rFonts w:cs="Times New Roman"/>
                <w:color w:val="auto"/>
                <w:sz w:val="21"/>
                <w:szCs w:val="21"/>
              </w:rPr>
            </w:pPr>
            <w:r>
              <w:rPr>
                <w:rFonts w:cs="Times New Roman"/>
                <w:color w:val="auto"/>
                <w:sz w:val="21"/>
                <w:szCs w:val="21"/>
              </w:rPr>
              <w:t xml:space="preserve">1.1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5319267">
            <w:pPr>
              <w:widowControl/>
              <w:spacing w:line="240" w:lineRule="auto"/>
              <w:jc w:val="center"/>
              <w:rPr>
                <w:rFonts w:cs="Times New Roman"/>
                <w:color w:val="auto"/>
                <w:sz w:val="21"/>
                <w:szCs w:val="21"/>
              </w:rPr>
            </w:pP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DF0F1C8">
            <w:pPr>
              <w:widowControl/>
              <w:spacing w:line="240" w:lineRule="auto"/>
              <w:jc w:val="center"/>
              <w:rPr>
                <w:rFonts w:cs="Times New Roman"/>
                <w:color w:val="auto"/>
                <w:sz w:val="21"/>
                <w:szCs w:val="21"/>
              </w:rPr>
            </w:pPr>
            <w:r>
              <w:rPr>
                <w:rFonts w:cs="Times New Roman"/>
                <w:color w:val="auto"/>
                <w:sz w:val="21"/>
                <w:szCs w:val="21"/>
              </w:rPr>
              <w:t xml:space="preserve">1.1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B0AB7F9">
            <w:pPr>
              <w:widowControl/>
              <w:spacing w:line="240" w:lineRule="auto"/>
              <w:jc w:val="center"/>
              <w:rPr>
                <w:rFonts w:cs="Times New Roman"/>
                <w:color w:val="auto"/>
                <w:sz w:val="21"/>
                <w:szCs w:val="21"/>
              </w:rPr>
            </w:pP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124A26">
            <w:pPr>
              <w:widowControl/>
              <w:spacing w:line="240" w:lineRule="auto"/>
              <w:jc w:val="center"/>
              <w:rPr>
                <w:rFonts w:cs="Times New Roman"/>
                <w:color w:val="auto"/>
                <w:sz w:val="21"/>
                <w:szCs w:val="21"/>
              </w:rPr>
            </w:pPr>
            <w:r>
              <w:rPr>
                <w:rFonts w:cs="Times New Roman"/>
                <w:color w:val="auto"/>
                <w:sz w:val="21"/>
                <w:szCs w:val="21"/>
              </w:rPr>
              <w:t xml:space="preserve">0.2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ED6B48B">
            <w:pPr>
              <w:widowControl/>
              <w:spacing w:line="240" w:lineRule="auto"/>
              <w:jc w:val="center"/>
              <w:rPr>
                <w:rFonts w:cs="Times New Roman"/>
                <w:color w:val="auto"/>
                <w:sz w:val="21"/>
                <w:szCs w:val="21"/>
              </w:rPr>
            </w:pPr>
            <w:r>
              <w:rPr>
                <w:rFonts w:cs="Times New Roman"/>
                <w:color w:val="auto"/>
                <w:sz w:val="21"/>
                <w:szCs w:val="21"/>
              </w:rPr>
              <w:t xml:space="preserve">2.4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E715C0D">
            <w:pPr>
              <w:widowControl/>
              <w:spacing w:line="240" w:lineRule="auto"/>
              <w:jc w:val="center"/>
              <w:rPr>
                <w:rFonts w:cs="Times New Roman"/>
                <w:color w:val="auto"/>
                <w:sz w:val="21"/>
                <w:szCs w:val="21"/>
              </w:rPr>
            </w:pPr>
            <w:r>
              <w:rPr>
                <w:rFonts w:cs="Times New Roman"/>
                <w:color w:val="auto"/>
                <w:sz w:val="21"/>
                <w:szCs w:val="21"/>
              </w:rPr>
              <w:t xml:space="preserve">2.6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8C4DB2">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F975342">
            <w:pPr>
              <w:widowControl/>
              <w:spacing w:line="240" w:lineRule="auto"/>
              <w:jc w:val="center"/>
              <w:rPr>
                <w:rFonts w:cs="Times New Roman"/>
                <w:color w:val="auto"/>
                <w:sz w:val="21"/>
                <w:szCs w:val="21"/>
              </w:rPr>
            </w:pPr>
            <w:r>
              <w:rPr>
                <w:rFonts w:cs="Times New Roman"/>
                <w:color w:val="auto"/>
                <w:sz w:val="21"/>
                <w:szCs w:val="21"/>
              </w:rPr>
              <w:t xml:space="preserve">4.3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E72C15E">
            <w:pPr>
              <w:widowControl/>
              <w:spacing w:line="240" w:lineRule="auto"/>
              <w:jc w:val="center"/>
              <w:rPr>
                <w:rFonts w:cs="Times New Roman"/>
                <w:color w:val="auto"/>
                <w:sz w:val="21"/>
                <w:szCs w:val="21"/>
              </w:rPr>
            </w:pPr>
            <w:r>
              <w:rPr>
                <w:rFonts w:cs="Times New Roman"/>
                <w:color w:val="auto"/>
                <w:sz w:val="21"/>
                <w:szCs w:val="21"/>
              </w:rPr>
              <w:t xml:space="preserve">0.0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566E78E">
            <w:pPr>
              <w:widowControl/>
              <w:spacing w:line="240" w:lineRule="auto"/>
              <w:jc w:val="center"/>
              <w:rPr>
                <w:rFonts w:cs="Times New Roman"/>
                <w:color w:val="auto"/>
                <w:sz w:val="21"/>
                <w:szCs w:val="21"/>
              </w:rPr>
            </w:pPr>
            <w:r>
              <w:rPr>
                <w:rFonts w:cs="Times New Roman"/>
                <w:color w:val="auto"/>
                <w:sz w:val="21"/>
                <w:szCs w:val="21"/>
              </w:rPr>
              <w:t xml:space="preserve">4.3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B8C2ADA">
            <w:pPr>
              <w:widowControl/>
              <w:spacing w:line="240" w:lineRule="auto"/>
              <w:jc w:val="center"/>
              <w:rPr>
                <w:rFonts w:cs="Times New Roman"/>
                <w:color w:val="auto"/>
                <w:sz w:val="21"/>
                <w:szCs w:val="21"/>
              </w:rPr>
            </w:pPr>
            <w:r>
              <w:rPr>
                <w:rFonts w:cs="Times New Roman"/>
                <w:color w:val="auto"/>
                <w:sz w:val="21"/>
                <w:szCs w:val="21"/>
              </w:rPr>
              <w:t xml:space="preserve">0.2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8765635">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608CA9E">
            <w:pPr>
              <w:widowControl/>
              <w:spacing w:line="240" w:lineRule="auto"/>
              <w:jc w:val="center"/>
              <w:rPr>
                <w:rFonts w:cs="Times New Roman"/>
                <w:color w:val="auto"/>
                <w:sz w:val="21"/>
                <w:szCs w:val="21"/>
              </w:rPr>
            </w:pPr>
            <w:r>
              <w:rPr>
                <w:rFonts w:cs="Times New Roman"/>
                <w:color w:val="auto"/>
                <w:sz w:val="21"/>
                <w:szCs w:val="21"/>
              </w:rPr>
              <w:t xml:space="preserve">0.2 </w:t>
            </w:r>
          </w:p>
        </w:tc>
      </w:tr>
      <w:tr w14:paraId="04AF774E">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CD1B388">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388054B4">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43503860">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F6F32A8">
            <w:pPr>
              <w:widowControl/>
              <w:spacing w:line="240" w:lineRule="auto"/>
              <w:jc w:val="center"/>
              <w:rPr>
                <w:rFonts w:cs="Times New Roman"/>
                <w:color w:val="auto"/>
                <w:sz w:val="21"/>
                <w:szCs w:val="21"/>
              </w:rPr>
            </w:pPr>
            <w:r>
              <w:rPr>
                <w:rFonts w:cs="Times New Roman"/>
                <w:color w:val="auto"/>
                <w:sz w:val="21"/>
                <w:szCs w:val="21"/>
              </w:rPr>
              <w:t xml:space="preserve">0.8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6F38407">
            <w:pPr>
              <w:widowControl/>
              <w:spacing w:line="240" w:lineRule="auto"/>
              <w:jc w:val="center"/>
              <w:rPr>
                <w:rFonts w:cs="Times New Roman"/>
                <w:color w:val="auto"/>
                <w:sz w:val="21"/>
                <w:szCs w:val="21"/>
              </w:rPr>
            </w:pP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2319BD9">
            <w:pPr>
              <w:widowControl/>
              <w:spacing w:line="240" w:lineRule="auto"/>
              <w:jc w:val="center"/>
              <w:rPr>
                <w:rFonts w:cs="Times New Roman"/>
                <w:color w:val="auto"/>
                <w:sz w:val="21"/>
                <w:szCs w:val="21"/>
              </w:rPr>
            </w:pPr>
            <w:r>
              <w:rPr>
                <w:rFonts w:cs="Times New Roman"/>
                <w:color w:val="auto"/>
                <w:sz w:val="21"/>
                <w:szCs w:val="21"/>
              </w:rPr>
              <w:t xml:space="preserve">0.8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07AD07A">
            <w:pPr>
              <w:widowControl/>
              <w:spacing w:line="240" w:lineRule="auto"/>
              <w:jc w:val="center"/>
              <w:rPr>
                <w:rFonts w:cs="Times New Roman"/>
                <w:color w:val="auto"/>
                <w:sz w:val="21"/>
                <w:szCs w:val="21"/>
              </w:rPr>
            </w:pP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7C8DF95">
            <w:pPr>
              <w:widowControl/>
              <w:spacing w:line="240" w:lineRule="auto"/>
              <w:jc w:val="center"/>
              <w:rPr>
                <w:rFonts w:cs="Times New Roman"/>
                <w:color w:val="auto"/>
                <w:sz w:val="21"/>
                <w:szCs w:val="21"/>
              </w:rPr>
            </w:pPr>
            <w:r>
              <w:rPr>
                <w:rFonts w:cs="Times New Roman"/>
                <w:color w:val="auto"/>
                <w:sz w:val="21"/>
                <w:szCs w:val="21"/>
              </w:rPr>
              <w:t xml:space="preserve">0.2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6633463">
            <w:pPr>
              <w:widowControl/>
              <w:spacing w:line="240" w:lineRule="auto"/>
              <w:jc w:val="center"/>
              <w:rPr>
                <w:rFonts w:cs="Times New Roman"/>
                <w:color w:val="auto"/>
                <w:sz w:val="21"/>
                <w:szCs w:val="21"/>
              </w:rPr>
            </w:pPr>
            <w:r>
              <w:rPr>
                <w:rFonts w:cs="Times New Roman"/>
                <w:color w:val="auto"/>
                <w:sz w:val="21"/>
                <w:szCs w:val="21"/>
              </w:rPr>
              <w:t xml:space="preserve">2.7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2101135">
            <w:pPr>
              <w:widowControl/>
              <w:spacing w:line="240" w:lineRule="auto"/>
              <w:jc w:val="center"/>
              <w:rPr>
                <w:rFonts w:cs="Times New Roman"/>
                <w:color w:val="auto"/>
                <w:sz w:val="21"/>
                <w:szCs w:val="21"/>
              </w:rPr>
            </w:pPr>
            <w:r>
              <w:rPr>
                <w:rFonts w:cs="Times New Roman"/>
                <w:color w:val="auto"/>
                <w:sz w:val="21"/>
                <w:szCs w:val="21"/>
              </w:rPr>
              <w:t xml:space="preserve">3.0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E03B181">
            <w:pPr>
              <w:widowControl/>
              <w:spacing w:line="240" w:lineRule="auto"/>
              <w:jc w:val="center"/>
              <w:rPr>
                <w:rFonts w:cs="Times New Roman"/>
                <w:color w:val="auto"/>
                <w:sz w:val="21"/>
                <w:szCs w:val="21"/>
              </w:rPr>
            </w:pP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D11C2A9">
            <w:pPr>
              <w:widowControl/>
              <w:spacing w:line="240" w:lineRule="auto"/>
              <w:jc w:val="center"/>
              <w:rPr>
                <w:rFonts w:cs="Times New Roman"/>
                <w:color w:val="auto"/>
                <w:sz w:val="21"/>
                <w:szCs w:val="21"/>
              </w:rPr>
            </w:pPr>
            <w:r>
              <w:rPr>
                <w:rFonts w:cs="Times New Roman"/>
                <w:color w:val="auto"/>
                <w:sz w:val="21"/>
                <w:szCs w:val="21"/>
              </w:rPr>
              <w:t xml:space="preserve">4.3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A5EA6A8">
            <w:pPr>
              <w:widowControl/>
              <w:spacing w:line="240" w:lineRule="auto"/>
              <w:jc w:val="center"/>
              <w:rPr>
                <w:rFonts w:cs="Times New Roman"/>
                <w:color w:val="auto"/>
                <w:sz w:val="21"/>
                <w:szCs w:val="21"/>
              </w:rPr>
            </w:pPr>
            <w:r>
              <w:rPr>
                <w:rFonts w:cs="Times New Roman"/>
                <w:color w:val="auto"/>
                <w:sz w:val="21"/>
                <w:szCs w:val="21"/>
              </w:rPr>
              <w:t xml:space="preserve">0.0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62E0CB8">
            <w:pPr>
              <w:widowControl/>
              <w:spacing w:line="240" w:lineRule="auto"/>
              <w:jc w:val="center"/>
              <w:rPr>
                <w:rFonts w:cs="Times New Roman"/>
                <w:color w:val="auto"/>
                <w:sz w:val="21"/>
                <w:szCs w:val="21"/>
              </w:rPr>
            </w:pPr>
            <w:r>
              <w:rPr>
                <w:rFonts w:cs="Times New Roman"/>
                <w:color w:val="auto"/>
                <w:sz w:val="21"/>
                <w:szCs w:val="21"/>
              </w:rPr>
              <w:t xml:space="preserve">4.3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679FF5">
            <w:pPr>
              <w:widowControl/>
              <w:spacing w:line="240" w:lineRule="auto"/>
              <w:jc w:val="center"/>
              <w:rPr>
                <w:rFonts w:cs="Times New Roman"/>
                <w:color w:val="auto"/>
                <w:sz w:val="21"/>
                <w:szCs w:val="21"/>
              </w:rPr>
            </w:pPr>
            <w:r>
              <w:rPr>
                <w:rFonts w:cs="Times New Roman"/>
                <w:color w:val="auto"/>
                <w:sz w:val="21"/>
                <w:szCs w:val="21"/>
              </w:rPr>
              <w:t xml:space="preserve">0.2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3CB7CE1">
            <w:pPr>
              <w:widowControl/>
              <w:spacing w:line="240" w:lineRule="auto"/>
              <w:jc w:val="center"/>
              <w:rPr>
                <w:rFonts w:cs="Times New Roman"/>
                <w:color w:val="auto"/>
                <w:sz w:val="21"/>
                <w:szCs w:val="21"/>
              </w:rPr>
            </w:pP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3CA4B42">
            <w:pPr>
              <w:widowControl/>
              <w:spacing w:line="240" w:lineRule="auto"/>
              <w:jc w:val="center"/>
              <w:rPr>
                <w:rFonts w:cs="Times New Roman"/>
                <w:color w:val="auto"/>
                <w:sz w:val="21"/>
                <w:szCs w:val="21"/>
              </w:rPr>
            </w:pPr>
            <w:r>
              <w:rPr>
                <w:rFonts w:cs="Times New Roman"/>
                <w:color w:val="auto"/>
                <w:sz w:val="21"/>
                <w:szCs w:val="21"/>
              </w:rPr>
              <w:t xml:space="preserve">0.2 </w:t>
            </w:r>
          </w:p>
        </w:tc>
      </w:tr>
      <w:tr w14:paraId="5130AEF4">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F24FFE4">
            <w:pPr>
              <w:widowControl/>
              <w:spacing w:line="240" w:lineRule="auto"/>
              <w:jc w:val="center"/>
              <w:rPr>
                <w:rFonts w:cs="Times New Roman"/>
                <w:color w:val="auto"/>
                <w:sz w:val="21"/>
                <w:szCs w:val="21"/>
              </w:rPr>
            </w:pPr>
          </w:p>
        </w:tc>
        <w:tc>
          <w:tcPr>
            <w:tcW w:w="446" w:type="pct"/>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07D6330">
            <w:pPr>
              <w:widowControl/>
              <w:spacing w:line="240" w:lineRule="auto"/>
              <w:jc w:val="center"/>
              <w:rPr>
                <w:rFonts w:cs="Times New Roman"/>
                <w:color w:val="auto"/>
                <w:sz w:val="21"/>
                <w:szCs w:val="21"/>
              </w:rPr>
            </w:pPr>
            <w:r>
              <w:rPr>
                <w:rFonts w:cs="Times New Roman"/>
                <w:color w:val="auto"/>
                <w:sz w:val="21"/>
                <w:szCs w:val="21"/>
              </w:rPr>
              <w:t>富源县黄泥河</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3614BF74">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C9AD5DE">
            <w:pPr>
              <w:widowControl/>
              <w:spacing w:line="240" w:lineRule="auto"/>
              <w:jc w:val="center"/>
              <w:rPr>
                <w:rFonts w:cs="Times New Roman"/>
                <w:color w:val="auto"/>
                <w:sz w:val="21"/>
                <w:szCs w:val="21"/>
              </w:rPr>
            </w:pPr>
            <w:r>
              <w:rPr>
                <w:rFonts w:cs="Times New Roman"/>
                <w:color w:val="auto"/>
                <w:sz w:val="21"/>
                <w:szCs w:val="21"/>
              </w:rPr>
              <w:t xml:space="preserve">58.6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5DB45C">
            <w:pPr>
              <w:widowControl/>
              <w:spacing w:line="240" w:lineRule="auto"/>
              <w:jc w:val="center"/>
              <w:rPr>
                <w:rFonts w:cs="Times New Roman"/>
                <w:color w:val="auto"/>
                <w:sz w:val="21"/>
                <w:szCs w:val="21"/>
              </w:rPr>
            </w:pPr>
            <w:r>
              <w:rPr>
                <w:rFonts w:cs="Times New Roman"/>
                <w:color w:val="auto"/>
                <w:sz w:val="21"/>
                <w:szCs w:val="21"/>
              </w:rPr>
              <w:t xml:space="preserve">16.8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5D29FED">
            <w:pPr>
              <w:widowControl/>
              <w:spacing w:line="240" w:lineRule="auto"/>
              <w:jc w:val="center"/>
              <w:rPr>
                <w:rFonts w:cs="Times New Roman"/>
                <w:color w:val="auto"/>
                <w:sz w:val="21"/>
                <w:szCs w:val="21"/>
              </w:rPr>
            </w:pPr>
            <w:r>
              <w:rPr>
                <w:rFonts w:cs="Times New Roman"/>
                <w:color w:val="auto"/>
                <w:sz w:val="21"/>
                <w:szCs w:val="21"/>
              </w:rPr>
              <w:t xml:space="preserve">41.8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1EB8ADF">
            <w:pPr>
              <w:widowControl/>
              <w:spacing w:line="240" w:lineRule="auto"/>
              <w:jc w:val="center"/>
              <w:rPr>
                <w:rFonts w:cs="Times New Roman"/>
                <w:color w:val="auto"/>
                <w:sz w:val="21"/>
                <w:szCs w:val="21"/>
              </w:rPr>
            </w:pPr>
            <w:r>
              <w:rPr>
                <w:rFonts w:cs="Times New Roman"/>
                <w:color w:val="auto"/>
                <w:sz w:val="21"/>
                <w:szCs w:val="21"/>
              </w:rPr>
              <w:t>28.7%</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492B573">
            <w:pPr>
              <w:widowControl/>
              <w:spacing w:line="240" w:lineRule="auto"/>
              <w:jc w:val="center"/>
              <w:rPr>
                <w:rFonts w:cs="Times New Roman"/>
                <w:color w:val="auto"/>
                <w:sz w:val="21"/>
                <w:szCs w:val="21"/>
              </w:rPr>
            </w:pPr>
            <w:r>
              <w:rPr>
                <w:rFonts w:cs="Times New Roman"/>
                <w:color w:val="auto"/>
                <w:sz w:val="21"/>
                <w:szCs w:val="21"/>
              </w:rPr>
              <w:t xml:space="preserve">11.5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49CEA7">
            <w:pPr>
              <w:widowControl/>
              <w:spacing w:line="240" w:lineRule="auto"/>
              <w:jc w:val="center"/>
              <w:rPr>
                <w:rFonts w:cs="Times New Roman"/>
                <w:color w:val="auto"/>
                <w:sz w:val="21"/>
                <w:szCs w:val="21"/>
              </w:rPr>
            </w:pPr>
            <w:r>
              <w:rPr>
                <w:rFonts w:cs="Times New Roman"/>
                <w:color w:val="auto"/>
                <w:sz w:val="21"/>
                <w:szCs w:val="21"/>
              </w:rPr>
              <w:t xml:space="preserve">94.5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1F82E3F">
            <w:pPr>
              <w:widowControl/>
              <w:spacing w:line="240" w:lineRule="auto"/>
              <w:jc w:val="center"/>
              <w:rPr>
                <w:rFonts w:cs="Times New Roman"/>
                <w:color w:val="auto"/>
                <w:sz w:val="21"/>
                <w:szCs w:val="21"/>
              </w:rPr>
            </w:pPr>
            <w:r>
              <w:rPr>
                <w:rFonts w:cs="Times New Roman"/>
                <w:color w:val="auto"/>
                <w:sz w:val="21"/>
                <w:szCs w:val="21"/>
              </w:rPr>
              <w:t xml:space="preserve">106.0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652DF5A">
            <w:pPr>
              <w:widowControl/>
              <w:spacing w:line="240" w:lineRule="auto"/>
              <w:jc w:val="center"/>
              <w:rPr>
                <w:rFonts w:cs="Times New Roman"/>
                <w:color w:val="auto"/>
                <w:sz w:val="21"/>
                <w:szCs w:val="21"/>
              </w:rPr>
            </w:pPr>
            <w:r>
              <w:rPr>
                <w:rFonts w:cs="Times New Roman"/>
                <w:color w:val="auto"/>
                <w:sz w:val="21"/>
                <w:szCs w:val="21"/>
              </w:rPr>
              <w:t xml:space="preserve">74.3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E725971">
            <w:pPr>
              <w:widowControl/>
              <w:spacing w:line="240" w:lineRule="auto"/>
              <w:jc w:val="center"/>
              <w:rPr>
                <w:rFonts w:cs="Times New Roman"/>
                <w:color w:val="auto"/>
                <w:sz w:val="21"/>
                <w:szCs w:val="21"/>
              </w:rPr>
            </w:pPr>
            <w:r>
              <w:rPr>
                <w:rFonts w:cs="Times New Roman"/>
                <w:color w:val="auto"/>
                <w:sz w:val="21"/>
                <w:szCs w:val="21"/>
              </w:rPr>
              <w:t xml:space="preserve">121.8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936C230">
            <w:pPr>
              <w:widowControl/>
              <w:spacing w:line="240" w:lineRule="auto"/>
              <w:jc w:val="center"/>
              <w:rPr>
                <w:rFonts w:cs="Times New Roman"/>
                <w:color w:val="auto"/>
                <w:sz w:val="21"/>
                <w:szCs w:val="21"/>
              </w:rPr>
            </w:pPr>
            <w:r>
              <w:rPr>
                <w:rFonts w:cs="Times New Roman"/>
                <w:color w:val="auto"/>
                <w:sz w:val="21"/>
                <w:szCs w:val="21"/>
              </w:rPr>
              <w:t xml:space="preserve">2.6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61E4B00">
            <w:pPr>
              <w:widowControl/>
              <w:spacing w:line="240" w:lineRule="auto"/>
              <w:jc w:val="center"/>
              <w:rPr>
                <w:rFonts w:cs="Times New Roman"/>
                <w:color w:val="auto"/>
                <w:sz w:val="21"/>
                <w:szCs w:val="21"/>
              </w:rPr>
            </w:pPr>
            <w:r>
              <w:rPr>
                <w:rFonts w:cs="Times New Roman"/>
                <w:color w:val="auto"/>
                <w:sz w:val="21"/>
                <w:szCs w:val="21"/>
              </w:rPr>
              <w:t xml:space="preserve">124.4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769BC2E">
            <w:pPr>
              <w:widowControl/>
              <w:spacing w:line="240" w:lineRule="auto"/>
              <w:jc w:val="center"/>
              <w:rPr>
                <w:rFonts w:cs="Times New Roman"/>
                <w:color w:val="auto"/>
                <w:sz w:val="21"/>
                <w:szCs w:val="21"/>
              </w:rPr>
            </w:pPr>
            <w:r>
              <w:rPr>
                <w:rFonts w:cs="Times New Roman"/>
                <w:color w:val="auto"/>
                <w:sz w:val="21"/>
                <w:szCs w:val="21"/>
              </w:rPr>
              <w:t xml:space="preserve">17.3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D2085E2">
            <w:pPr>
              <w:widowControl/>
              <w:spacing w:line="240" w:lineRule="auto"/>
              <w:jc w:val="center"/>
              <w:rPr>
                <w:rFonts w:cs="Times New Roman"/>
                <w:color w:val="auto"/>
                <w:sz w:val="21"/>
                <w:szCs w:val="21"/>
              </w:rPr>
            </w:pPr>
            <w:r>
              <w:rPr>
                <w:rFonts w:cs="Times New Roman"/>
                <w:color w:val="auto"/>
                <w:sz w:val="21"/>
                <w:szCs w:val="21"/>
              </w:rPr>
              <w:t xml:space="preserve">1.1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27EFEF1">
            <w:pPr>
              <w:widowControl/>
              <w:spacing w:line="240" w:lineRule="auto"/>
              <w:jc w:val="center"/>
              <w:rPr>
                <w:rFonts w:cs="Times New Roman"/>
                <w:color w:val="auto"/>
                <w:sz w:val="21"/>
                <w:szCs w:val="21"/>
              </w:rPr>
            </w:pPr>
            <w:r>
              <w:rPr>
                <w:rFonts w:cs="Times New Roman"/>
                <w:color w:val="auto"/>
                <w:sz w:val="21"/>
                <w:szCs w:val="21"/>
              </w:rPr>
              <w:t xml:space="preserve">18.4 </w:t>
            </w:r>
          </w:p>
        </w:tc>
      </w:tr>
      <w:tr w14:paraId="682BE30B">
        <w:tblPrEx>
          <w:tblCellMar>
            <w:top w:w="0" w:type="dxa"/>
            <w:left w:w="108" w:type="dxa"/>
            <w:bottom w:w="0" w:type="dxa"/>
            <w:right w:w="108" w:type="dxa"/>
          </w:tblCellMar>
        </w:tblPrEx>
        <w:trPr>
          <w:trHeight w:val="285" w:hRule="atLeast"/>
        </w:trPr>
        <w:tc>
          <w:tcPr>
            <w:tcW w:w="212"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24F5D59F">
            <w:pPr>
              <w:widowControl/>
              <w:spacing w:line="240" w:lineRule="auto"/>
              <w:jc w:val="center"/>
              <w:rPr>
                <w:rFonts w:cs="Times New Roman"/>
                <w:color w:val="auto"/>
                <w:sz w:val="21"/>
                <w:szCs w:val="21"/>
              </w:rPr>
            </w:pPr>
          </w:p>
        </w:tc>
        <w:tc>
          <w:tcPr>
            <w:tcW w:w="446" w:type="pct"/>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567BCCB7">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3B67F01F">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71AFD8D">
            <w:pPr>
              <w:widowControl/>
              <w:spacing w:line="240" w:lineRule="auto"/>
              <w:jc w:val="center"/>
              <w:rPr>
                <w:rFonts w:cs="Times New Roman"/>
                <w:color w:val="auto"/>
                <w:sz w:val="21"/>
                <w:szCs w:val="21"/>
              </w:rPr>
            </w:pPr>
            <w:r>
              <w:rPr>
                <w:rFonts w:cs="Times New Roman"/>
                <w:color w:val="auto"/>
                <w:sz w:val="21"/>
                <w:szCs w:val="21"/>
              </w:rPr>
              <w:t xml:space="preserve">65.7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2579C1C">
            <w:pPr>
              <w:widowControl/>
              <w:spacing w:line="240" w:lineRule="auto"/>
              <w:jc w:val="center"/>
              <w:rPr>
                <w:rFonts w:cs="Times New Roman"/>
                <w:color w:val="auto"/>
                <w:sz w:val="21"/>
                <w:szCs w:val="21"/>
              </w:rPr>
            </w:pPr>
            <w:r>
              <w:rPr>
                <w:rFonts w:cs="Times New Roman"/>
                <w:color w:val="auto"/>
                <w:sz w:val="21"/>
                <w:szCs w:val="21"/>
              </w:rPr>
              <w:t xml:space="preserve">33.9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74AC879">
            <w:pPr>
              <w:widowControl/>
              <w:spacing w:line="240" w:lineRule="auto"/>
              <w:jc w:val="center"/>
              <w:rPr>
                <w:rFonts w:cs="Times New Roman"/>
                <w:color w:val="auto"/>
                <w:sz w:val="21"/>
                <w:szCs w:val="21"/>
              </w:rPr>
            </w:pPr>
            <w:r>
              <w:rPr>
                <w:rFonts w:cs="Times New Roman"/>
                <w:color w:val="auto"/>
                <w:sz w:val="21"/>
                <w:szCs w:val="21"/>
              </w:rPr>
              <w:t xml:space="preserve">31.8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7EA08B4">
            <w:pPr>
              <w:widowControl/>
              <w:spacing w:line="240" w:lineRule="auto"/>
              <w:jc w:val="center"/>
              <w:rPr>
                <w:rFonts w:cs="Times New Roman"/>
                <w:color w:val="auto"/>
                <w:sz w:val="21"/>
                <w:szCs w:val="21"/>
              </w:rPr>
            </w:pPr>
            <w:r>
              <w:rPr>
                <w:rFonts w:cs="Times New Roman"/>
                <w:color w:val="auto"/>
                <w:sz w:val="21"/>
                <w:szCs w:val="21"/>
              </w:rPr>
              <w:t>51.6%</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0B2EA9B">
            <w:pPr>
              <w:widowControl/>
              <w:spacing w:line="240" w:lineRule="auto"/>
              <w:jc w:val="center"/>
              <w:rPr>
                <w:rFonts w:cs="Times New Roman"/>
                <w:color w:val="auto"/>
                <w:sz w:val="21"/>
                <w:szCs w:val="21"/>
              </w:rPr>
            </w:pPr>
            <w:r>
              <w:rPr>
                <w:rFonts w:cs="Times New Roman"/>
                <w:color w:val="auto"/>
                <w:sz w:val="21"/>
                <w:szCs w:val="21"/>
              </w:rPr>
              <w:t xml:space="preserve">12.3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41AFC47">
            <w:pPr>
              <w:widowControl/>
              <w:spacing w:line="240" w:lineRule="auto"/>
              <w:jc w:val="center"/>
              <w:rPr>
                <w:rFonts w:cs="Times New Roman"/>
                <w:color w:val="auto"/>
                <w:sz w:val="21"/>
                <w:szCs w:val="21"/>
              </w:rPr>
            </w:pPr>
            <w:r>
              <w:rPr>
                <w:rFonts w:cs="Times New Roman"/>
                <w:color w:val="auto"/>
                <w:sz w:val="21"/>
                <w:szCs w:val="21"/>
              </w:rPr>
              <w:t xml:space="preserve">107.5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9D8A3E3">
            <w:pPr>
              <w:widowControl/>
              <w:spacing w:line="240" w:lineRule="auto"/>
              <w:jc w:val="center"/>
              <w:rPr>
                <w:rFonts w:cs="Times New Roman"/>
                <w:color w:val="auto"/>
                <w:sz w:val="21"/>
                <w:szCs w:val="21"/>
              </w:rPr>
            </w:pPr>
            <w:r>
              <w:rPr>
                <w:rFonts w:cs="Times New Roman"/>
                <w:color w:val="auto"/>
                <w:sz w:val="21"/>
                <w:szCs w:val="21"/>
              </w:rPr>
              <w:t xml:space="preserve">119.8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DAC5643">
            <w:pPr>
              <w:widowControl/>
              <w:spacing w:line="240" w:lineRule="auto"/>
              <w:jc w:val="center"/>
              <w:rPr>
                <w:rFonts w:cs="Times New Roman"/>
                <w:color w:val="auto"/>
                <w:sz w:val="21"/>
                <w:szCs w:val="21"/>
              </w:rPr>
            </w:pPr>
            <w:r>
              <w:rPr>
                <w:rFonts w:cs="Times New Roman"/>
                <w:color w:val="auto"/>
                <w:sz w:val="21"/>
                <w:szCs w:val="21"/>
              </w:rPr>
              <w:t xml:space="preserve">141.0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3986FD9">
            <w:pPr>
              <w:widowControl/>
              <w:spacing w:line="240" w:lineRule="auto"/>
              <w:jc w:val="center"/>
              <w:rPr>
                <w:rFonts w:cs="Times New Roman"/>
                <w:color w:val="auto"/>
                <w:sz w:val="21"/>
                <w:szCs w:val="21"/>
              </w:rPr>
            </w:pPr>
            <w:r>
              <w:rPr>
                <w:rFonts w:cs="Times New Roman"/>
                <w:color w:val="auto"/>
                <w:sz w:val="21"/>
                <w:szCs w:val="21"/>
              </w:rPr>
              <w:t xml:space="preserve">121.2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BB30E5E">
            <w:pPr>
              <w:widowControl/>
              <w:spacing w:line="240" w:lineRule="auto"/>
              <w:jc w:val="center"/>
              <w:rPr>
                <w:rFonts w:cs="Times New Roman"/>
                <w:color w:val="auto"/>
                <w:sz w:val="21"/>
                <w:szCs w:val="21"/>
              </w:rPr>
            </w:pPr>
            <w:r>
              <w:rPr>
                <w:rFonts w:cs="Times New Roman"/>
                <w:color w:val="auto"/>
                <w:sz w:val="21"/>
                <w:szCs w:val="21"/>
              </w:rPr>
              <w:t xml:space="preserve">2.6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8037FFE">
            <w:pPr>
              <w:widowControl/>
              <w:spacing w:line="240" w:lineRule="auto"/>
              <w:jc w:val="center"/>
              <w:rPr>
                <w:rFonts w:cs="Times New Roman"/>
                <w:color w:val="auto"/>
                <w:sz w:val="21"/>
                <w:szCs w:val="21"/>
              </w:rPr>
            </w:pPr>
            <w:r>
              <w:rPr>
                <w:rFonts w:cs="Times New Roman"/>
                <w:color w:val="auto"/>
                <w:sz w:val="21"/>
                <w:szCs w:val="21"/>
              </w:rPr>
              <w:t xml:space="preserve">123.8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AC249A3">
            <w:pPr>
              <w:widowControl/>
              <w:spacing w:line="240" w:lineRule="auto"/>
              <w:jc w:val="center"/>
              <w:rPr>
                <w:rFonts w:cs="Times New Roman"/>
                <w:color w:val="auto"/>
                <w:sz w:val="21"/>
                <w:szCs w:val="21"/>
              </w:rPr>
            </w:pPr>
            <w:r>
              <w:rPr>
                <w:rFonts w:cs="Times New Roman"/>
                <w:color w:val="auto"/>
                <w:sz w:val="21"/>
                <w:szCs w:val="21"/>
              </w:rPr>
              <w:t xml:space="preserve">20.9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F786E39">
            <w:pPr>
              <w:widowControl/>
              <w:spacing w:line="240" w:lineRule="auto"/>
              <w:jc w:val="center"/>
              <w:rPr>
                <w:rFonts w:cs="Times New Roman"/>
                <w:color w:val="auto"/>
                <w:sz w:val="21"/>
                <w:szCs w:val="21"/>
              </w:rPr>
            </w:pPr>
            <w:r>
              <w:rPr>
                <w:rFonts w:cs="Times New Roman"/>
                <w:color w:val="auto"/>
                <w:sz w:val="21"/>
                <w:szCs w:val="21"/>
              </w:rPr>
              <w:t xml:space="preserve">31.5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E7F27FB">
            <w:pPr>
              <w:widowControl/>
              <w:spacing w:line="240" w:lineRule="auto"/>
              <w:jc w:val="center"/>
              <w:rPr>
                <w:rFonts w:cs="Times New Roman"/>
                <w:color w:val="auto"/>
                <w:sz w:val="21"/>
                <w:szCs w:val="21"/>
              </w:rPr>
            </w:pPr>
            <w:r>
              <w:rPr>
                <w:rFonts w:cs="Times New Roman"/>
                <w:color w:val="auto"/>
                <w:sz w:val="21"/>
                <w:szCs w:val="21"/>
              </w:rPr>
              <w:t xml:space="preserve">52.4 </w:t>
            </w:r>
          </w:p>
        </w:tc>
      </w:tr>
      <w:tr w14:paraId="414AF152">
        <w:tblPrEx>
          <w:tblCellMar>
            <w:top w:w="0" w:type="dxa"/>
            <w:left w:w="108" w:type="dxa"/>
            <w:bottom w:w="0" w:type="dxa"/>
            <w:right w:w="108" w:type="dxa"/>
          </w:tblCellMar>
        </w:tblPrEx>
        <w:trPr>
          <w:trHeight w:val="285" w:hRule="atLeast"/>
        </w:trPr>
        <w:tc>
          <w:tcPr>
            <w:tcW w:w="658" w:type="pct"/>
            <w:gridSpan w:val="2"/>
            <w:vMerge w:val="restart"/>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0F745194">
            <w:pPr>
              <w:widowControl/>
              <w:spacing w:line="240" w:lineRule="auto"/>
              <w:jc w:val="center"/>
              <w:rPr>
                <w:rFonts w:cs="Times New Roman"/>
                <w:color w:val="auto"/>
                <w:sz w:val="21"/>
                <w:szCs w:val="21"/>
              </w:rPr>
            </w:pPr>
            <w:r>
              <w:rPr>
                <w:rFonts w:cs="Times New Roman"/>
                <w:color w:val="auto"/>
                <w:sz w:val="21"/>
                <w:szCs w:val="21"/>
              </w:rPr>
              <w:t>合计</w:t>
            </w: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0BE97EF6">
            <w:pPr>
              <w:widowControl/>
              <w:spacing w:line="240" w:lineRule="auto"/>
              <w:jc w:val="center"/>
              <w:rPr>
                <w:rFonts w:cs="Times New Roman"/>
                <w:color w:val="auto"/>
                <w:sz w:val="21"/>
                <w:szCs w:val="21"/>
              </w:rPr>
            </w:pPr>
            <w:r>
              <w:rPr>
                <w:rFonts w:cs="Times New Roman"/>
                <w:color w:val="auto"/>
                <w:sz w:val="21"/>
                <w:szCs w:val="21"/>
              </w:rPr>
              <w:t>2024年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D7EA38D">
            <w:pPr>
              <w:widowControl/>
              <w:spacing w:line="240" w:lineRule="auto"/>
              <w:jc w:val="center"/>
              <w:rPr>
                <w:rFonts w:cs="Times New Roman"/>
                <w:color w:val="auto"/>
                <w:sz w:val="21"/>
                <w:szCs w:val="21"/>
              </w:rPr>
            </w:pPr>
            <w:r>
              <w:rPr>
                <w:rFonts w:cs="Times New Roman"/>
                <w:color w:val="auto"/>
                <w:sz w:val="21"/>
                <w:szCs w:val="21"/>
              </w:rPr>
              <w:t xml:space="preserve">351.6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19FCF78">
            <w:pPr>
              <w:widowControl/>
              <w:spacing w:line="240" w:lineRule="auto"/>
              <w:jc w:val="center"/>
              <w:rPr>
                <w:rFonts w:cs="Times New Roman"/>
                <w:color w:val="auto"/>
                <w:sz w:val="21"/>
                <w:szCs w:val="21"/>
              </w:rPr>
            </w:pPr>
            <w:r>
              <w:rPr>
                <w:rFonts w:cs="Times New Roman"/>
                <w:color w:val="auto"/>
                <w:sz w:val="21"/>
                <w:szCs w:val="21"/>
              </w:rPr>
              <w:t xml:space="preserve">181.9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924C5B0">
            <w:pPr>
              <w:widowControl/>
              <w:spacing w:line="240" w:lineRule="auto"/>
              <w:jc w:val="center"/>
              <w:rPr>
                <w:rFonts w:cs="Times New Roman"/>
                <w:color w:val="auto"/>
                <w:sz w:val="21"/>
                <w:szCs w:val="21"/>
              </w:rPr>
            </w:pPr>
            <w:r>
              <w:rPr>
                <w:rFonts w:cs="Times New Roman"/>
                <w:color w:val="auto"/>
                <w:sz w:val="21"/>
                <w:szCs w:val="21"/>
              </w:rPr>
              <w:t xml:space="preserve">169.7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C66EB78">
            <w:pPr>
              <w:widowControl/>
              <w:spacing w:line="240" w:lineRule="auto"/>
              <w:jc w:val="center"/>
              <w:rPr>
                <w:rFonts w:cs="Times New Roman"/>
                <w:color w:val="auto"/>
                <w:sz w:val="21"/>
                <w:szCs w:val="21"/>
              </w:rPr>
            </w:pPr>
            <w:r>
              <w:rPr>
                <w:rFonts w:cs="Times New Roman"/>
                <w:color w:val="auto"/>
                <w:sz w:val="21"/>
                <w:szCs w:val="21"/>
              </w:rPr>
              <w:t>51.7%</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3CE3FCF">
            <w:pPr>
              <w:widowControl/>
              <w:spacing w:line="240" w:lineRule="auto"/>
              <w:jc w:val="center"/>
              <w:rPr>
                <w:rFonts w:cs="Times New Roman"/>
                <w:color w:val="auto"/>
                <w:sz w:val="21"/>
                <w:szCs w:val="21"/>
              </w:rPr>
            </w:pPr>
            <w:r>
              <w:rPr>
                <w:rFonts w:cs="Times New Roman"/>
                <w:color w:val="auto"/>
                <w:sz w:val="21"/>
                <w:szCs w:val="21"/>
              </w:rPr>
              <w:t xml:space="preserve">53.1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FE9015D">
            <w:pPr>
              <w:widowControl/>
              <w:spacing w:line="240" w:lineRule="auto"/>
              <w:jc w:val="center"/>
              <w:rPr>
                <w:rFonts w:cs="Times New Roman"/>
                <w:color w:val="auto"/>
                <w:sz w:val="21"/>
                <w:szCs w:val="21"/>
              </w:rPr>
            </w:pPr>
            <w:r>
              <w:rPr>
                <w:rFonts w:cs="Times New Roman"/>
                <w:color w:val="auto"/>
                <w:sz w:val="21"/>
                <w:szCs w:val="21"/>
              </w:rPr>
              <w:t xml:space="preserve">469.6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5E575FF">
            <w:pPr>
              <w:widowControl/>
              <w:spacing w:line="240" w:lineRule="auto"/>
              <w:jc w:val="center"/>
              <w:rPr>
                <w:rFonts w:cs="Times New Roman"/>
                <w:color w:val="auto"/>
                <w:sz w:val="21"/>
                <w:szCs w:val="21"/>
              </w:rPr>
            </w:pPr>
            <w:r>
              <w:rPr>
                <w:rFonts w:cs="Times New Roman"/>
                <w:color w:val="auto"/>
                <w:sz w:val="21"/>
                <w:szCs w:val="21"/>
              </w:rPr>
              <w:t xml:space="preserve">522.7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48469D98">
            <w:pPr>
              <w:widowControl/>
              <w:spacing w:line="240" w:lineRule="auto"/>
              <w:jc w:val="center"/>
              <w:rPr>
                <w:rFonts w:cs="Times New Roman"/>
                <w:color w:val="auto"/>
                <w:sz w:val="21"/>
                <w:szCs w:val="21"/>
              </w:rPr>
            </w:pPr>
            <w:r>
              <w:rPr>
                <w:rFonts w:cs="Times New Roman"/>
                <w:color w:val="auto"/>
                <w:sz w:val="21"/>
                <w:szCs w:val="21"/>
              </w:rPr>
              <w:t xml:space="preserve">743.0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BC6E340">
            <w:pPr>
              <w:widowControl/>
              <w:spacing w:line="240" w:lineRule="auto"/>
              <w:jc w:val="center"/>
              <w:rPr>
                <w:rFonts w:cs="Times New Roman"/>
                <w:color w:val="auto"/>
                <w:sz w:val="21"/>
                <w:szCs w:val="21"/>
              </w:rPr>
            </w:pPr>
            <w:r>
              <w:rPr>
                <w:rFonts w:cs="Times New Roman"/>
                <w:color w:val="auto"/>
                <w:sz w:val="21"/>
                <w:szCs w:val="21"/>
              </w:rPr>
              <w:t xml:space="preserve">613.2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1416D75">
            <w:pPr>
              <w:widowControl/>
              <w:spacing w:line="240" w:lineRule="auto"/>
              <w:jc w:val="center"/>
              <w:rPr>
                <w:rFonts w:cs="Times New Roman"/>
                <w:color w:val="auto"/>
                <w:sz w:val="21"/>
                <w:szCs w:val="21"/>
              </w:rPr>
            </w:pPr>
            <w:r>
              <w:rPr>
                <w:rFonts w:cs="Times New Roman"/>
                <w:color w:val="auto"/>
                <w:sz w:val="21"/>
                <w:szCs w:val="21"/>
              </w:rPr>
              <w:t xml:space="preserve">50.4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C2A75C3">
            <w:pPr>
              <w:widowControl/>
              <w:spacing w:line="240" w:lineRule="auto"/>
              <w:jc w:val="center"/>
              <w:rPr>
                <w:rFonts w:cs="Times New Roman"/>
                <w:color w:val="auto"/>
                <w:sz w:val="21"/>
                <w:szCs w:val="21"/>
              </w:rPr>
            </w:pPr>
            <w:r>
              <w:rPr>
                <w:rFonts w:cs="Times New Roman"/>
                <w:color w:val="auto"/>
                <w:sz w:val="21"/>
                <w:szCs w:val="21"/>
              </w:rPr>
              <w:t xml:space="preserve">663.5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0CD0BF0">
            <w:pPr>
              <w:widowControl/>
              <w:spacing w:line="240" w:lineRule="auto"/>
              <w:jc w:val="center"/>
              <w:rPr>
                <w:rFonts w:cs="Times New Roman"/>
                <w:color w:val="auto"/>
                <w:sz w:val="21"/>
                <w:szCs w:val="21"/>
              </w:rPr>
            </w:pPr>
            <w:r>
              <w:rPr>
                <w:rFonts w:cs="Times New Roman"/>
                <w:color w:val="auto"/>
                <w:sz w:val="21"/>
                <w:szCs w:val="21"/>
              </w:rPr>
              <w:t xml:space="preserve">171.9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5413A76">
            <w:pPr>
              <w:widowControl/>
              <w:spacing w:line="240" w:lineRule="auto"/>
              <w:jc w:val="center"/>
              <w:rPr>
                <w:rFonts w:cs="Times New Roman"/>
                <w:color w:val="auto"/>
                <w:sz w:val="21"/>
                <w:szCs w:val="21"/>
              </w:rPr>
            </w:pPr>
            <w:r>
              <w:rPr>
                <w:rFonts w:cs="Times New Roman"/>
                <w:color w:val="auto"/>
                <w:sz w:val="21"/>
                <w:szCs w:val="21"/>
              </w:rPr>
              <w:t xml:space="preserve">6.1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4C34399">
            <w:pPr>
              <w:widowControl/>
              <w:spacing w:line="240" w:lineRule="auto"/>
              <w:jc w:val="center"/>
              <w:rPr>
                <w:rFonts w:cs="Times New Roman"/>
                <w:color w:val="auto"/>
                <w:sz w:val="21"/>
                <w:szCs w:val="21"/>
              </w:rPr>
            </w:pPr>
            <w:r>
              <w:rPr>
                <w:rFonts w:cs="Times New Roman"/>
                <w:color w:val="auto"/>
                <w:sz w:val="21"/>
                <w:szCs w:val="21"/>
              </w:rPr>
              <w:t xml:space="preserve">178.0 </w:t>
            </w:r>
          </w:p>
        </w:tc>
      </w:tr>
      <w:tr w14:paraId="76A112D7">
        <w:tblPrEx>
          <w:tblCellMar>
            <w:top w:w="0" w:type="dxa"/>
            <w:left w:w="108" w:type="dxa"/>
            <w:bottom w:w="0" w:type="dxa"/>
            <w:right w:w="108" w:type="dxa"/>
          </w:tblCellMar>
        </w:tblPrEx>
        <w:trPr>
          <w:trHeight w:val="285" w:hRule="atLeast"/>
        </w:trPr>
        <w:tc>
          <w:tcPr>
            <w:tcW w:w="658" w:type="pct"/>
            <w:gridSpan w:val="2"/>
            <w:vMerge w:val="continue"/>
            <w:tcBorders>
              <w:top w:val="single" w:color="000000" w:sz="4" w:space="0"/>
              <w:left w:val="single" w:color="000000" w:sz="4" w:space="0"/>
              <w:bottom w:val="single" w:color="000000" w:sz="4" w:space="0"/>
              <w:right w:val="single" w:color="000000" w:sz="4" w:space="0"/>
            </w:tcBorders>
            <w:tcMar>
              <w:top w:w="0" w:type="dxa"/>
              <w:left w:w="0" w:type="dxa"/>
              <w:bottom w:w="0" w:type="dxa"/>
              <w:right w:w="0" w:type="dxa"/>
            </w:tcMar>
            <w:vAlign w:val="center"/>
          </w:tcPr>
          <w:p w14:paraId="72E2D5D8">
            <w:pPr>
              <w:widowControl/>
              <w:spacing w:line="240" w:lineRule="auto"/>
              <w:jc w:val="center"/>
              <w:rPr>
                <w:rFonts w:cs="Times New Roman"/>
                <w:color w:val="auto"/>
                <w:sz w:val="21"/>
                <w:szCs w:val="21"/>
              </w:rPr>
            </w:pPr>
          </w:p>
        </w:tc>
        <w:tc>
          <w:tcPr>
            <w:tcW w:w="366" w:type="pct"/>
            <w:tcBorders>
              <w:top w:val="single" w:color="000000" w:sz="4" w:space="0"/>
              <w:left w:val="single" w:color="000000" w:sz="4" w:space="0"/>
              <w:bottom w:val="single" w:color="000000" w:sz="4" w:space="0"/>
              <w:right w:val="nil"/>
            </w:tcBorders>
            <w:tcMar>
              <w:top w:w="0" w:type="dxa"/>
              <w:left w:w="0" w:type="dxa"/>
              <w:bottom w:w="0" w:type="dxa"/>
              <w:right w:w="0" w:type="dxa"/>
            </w:tcMar>
            <w:vAlign w:val="center"/>
          </w:tcPr>
          <w:p w14:paraId="3AFDB1EB">
            <w:pPr>
              <w:widowControl/>
              <w:spacing w:line="240" w:lineRule="auto"/>
              <w:jc w:val="center"/>
              <w:rPr>
                <w:rFonts w:cs="Times New Roman"/>
                <w:color w:val="auto"/>
                <w:sz w:val="21"/>
                <w:szCs w:val="21"/>
              </w:rPr>
            </w:pPr>
            <w:r>
              <w:rPr>
                <w:rFonts w:cs="Times New Roman"/>
                <w:color w:val="auto"/>
                <w:sz w:val="21"/>
                <w:szCs w:val="21"/>
              </w:rPr>
              <w:t>2035年</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A9AF2DC">
            <w:pPr>
              <w:widowControl/>
              <w:spacing w:line="240" w:lineRule="auto"/>
              <w:jc w:val="center"/>
              <w:rPr>
                <w:rFonts w:cs="Times New Roman"/>
                <w:color w:val="auto"/>
                <w:sz w:val="21"/>
                <w:szCs w:val="21"/>
              </w:rPr>
            </w:pPr>
            <w:r>
              <w:rPr>
                <w:rFonts w:cs="Times New Roman"/>
                <w:color w:val="auto"/>
                <w:sz w:val="21"/>
                <w:szCs w:val="21"/>
              </w:rPr>
              <w:t xml:space="preserve">422.0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3B07371">
            <w:pPr>
              <w:widowControl/>
              <w:spacing w:line="240" w:lineRule="auto"/>
              <w:jc w:val="center"/>
              <w:rPr>
                <w:rFonts w:cs="Times New Roman"/>
                <w:color w:val="auto"/>
                <w:sz w:val="21"/>
                <w:szCs w:val="21"/>
              </w:rPr>
            </w:pPr>
            <w:r>
              <w:rPr>
                <w:rFonts w:cs="Times New Roman"/>
                <w:color w:val="auto"/>
                <w:sz w:val="21"/>
                <w:szCs w:val="21"/>
              </w:rPr>
              <w:t xml:space="preserve">276.0 </w:t>
            </w:r>
          </w:p>
        </w:tc>
        <w:tc>
          <w:tcPr>
            <w:tcW w:w="287"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DB24AE0">
            <w:pPr>
              <w:widowControl/>
              <w:spacing w:line="240" w:lineRule="auto"/>
              <w:jc w:val="center"/>
              <w:rPr>
                <w:rFonts w:cs="Times New Roman"/>
                <w:color w:val="auto"/>
                <w:sz w:val="21"/>
                <w:szCs w:val="21"/>
              </w:rPr>
            </w:pPr>
            <w:r>
              <w:rPr>
                <w:rFonts w:cs="Times New Roman"/>
                <w:color w:val="auto"/>
                <w:sz w:val="21"/>
                <w:szCs w:val="21"/>
              </w:rPr>
              <w:t xml:space="preserve">146.0 </w:t>
            </w:r>
          </w:p>
        </w:tc>
        <w:tc>
          <w:tcPr>
            <w:tcW w:w="29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B4D6F3C">
            <w:pPr>
              <w:widowControl/>
              <w:spacing w:line="240" w:lineRule="auto"/>
              <w:jc w:val="center"/>
              <w:rPr>
                <w:rFonts w:cs="Times New Roman"/>
                <w:color w:val="auto"/>
                <w:sz w:val="21"/>
                <w:szCs w:val="21"/>
              </w:rPr>
            </w:pPr>
            <w:r>
              <w:rPr>
                <w:rFonts w:cs="Times New Roman"/>
                <w:color w:val="auto"/>
                <w:sz w:val="21"/>
                <w:szCs w:val="21"/>
              </w:rPr>
              <w:t>65.4%</w:t>
            </w:r>
          </w:p>
        </w:tc>
        <w:tc>
          <w:tcPr>
            <w:tcW w:w="266"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6057B37">
            <w:pPr>
              <w:widowControl/>
              <w:spacing w:line="240" w:lineRule="auto"/>
              <w:jc w:val="center"/>
              <w:rPr>
                <w:rFonts w:cs="Times New Roman"/>
                <w:color w:val="auto"/>
                <w:sz w:val="21"/>
                <w:szCs w:val="21"/>
              </w:rPr>
            </w:pPr>
            <w:r>
              <w:rPr>
                <w:rFonts w:cs="Times New Roman"/>
                <w:color w:val="auto"/>
                <w:sz w:val="21"/>
                <w:szCs w:val="21"/>
              </w:rPr>
              <w:t xml:space="preserve">56.0 </w:t>
            </w:r>
          </w:p>
        </w:tc>
        <w:tc>
          <w:tcPr>
            <w:tcW w:w="274"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046F1150">
            <w:pPr>
              <w:widowControl/>
              <w:spacing w:line="240" w:lineRule="auto"/>
              <w:jc w:val="center"/>
              <w:rPr>
                <w:rFonts w:cs="Times New Roman"/>
                <w:color w:val="auto"/>
                <w:sz w:val="21"/>
                <w:szCs w:val="21"/>
              </w:rPr>
            </w:pPr>
            <w:r>
              <w:rPr>
                <w:rFonts w:cs="Times New Roman"/>
                <w:color w:val="auto"/>
                <w:sz w:val="21"/>
                <w:szCs w:val="21"/>
              </w:rPr>
              <w:t xml:space="preserve">529.4 </w:t>
            </w:r>
          </w:p>
        </w:tc>
        <w:tc>
          <w:tcPr>
            <w:tcW w:w="27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A498556">
            <w:pPr>
              <w:widowControl/>
              <w:spacing w:line="240" w:lineRule="auto"/>
              <w:jc w:val="center"/>
              <w:rPr>
                <w:rFonts w:cs="Times New Roman"/>
                <w:color w:val="auto"/>
                <w:sz w:val="21"/>
                <w:szCs w:val="21"/>
              </w:rPr>
            </w:pPr>
            <w:r>
              <w:rPr>
                <w:rFonts w:cs="Times New Roman"/>
                <w:color w:val="auto"/>
                <w:sz w:val="21"/>
                <w:szCs w:val="21"/>
              </w:rPr>
              <w:t xml:space="preserve">585.4 </w:t>
            </w:r>
          </w:p>
        </w:tc>
        <w:tc>
          <w:tcPr>
            <w:tcW w:w="299"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E5C6593">
            <w:pPr>
              <w:widowControl/>
              <w:spacing w:line="240" w:lineRule="auto"/>
              <w:jc w:val="center"/>
              <w:rPr>
                <w:rFonts w:cs="Times New Roman"/>
                <w:color w:val="auto"/>
                <w:sz w:val="21"/>
                <w:szCs w:val="21"/>
              </w:rPr>
            </w:pPr>
            <w:r>
              <w:rPr>
                <w:rFonts w:cs="Times New Roman"/>
                <w:color w:val="auto"/>
                <w:sz w:val="21"/>
                <w:szCs w:val="21"/>
              </w:rPr>
              <w:t xml:space="preserve">1593.9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6873D5A">
            <w:pPr>
              <w:widowControl/>
              <w:spacing w:line="240" w:lineRule="auto"/>
              <w:jc w:val="center"/>
              <w:rPr>
                <w:rFonts w:cs="Times New Roman"/>
                <w:color w:val="auto"/>
                <w:sz w:val="21"/>
                <w:szCs w:val="21"/>
              </w:rPr>
            </w:pPr>
            <w:r>
              <w:rPr>
                <w:rFonts w:cs="Times New Roman"/>
                <w:color w:val="auto"/>
                <w:sz w:val="21"/>
                <w:szCs w:val="21"/>
              </w:rPr>
              <w:t xml:space="preserve">603.7 </w:t>
            </w:r>
          </w:p>
        </w:tc>
        <w:tc>
          <w:tcPr>
            <w:tcW w:w="28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20E589BA">
            <w:pPr>
              <w:widowControl/>
              <w:spacing w:line="240" w:lineRule="auto"/>
              <w:jc w:val="center"/>
              <w:rPr>
                <w:rFonts w:cs="Times New Roman"/>
                <w:color w:val="auto"/>
                <w:sz w:val="21"/>
                <w:szCs w:val="21"/>
              </w:rPr>
            </w:pPr>
            <w:r>
              <w:rPr>
                <w:rFonts w:cs="Times New Roman"/>
                <w:color w:val="auto"/>
                <w:sz w:val="21"/>
                <w:szCs w:val="21"/>
              </w:rPr>
              <w:t xml:space="preserve">48.7 </w:t>
            </w:r>
          </w:p>
        </w:tc>
        <w:tc>
          <w:tcPr>
            <w:tcW w:w="295"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6A1D1969">
            <w:pPr>
              <w:widowControl/>
              <w:spacing w:line="240" w:lineRule="auto"/>
              <w:jc w:val="center"/>
              <w:rPr>
                <w:rFonts w:cs="Times New Roman"/>
                <w:color w:val="auto"/>
                <w:sz w:val="21"/>
                <w:szCs w:val="21"/>
              </w:rPr>
            </w:pPr>
            <w:r>
              <w:rPr>
                <w:rFonts w:cs="Times New Roman"/>
                <w:color w:val="auto"/>
                <w:sz w:val="21"/>
                <w:szCs w:val="21"/>
              </w:rPr>
              <w:t xml:space="preserve">652.5 </w:t>
            </w:r>
          </w:p>
        </w:tc>
        <w:tc>
          <w:tcPr>
            <w:tcW w:w="292"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1E3EB2CF">
            <w:pPr>
              <w:widowControl/>
              <w:spacing w:line="240" w:lineRule="auto"/>
              <w:jc w:val="center"/>
              <w:rPr>
                <w:rFonts w:cs="Times New Roman"/>
                <w:color w:val="auto"/>
                <w:sz w:val="21"/>
                <w:szCs w:val="21"/>
              </w:rPr>
            </w:pPr>
            <w:r>
              <w:rPr>
                <w:rFonts w:cs="Times New Roman"/>
                <w:color w:val="auto"/>
                <w:sz w:val="21"/>
                <w:szCs w:val="21"/>
              </w:rPr>
              <w:t xml:space="preserve">214.8 </w:t>
            </w:r>
          </w:p>
        </w:tc>
        <w:tc>
          <w:tcPr>
            <w:tcW w:w="301"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3C7110F6">
            <w:pPr>
              <w:widowControl/>
              <w:spacing w:line="240" w:lineRule="auto"/>
              <w:jc w:val="center"/>
              <w:rPr>
                <w:rFonts w:cs="Times New Roman"/>
                <w:color w:val="auto"/>
                <w:sz w:val="21"/>
                <w:szCs w:val="21"/>
              </w:rPr>
            </w:pPr>
            <w:r>
              <w:rPr>
                <w:rFonts w:cs="Times New Roman"/>
                <w:color w:val="auto"/>
                <w:sz w:val="21"/>
                <w:szCs w:val="21"/>
              </w:rPr>
              <w:t xml:space="preserve">62.0 </w:t>
            </w:r>
          </w:p>
        </w:tc>
        <w:tc>
          <w:tcPr>
            <w:tcW w:w="238" w:type="pct"/>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5D5FB0E6">
            <w:pPr>
              <w:widowControl/>
              <w:spacing w:line="240" w:lineRule="auto"/>
              <w:jc w:val="center"/>
              <w:rPr>
                <w:rFonts w:cs="Times New Roman"/>
                <w:color w:val="auto"/>
                <w:sz w:val="21"/>
                <w:szCs w:val="21"/>
              </w:rPr>
            </w:pPr>
            <w:r>
              <w:rPr>
                <w:rFonts w:cs="Times New Roman"/>
                <w:color w:val="auto"/>
                <w:sz w:val="21"/>
                <w:szCs w:val="21"/>
              </w:rPr>
              <w:t xml:space="preserve">276.8 </w:t>
            </w:r>
          </w:p>
        </w:tc>
      </w:tr>
    </w:tbl>
    <w:p w14:paraId="230D54F3">
      <w:pPr>
        <w:pStyle w:val="14"/>
        <w:ind w:firstLine="480"/>
        <w:rPr>
          <w:color w:val="auto"/>
        </w:rPr>
      </w:pPr>
    </w:p>
    <w:p w14:paraId="2BFCCE96">
      <w:pPr>
        <w:pStyle w:val="14"/>
        <w:ind w:firstLine="480"/>
        <w:rPr>
          <w:color w:val="auto"/>
        </w:rPr>
      </w:pPr>
    </w:p>
    <w:p w14:paraId="56C2DDD6">
      <w:pPr>
        <w:pStyle w:val="14"/>
        <w:ind w:firstLine="480"/>
        <w:rPr>
          <w:rFonts w:hint="eastAsia"/>
          <w:color w:val="auto"/>
        </w:rPr>
        <w:sectPr>
          <w:pgSz w:w="16838" w:h="11906" w:orient="landscape"/>
          <w:pgMar w:top="1800" w:right="1440" w:bottom="1800" w:left="1440" w:header="851" w:footer="992" w:gutter="0"/>
          <w:cols w:space="425" w:num="1"/>
          <w:docGrid w:type="lines" w:linePitch="326" w:charSpace="0"/>
        </w:sectPr>
      </w:pPr>
    </w:p>
    <w:p w14:paraId="524AF357">
      <w:pPr>
        <w:pStyle w:val="14"/>
        <w:numPr>
          <w:ilvl w:val="0"/>
          <w:numId w:val="13"/>
        </w:numPr>
        <w:ind w:firstLineChars="0"/>
        <w:rPr>
          <w:color w:val="auto"/>
        </w:rPr>
      </w:pPr>
      <w:r>
        <w:rPr>
          <w:color w:val="auto"/>
        </w:rPr>
        <w:t>供水量预测</w:t>
      </w:r>
    </w:p>
    <w:p w14:paraId="452136FA">
      <w:pPr>
        <w:pStyle w:val="14"/>
        <w:ind w:firstLine="480"/>
        <w:rPr>
          <w:color w:val="auto"/>
        </w:rPr>
      </w:pPr>
      <w:r>
        <w:rPr>
          <w:color w:val="auto"/>
        </w:rPr>
        <w:t>各类用水量采用《</w:t>
      </w:r>
      <w:r>
        <w:rPr>
          <w:rFonts w:hint="eastAsia"/>
          <w:color w:val="auto"/>
        </w:rPr>
        <w:t>南盘江（曲靖市境内）流域综合规划</w:t>
      </w:r>
      <w:r>
        <w:rPr>
          <w:color w:val="auto"/>
        </w:rPr>
        <w:t>》中成果，到2035年，</w:t>
      </w:r>
      <w:r>
        <w:rPr>
          <w:rFonts w:hint="eastAsia"/>
          <w:color w:val="auto"/>
        </w:rPr>
        <w:t>规划重点工程实施</w:t>
      </w:r>
      <w:r>
        <w:rPr>
          <w:color w:val="auto"/>
        </w:rPr>
        <w:t>前，供水总量为</w:t>
      </w:r>
      <w:r>
        <w:rPr>
          <w:rFonts w:hint="eastAsia"/>
          <w:color w:val="auto"/>
        </w:rPr>
        <w:t>121160</w:t>
      </w:r>
      <w:r>
        <w:rPr>
          <w:color w:val="auto"/>
        </w:rPr>
        <w:t>万m</w:t>
      </w:r>
      <w:r>
        <w:rPr>
          <w:color w:val="auto"/>
          <w:vertAlign w:val="superscript"/>
        </w:rPr>
        <w:t>3</w:t>
      </w:r>
      <w:r>
        <w:rPr>
          <w:color w:val="auto"/>
        </w:rPr>
        <w:t>，其中城镇生活</w:t>
      </w:r>
      <w:r>
        <w:rPr>
          <w:rFonts w:hint="eastAsia"/>
          <w:color w:val="auto"/>
        </w:rPr>
        <w:t>14233</w:t>
      </w:r>
      <w:r>
        <w:rPr>
          <w:color w:val="auto"/>
        </w:rPr>
        <w:t>万m</w:t>
      </w:r>
      <w:r>
        <w:rPr>
          <w:color w:val="auto"/>
          <w:vertAlign w:val="superscript"/>
        </w:rPr>
        <w:t>3</w:t>
      </w:r>
      <w:r>
        <w:rPr>
          <w:color w:val="auto"/>
        </w:rPr>
        <w:t>、农村生活</w:t>
      </w:r>
      <w:r>
        <w:rPr>
          <w:rFonts w:hint="eastAsia"/>
          <w:color w:val="auto"/>
        </w:rPr>
        <w:t>11186</w:t>
      </w:r>
      <w:r>
        <w:rPr>
          <w:color w:val="auto"/>
        </w:rPr>
        <w:t>万m</w:t>
      </w:r>
      <w:r>
        <w:rPr>
          <w:color w:val="auto"/>
          <w:vertAlign w:val="superscript"/>
        </w:rPr>
        <w:t>3</w:t>
      </w:r>
      <w:r>
        <w:rPr>
          <w:color w:val="auto"/>
        </w:rPr>
        <w:t>、工业</w:t>
      </w:r>
      <w:r>
        <w:rPr>
          <w:rFonts w:hint="eastAsia"/>
          <w:color w:val="auto"/>
        </w:rPr>
        <w:t>23387</w:t>
      </w:r>
      <w:r>
        <w:rPr>
          <w:color w:val="auto"/>
        </w:rPr>
        <w:t>万m</w:t>
      </w:r>
      <w:r>
        <w:rPr>
          <w:color w:val="auto"/>
          <w:vertAlign w:val="superscript"/>
        </w:rPr>
        <w:t>3</w:t>
      </w:r>
      <w:r>
        <w:rPr>
          <w:color w:val="auto"/>
        </w:rPr>
        <w:t>、农业常规灌溉</w:t>
      </w:r>
      <w:r>
        <w:rPr>
          <w:rFonts w:hint="eastAsia"/>
          <w:color w:val="auto"/>
        </w:rPr>
        <w:t>68076.20</w:t>
      </w:r>
      <w:r>
        <w:rPr>
          <w:color w:val="auto"/>
        </w:rPr>
        <w:t>万m</w:t>
      </w:r>
      <w:r>
        <w:rPr>
          <w:color w:val="auto"/>
          <w:vertAlign w:val="superscript"/>
        </w:rPr>
        <w:t>3</w:t>
      </w:r>
      <w:r>
        <w:rPr>
          <w:color w:val="auto"/>
        </w:rPr>
        <w:t>，农业高效节水灌溉</w:t>
      </w:r>
      <w:r>
        <w:rPr>
          <w:rFonts w:hint="eastAsia"/>
          <w:color w:val="auto"/>
        </w:rPr>
        <w:t>4278.82</w:t>
      </w:r>
      <w:r>
        <w:rPr>
          <w:color w:val="auto"/>
        </w:rPr>
        <w:t>万m</w:t>
      </w:r>
      <w:r>
        <w:rPr>
          <w:color w:val="auto"/>
          <w:vertAlign w:val="superscript"/>
        </w:rPr>
        <w:t>3</w:t>
      </w:r>
      <w:r>
        <w:rPr>
          <w:color w:val="auto"/>
        </w:rPr>
        <w:t>。到2035年，</w:t>
      </w:r>
      <w:r>
        <w:rPr>
          <w:rFonts w:hint="eastAsia"/>
          <w:color w:val="auto"/>
        </w:rPr>
        <w:t>规划重点工程实施</w:t>
      </w:r>
      <w:r>
        <w:rPr>
          <w:color w:val="auto"/>
        </w:rPr>
        <w:t>后，供水总量为</w:t>
      </w:r>
      <w:r>
        <w:rPr>
          <w:rFonts w:hint="eastAsia"/>
          <w:color w:val="auto"/>
        </w:rPr>
        <w:t>171737</w:t>
      </w:r>
      <w:r>
        <w:rPr>
          <w:color w:val="auto"/>
        </w:rPr>
        <w:t>万m</w:t>
      </w:r>
      <w:r>
        <w:rPr>
          <w:color w:val="auto"/>
          <w:vertAlign w:val="superscript"/>
        </w:rPr>
        <w:t>3</w:t>
      </w:r>
      <w:r>
        <w:rPr>
          <w:color w:val="auto"/>
        </w:rPr>
        <w:t>，其中城镇生活</w:t>
      </w:r>
      <w:r>
        <w:rPr>
          <w:rFonts w:hint="eastAsia"/>
          <w:color w:val="auto"/>
        </w:rPr>
        <w:t>25900</w:t>
      </w:r>
      <w:r>
        <w:rPr>
          <w:color w:val="auto"/>
        </w:rPr>
        <w:t>万m</w:t>
      </w:r>
      <w:r>
        <w:rPr>
          <w:color w:val="auto"/>
          <w:vertAlign w:val="superscript"/>
        </w:rPr>
        <w:t>3</w:t>
      </w:r>
      <w:r>
        <w:rPr>
          <w:color w:val="auto"/>
        </w:rPr>
        <w:t>、农村生活</w:t>
      </w:r>
      <w:r>
        <w:rPr>
          <w:rFonts w:hint="eastAsia"/>
          <w:color w:val="auto"/>
        </w:rPr>
        <w:t>12132</w:t>
      </w:r>
      <w:r>
        <w:rPr>
          <w:color w:val="auto"/>
        </w:rPr>
        <w:t>万m</w:t>
      </w:r>
      <w:r>
        <w:rPr>
          <w:color w:val="auto"/>
          <w:vertAlign w:val="superscript"/>
        </w:rPr>
        <w:t>3</w:t>
      </w:r>
      <w:r>
        <w:rPr>
          <w:color w:val="auto"/>
        </w:rPr>
        <w:t>、工业</w:t>
      </w:r>
      <w:r>
        <w:rPr>
          <w:rFonts w:hint="eastAsia"/>
          <w:color w:val="auto"/>
        </w:rPr>
        <w:t>36493</w:t>
      </w:r>
      <w:r>
        <w:rPr>
          <w:color w:val="auto"/>
        </w:rPr>
        <w:t>万m</w:t>
      </w:r>
      <w:r>
        <w:rPr>
          <w:color w:val="auto"/>
          <w:vertAlign w:val="superscript"/>
        </w:rPr>
        <w:t>3</w:t>
      </w:r>
      <w:r>
        <w:rPr>
          <w:color w:val="auto"/>
        </w:rPr>
        <w:t>、农业常规灌溉</w:t>
      </w:r>
      <w:r>
        <w:rPr>
          <w:rFonts w:hint="eastAsia"/>
          <w:color w:val="auto"/>
        </w:rPr>
        <w:t>87015.75</w:t>
      </w:r>
      <w:r>
        <w:rPr>
          <w:color w:val="auto"/>
        </w:rPr>
        <w:t>万m</w:t>
      </w:r>
      <w:r>
        <w:rPr>
          <w:color w:val="auto"/>
          <w:vertAlign w:val="superscript"/>
        </w:rPr>
        <w:t>3</w:t>
      </w:r>
      <w:r>
        <w:rPr>
          <w:color w:val="auto"/>
        </w:rPr>
        <w:t>，农业高效节水灌溉</w:t>
      </w:r>
      <w:r>
        <w:rPr>
          <w:rFonts w:hint="eastAsia"/>
          <w:color w:val="auto"/>
        </w:rPr>
        <w:t>10196.25</w:t>
      </w:r>
      <w:r>
        <w:rPr>
          <w:color w:val="auto"/>
        </w:rPr>
        <w:t>万m</w:t>
      </w:r>
      <w:r>
        <w:rPr>
          <w:color w:val="auto"/>
          <w:vertAlign w:val="superscript"/>
        </w:rPr>
        <w:t>3</w:t>
      </w:r>
      <w:r>
        <w:rPr>
          <w:color w:val="auto"/>
        </w:rPr>
        <w:t>。</w:t>
      </w:r>
    </w:p>
    <w:p w14:paraId="6637C284">
      <w:pPr>
        <w:pStyle w:val="14"/>
        <w:ind w:firstLine="480"/>
        <w:rPr>
          <w:color w:val="auto"/>
        </w:rPr>
      </w:pPr>
      <w:r>
        <w:rPr>
          <w:rFonts w:hint="eastAsia"/>
          <w:color w:val="auto"/>
        </w:rPr>
        <w:t>（3）退水量及退水浓度</w:t>
      </w:r>
    </w:p>
    <w:p w14:paraId="10003D46">
      <w:pPr>
        <w:pStyle w:val="14"/>
        <w:ind w:firstLine="480"/>
        <w:rPr>
          <w:rFonts w:hint="eastAsia"/>
          <w:color w:val="auto"/>
        </w:rPr>
      </w:pPr>
      <w:r>
        <w:rPr>
          <w:rFonts w:hint="eastAsia"/>
          <w:color w:val="auto"/>
        </w:rPr>
        <w:t>1）城镇生活污染</w:t>
      </w:r>
    </w:p>
    <w:p w14:paraId="38FA8CA7">
      <w:pPr>
        <w:pStyle w:val="14"/>
        <w:ind w:firstLine="480"/>
        <w:rPr>
          <w:color w:val="auto"/>
        </w:rPr>
      </w:pPr>
      <w:r>
        <w:rPr>
          <w:rFonts w:hint="eastAsia"/>
          <w:color w:val="auto"/>
        </w:rPr>
        <w:t>①</w:t>
      </w:r>
      <w:r>
        <w:rPr>
          <w:color w:val="auto"/>
        </w:rPr>
        <w:t>城镇生活污水排放量</w:t>
      </w:r>
    </w:p>
    <w:p w14:paraId="5DEA1761">
      <w:pPr>
        <w:pStyle w:val="14"/>
        <w:ind w:firstLine="480"/>
        <w:rPr>
          <w:rFonts w:hint="eastAsia"/>
          <w:color w:val="auto"/>
        </w:rPr>
      </w:pPr>
      <w:r>
        <w:rPr>
          <w:color w:val="auto"/>
        </w:rPr>
        <w:t>城镇生活污水排放量根据用水量及排放系数测算，排放系数根据《生活污染源产排污系数手册》取值0.8</w:t>
      </w:r>
      <w:r>
        <w:rPr>
          <w:rFonts w:hint="eastAsia"/>
          <w:color w:val="auto"/>
        </w:rPr>
        <w:t>5</w:t>
      </w:r>
      <w:r>
        <w:rPr>
          <w:color w:val="auto"/>
        </w:rPr>
        <w:t>，同时考虑废水收集处理率及回用情况（未收集的就直接排放，有回用的，就不统计在最终入河）。根据《</w:t>
      </w:r>
      <w:r>
        <w:rPr>
          <w:rFonts w:hint="eastAsia"/>
          <w:color w:val="auto"/>
        </w:rPr>
        <w:t>曲靖市国土空间总体规划（2021—2035年）</w:t>
      </w:r>
      <w:r>
        <w:rPr>
          <w:color w:val="auto"/>
        </w:rPr>
        <w:t>》，到203</w:t>
      </w:r>
      <w:r>
        <w:rPr>
          <w:rFonts w:hint="eastAsia"/>
          <w:color w:val="auto"/>
        </w:rPr>
        <w:t>5</w:t>
      </w:r>
      <w:r>
        <w:rPr>
          <w:color w:val="auto"/>
        </w:rPr>
        <w:t>年，城</w:t>
      </w:r>
      <w:r>
        <w:rPr>
          <w:rFonts w:hint="eastAsia"/>
          <w:color w:val="auto"/>
        </w:rPr>
        <w:t>乡</w:t>
      </w:r>
      <w:r>
        <w:rPr>
          <w:color w:val="auto"/>
        </w:rPr>
        <w:t>生活污水收集率达到</w:t>
      </w:r>
      <w:r>
        <w:rPr>
          <w:rFonts w:hint="eastAsia"/>
          <w:color w:val="auto"/>
        </w:rPr>
        <w:t>95</w:t>
      </w:r>
      <w:r>
        <w:rPr>
          <w:color w:val="auto"/>
        </w:rPr>
        <w:t>%</w:t>
      </w:r>
      <w:r>
        <w:rPr>
          <w:rFonts w:hint="eastAsia"/>
          <w:color w:val="auto"/>
        </w:rPr>
        <w:t>，处理率达到100%。</w:t>
      </w:r>
      <w:r>
        <w:rPr>
          <w:color w:val="auto"/>
        </w:rPr>
        <w:t>本次规划水平年城</w:t>
      </w:r>
      <w:r>
        <w:rPr>
          <w:rFonts w:hint="eastAsia"/>
          <w:color w:val="auto"/>
        </w:rPr>
        <w:t>乡</w:t>
      </w:r>
      <w:r>
        <w:rPr>
          <w:color w:val="auto"/>
        </w:rPr>
        <w:t>污水收集率按9</w:t>
      </w:r>
      <w:r>
        <w:rPr>
          <w:rFonts w:hint="eastAsia"/>
          <w:color w:val="auto"/>
        </w:rPr>
        <w:t>5</w:t>
      </w:r>
      <w:r>
        <w:rPr>
          <w:color w:val="auto"/>
        </w:rPr>
        <w:t>%预测；污水处理厂再生水回用率</w:t>
      </w:r>
      <w:r>
        <w:rPr>
          <w:rFonts w:hint="eastAsia"/>
          <w:color w:val="auto"/>
        </w:rPr>
        <w:t>按不低于25</w:t>
      </w:r>
      <w:r>
        <w:rPr>
          <w:color w:val="auto"/>
        </w:rPr>
        <w:t>%</w:t>
      </w:r>
      <w:r>
        <w:rPr>
          <w:rFonts w:hint="eastAsia"/>
          <w:color w:val="auto"/>
        </w:rPr>
        <w:t>预测</w:t>
      </w:r>
      <w:r>
        <w:rPr>
          <w:color w:val="auto"/>
        </w:rPr>
        <w:t>。</w:t>
      </w:r>
      <w:r>
        <w:rPr>
          <w:rFonts w:hint="eastAsia"/>
          <w:color w:val="auto"/>
        </w:rPr>
        <w:t>入河系数取0.8。</w:t>
      </w:r>
    </w:p>
    <w:p w14:paraId="6C34FCA2">
      <w:pPr>
        <w:pStyle w:val="14"/>
        <w:ind w:firstLine="480"/>
        <w:rPr>
          <w:rFonts w:hint="eastAsia"/>
          <w:color w:val="auto"/>
        </w:rPr>
      </w:pPr>
      <w:r>
        <w:rPr>
          <w:rFonts w:hint="eastAsia"/>
          <w:color w:val="auto"/>
        </w:rPr>
        <w:t>②</w:t>
      </w:r>
      <w:r>
        <w:rPr>
          <w:color w:val="auto"/>
        </w:rPr>
        <w:t>城镇生活污水排放</w:t>
      </w:r>
      <w:r>
        <w:rPr>
          <w:rFonts w:hint="eastAsia"/>
          <w:color w:val="auto"/>
        </w:rPr>
        <w:t>浓度</w:t>
      </w:r>
    </w:p>
    <w:p w14:paraId="2DCD4FF3">
      <w:pPr>
        <w:pStyle w:val="14"/>
        <w:ind w:firstLine="480"/>
        <w:rPr>
          <w:rFonts w:hint="eastAsia"/>
          <w:color w:val="auto"/>
        </w:rPr>
      </w:pPr>
      <w:r>
        <w:rPr>
          <w:rFonts w:hint="eastAsia"/>
          <w:color w:val="auto"/>
        </w:rPr>
        <w:t>对于无法进入生活污水处理厂的部分，按照生活污水经化粪池处理后的初始浓度进行核算；类比相同性质的城镇生活污水（仅考虑生活污水，不考虑接收工业废水）处理厂进水生活污水浓度，COD为325mg/L，NH</w:t>
      </w:r>
      <w:r>
        <w:rPr>
          <w:rFonts w:hint="eastAsia"/>
          <w:color w:val="auto"/>
          <w:vertAlign w:val="subscript"/>
        </w:rPr>
        <w:t>3</w:t>
      </w:r>
      <w:r>
        <w:rPr>
          <w:rFonts w:hint="eastAsia"/>
          <w:color w:val="auto"/>
        </w:rPr>
        <w:t>-N为37.7mg/L，TN为49.8mg/L，TP为4.28mg/L。</w:t>
      </w:r>
    </w:p>
    <w:p w14:paraId="73526147">
      <w:pPr>
        <w:pStyle w:val="14"/>
        <w:ind w:firstLine="480"/>
        <w:rPr>
          <w:rFonts w:hint="eastAsia"/>
          <w:color w:val="auto"/>
        </w:rPr>
      </w:pPr>
      <w:r>
        <w:rPr>
          <w:rFonts w:hint="eastAsia"/>
          <w:color w:val="auto"/>
        </w:rPr>
        <w:t>对于进入生活污水处理厂的，按不低于现状污水处理厂出水考虑。根据现状区域内已建污水处理厂出水水质的平均值进行预测，COD为14.11mg/L，NH3-N为0.52mg/L，TN为8.67mg/L，TP为0.20mg/L。</w:t>
      </w:r>
    </w:p>
    <w:p w14:paraId="191A9129">
      <w:pPr>
        <w:pStyle w:val="14"/>
        <w:ind w:firstLine="480"/>
        <w:rPr>
          <w:rFonts w:hint="eastAsia"/>
          <w:color w:val="auto"/>
        </w:rPr>
      </w:pPr>
      <w:r>
        <w:rPr>
          <w:rFonts w:hint="eastAsia"/>
          <w:color w:val="auto"/>
        </w:rPr>
        <w:t>2）工业企业污染</w:t>
      </w:r>
    </w:p>
    <w:p w14:paraId="07B60880">
      <w:pPr>
        <w:pStyle w:val="14"/>
        <w:ind w:firstLine="480"/>
        <w:rPr>
          <w:color w:val="auto"/>
        </w:rPr>
      </w:pPr>
      <w:r>
        <w:rPr>
          <w:rFonts w:hint="eastAsia"/>
          <w:color w:val="auto"/>
        </w:rPr>
        <w:t>①工业废水</w:t>
      </w:r>
      <w:r>
        <w:rPr>
          <w:color w:val="auto"/>
        </w:rPr>
        <w:t>排放量</w:t>
      </w:r>
    </w:p>
    <w:p w14:paraId="0EFA5C91">
      <w:pPr>
        <w:pStyle w:val="14"/>
        <w:ind w:firstLine="480"/>
        <w:rPr>
          <w:color w:val="auto"/>
        </w:rPr>
      </w:pPr>
      <w:r>
        <w:rPr>
          <w:rFonts w:hint="eastAsia"/>
          <w:color w:val="auto"/>
        </w:rPr>
        <w:t>根据</w:t>
      </w:r>
      <w:r>
        <w:rPr>
          <w:color w:val="auto"/>
        </w:rPr>
        <w:t>《</w:t>
      </w:r>
      <w:r>
        <w:rPr>
          <w:rFonts w:hint="eastAsia"/>
          <w:color w:val="auto"/>
        </w:rPr>
        <w:t>南盘江（曲靖市境内）流域综合规划</w:t>
      </w:r>
      <w:r>
        <w:rPr>
          <w:color w:val="auto"/>
        </w:rPr>
        <w:t>》</w:t>
      </w:r>
      <w:r>
        <w:rPr>
          <w:rFonts w:hint="eastAsia"/>
          <w:color w:val="auto"/>
        </w:rPr>
        <w:t>中工业企业供水量，以及</w:t>
      </w:r>
      <w:r>
        <w:rPr>
          <w:color w:val="auto"/>
        </w:rPr>
        <w:t>《</w:t>
      </w:r>
      <w:r>
        <w:rPr>
          <w:rFonts w:hint="eastAsia"/>
          <w:color w:val="auto"/>
        </w:rPr>
        <w:t>曲靖市国土空间总体规划（2021—2035年）</w:t>
      </w:r>
      <w:r>
        <w:rPr>
          <w:color w:val="auto"/>
        </w:rPr>
        <w:t>》</w:t>
      </w:r>
      <w:r>
        <w:rPr>
          <w:rFonts w:hint="eastAsia"/>
          <w:color w:val="auto"/>
        </w:rPr>
        <w:t>中</w:t>
      </w:r>
      <w:r>
        <w:rPr>
          <w:color w:val="auto"/>
        </w:rPr>
        <w:t>工业用水重复利用率9</w:t>
      </w:r>
      <w:r>
        <w:rPr>
          <w:rFonts w:hint="eastAsia"/>
          <w:color w:val="auto"/>
        </w:rPr>
        <w:t>5</w:t>
      </w:r>
      <w:r>
        <w:rPr>
          <w:color w:val="auto"/>
        </w:rPr>
        <w:t>%（排放系数</w:t>
      </w:r>
      <w:r>
        <w:rPr>
          <w:rFonts w:hint="eastAsia"/>
          <w:color w:val="auto"/>
        </w:rPr>
        <w:t>5</w:t>
      </w:r>
      <w:r>
        <w:rPr>
          <w:color w:val="auto"/>
        </w:rPr>
        <w:t>%），测算工业废水排放量</w:t>
      </w:r>
      <w:r>
        <w:rPr>
          <w:rFonts w:hint="eastAsia"/>
          <w:color w:val="auto"/>
        </w:rPr>
        <w:t>。</w:t>
      </w:r>
    </w:p>
    <w:p w14:paraId="6EAC218D">
      <w:pPr>
        <w:pStyle w:val="14"/>
        <w:ind w:firstLine="480"/>
        <w:rPr>
          <w:rFonts w:hint="eastAsia"/>
          <w:color w:val="auto"/>
        </w:rPr>
      </w:pPr>
      <w:r>
        <w:rPr>
          <w:rFonts w:hint="eastAsia"/>
          <w:color w:val="auto"/>
        </w:rPr>
        <w:t>②工业废水排放浓度</w:t>
      </w:r>
    </w:p>
    <w:p w14:paraId="46389329">
      <w:pPr>
        <w:pStyle w:val="14"/>
        <w:ind w:firstLine="480"/>
        <w:rPr>
          <w:color w:val="auto"/>
        </w:rPr>
      </w:pPr>
      <w:r>
        <w:rPr>
          <w:rFonts w:hint="eastAsia"/>
          <w:color w:val="auto"/>
        </w:rPr>
        <w:t>工业企业污水95%回用，剩余的排入污水处理厂，按污水处理厂出水浓度进行预测。</w:t>
      </w:r>
    </w:p>
    <w:p w14:paraId="2ABB77B3">
      <w:pPr>
        <w:pStyle w:val="14"/>
        <w:ind w:firstLine="480"/>
        <w:rPr>
          <w:color w:val="auto"/>
        </w:rPr>
      </w:pPr>
      <w:r>
        <w:rPr>
          <w:rFonts w:hint="eastAsia"/>
          <w:color w:val="auto"/>
        </w:rPr>
        <w:t>3）</w:t>
      </w:r>
      <w:r>
        <w:rPr>
          <w:color w:val="auto"/>
        </w:rPr>
        <w:t>农村生活污水</w:t>
      </w:r>
      <w:r>
        <w:rPr>
          <w:rFonts w:hint="eastAsia"/>
          <w:color w:val="auto"/>
        </w:rPr>
        <w:t>污染</w:t>
      </w:r>
    </w:p>
    <w:p w14:paraId="18070A18">
      <w:pPr>
        <w:pStyle w:val="14"/>
        <w:ind w:firstLine="480"/>
        <w:rPr>
          <w:color w:val="auto"/>
        </w:rPr>
      </w:pPr>
      <w:r>
        <w:rPr>
          <w:rFonts w:hint="eastAsia"/>
          <w:color w:val="auto"/>
        </w:rPr>
        <w:t>①农村生活污水</w:t>
      </w:r>
      <w:r>
        <w:rPr>
          <w:color w:val="auto"/>
        </w:rPr>
        <w:t>排放量</w:t>
      </w:r>
    </w:p>
    <w:p w14:paraId="5B3BB6AC">
      <w:pPr>
        <w:pStyle w:val="14"/>
        <w:ind w:firstLine="480"/>
        <w:rPr>
          <w:rFonts w:hint="eastAsia"/>
          <w:color w:val="auto"/>
        </w:rPr>
      </w:pPr>
      <w:r>
        <w:rPr>
          <w:color w:val="auto"/>
        </w:rPr>
        <w:t>农村生活污水排放量根据用水量及排放系数测算，根据相关学者的研究结果，农村居民生活污水产排污系数与收入水平、有无排污设施及季节变化等因素没有明显的相关性，目前农村居民生活排水量在用水量的45%~80%之间，随着生活水平提高，农村生活排水设施逐渐完善，规划年排污系数取60%。</w:t>
      </w:r>
      <w:r>
        <w:rPr>
          <w:rFonts w:hint="eastAsia"/>
          <w:color w:val="auto"/>
        </w:rPr>
        <w:t>农村生活污水收集率根据各县（区）农村生活污水治理专项规划，取80%。入河系数取0.8。</w:t>
      </w:r>
    </w:p>
    <w:p w14:paraId="0CC01BFB">
      <w:pPr>
        <w:pStyle w:val="14"/>
        <w:ind w:firstLine="480"/>
        <w:rPr>
          <w:rFonts w:hint="eastAsia"/>
          <w:color w:val="auto"/>
        </w:rPr>
      </w:pPr>
      <w:r>
        <w:rPr>
          <w:rFonts w:hint="eastAsia"/>
          <w:color w:val="auto"/>
        </w:rPr>
        <w:t>②农村生活污水</w:t>
      </w:r>
      <w:r>
        <w:rPr>
          <w:color w:val="auto"/>
        </w:rPr>
        <w:t>排放</w:t>
      </w:r>
      <w:r>
        <w:rPr>
          <w:rFonts w:hint="eastAsia"/>
          <w:color w:val="auto"/>
        </w:rPr>
        <w:t>浓度</w:t>
      </w:r>
    </w:p>
    <w:p w14:paraId="36849D82">
      <w:pPr>
        <w:pStyle w:val="14"/>
        <w:ind w:firstLine="480"/>
        <w:rPr>
          <w:color w:val="auto"/>
        </w:rPr>
      </w:pPr>
      <w:r>
        <w:rPr>
          <w:rFonts w:hint="eastAsia"/>
          <w:color w:val="auto"/>
        </w:rPr>
        <w:t>评价区收纳水体为Ⅱ类、Ⅲ类，</w:t>
      </w:r>
      <w:r>
        <w:rPr>
          <w:color w:val="auto"/>
        </w:rPr>
        <w:t>根据《农村生活污水处理设施水污染排放标准》</w:t>
      </w:r>
      <w:r>
        <w:rPr>
          <w:rFonts w:hint="eastAsia"/>
          <w:color w:val="auto"/>
        </w:rPr>
        <w:t>（DB53/T953—2019）</w:t>
      </w:r>
      <w:r>
        <w:rPr>
          <w:color w:val="auto"/>
        </w:rPr>
        <w:t>相关要求，</w:t>
      </w:r>
      <w:r>
        <w:rPr>
          <w:rFonts w:hint="eastAsia"/>
          <w:color w:val="auto"/>
        </w:rPr>
        <w:t>除法律法规明确要求不得设置排污口外，出水排入Ⅱ、Ⅲ类功能水域的，执行</w:t>
      </w:r>
      <w:r>
        <w:rPr>
          <w:color w:val="auto"/>
        </w:rPr>
        <w:t>一级</w:t>
      </w:r>
      <w:r>
        <w:rPr>
          <w:rFonts w:hint="eastAsia"/>
          <w:color w:val="auto"/>
        </w:rPr>
        <w:t>标准的</w:t>
      </w:r>
      <w:r>
        <w:rPr>
          <w:color w:val="auto"/>
        </w:rPr>
        <w:t>B标准，即COD 60mg/L，NH</w:t>
      </w:r>
      <w:r>
        <w:rPr>
          <w:color w:val="auto"/>
          <w:vertAlign w:val="subscript"/>
        </w:rPr>
        <w:t>3</w:t>
      </w:r>
      <w:r>
        <w:rPr>
          <w:color w:val="auto"/>
        </w:rPr>
        <w:t>-N8mg/L、TP 1mg/L、TN20mg/L</w:t>
      </w:r>
      <w:r>
        <w:rPr>
          <w:rFonts w:hint="eastAsia"/>
          <w:color w:val="auto"/>
        </w:rPr>
        <w:t>，进入污水处理设施的按以上浓度预测</w:t>
      </w:r>
      <w:r>
        <w:rPr>
          <w:color w:val="auto"/>
        </w:rPr>
        <w:t>；对于无法进入生活污水处理设施的，按照生活污水的初始浓度进行测算，参照各县</w:t>
      </w:r>
      <w:r>
        <w:rPr>
          <w:rFonts w:hint="eastAsia"/>
          <w:color w:val="auto"/>
        </w:rPr>
        <w:t>（</w:t>
      </w:r>
      <w:r>
        <w:rPr>
          <w:color w:val="auto"/>
        </w:rPr>
        <w:t>区</w:t>
      </w:r>
      <w:r>
        <w:rPr>
          <w:rFonts w:hint="eastAsia"/>
          <w:color w:val="auto"/>
        </w:rPr>
        <w:t>）</w:t>
      </w:r>
      <w:r>
        <w:rPr>
          <w:color w:val="auto"/>
        </w:rPr>
        <w:t>农村生活污水治理专项规划中农村生活污水水质，本次计算按照COD 200mg/L，NH</w:t>
      </w:r>
      <w:r>
        <w:rPr>
          <w:color w:val="auto"/>
          <w:vertAlign w:val="subscript"/>
        </w:rPr>
        <w:t>3</w:t>
      </w:r>
      <w:r>
        <w:rPr>
          <w:color w:val="auto"/>
        </w:rPr>
        <w:t>-N 20mg/L、TP 4mg/L、TN30mg/L进行预测。</w:t>
      </w:r>
    </w:p>
    <w:p w14:paraId="40D91E48">
      <w:pPr>
        <w:pStyle w:val="14"/>
        <w:ind w:firstLine="480"/>
        <w:rPr>
          <w:color w:val="auto"/>
        </w:rPr>
      </w:pPr>
      <w:r>
        <w:rPr>
          <w:rFonts w:hint="eastAsia"/>
          <w:color w:val="auto"/>
        </w:rPr>
        <w:t>4）农田灌溉退水污染</w:t>
      </w:r>
    </w:p>
    <w:p w14:paraId="64B8F1BB">
      <w:pPr>
        <w:pStyle w:val="14"/>
        <w:ind w:firstLine="480"/>
        <w:rPr>
          <w:color w:val="auto"/>
        </w:rPr>
      </w:pPr>
      <w:r>
        <w:rPr>
          <w:rFonts w:hint="eastAsia"/>
          <w:color w:val="auto"/>
        </w:rPr>
        <w:t>①农田灌溉退水</w:t>
      </w:r>
      <w:r>
        <w:rPr>
          <w:color w:val="auto"/>
        </w:rPr>
        <w:t>量</w:t>
      </w:r>
    </w:p>
    <w:p w14:paraId="4762A75D">
      <w:pPr>
        <w:pStyle w:val="14"/>
        <w:ind w:firstLine="480"/>
        <w:rPr>
          <w:color w:val="auto"/>
        </w:rPr>
      </w:pPr>
      <w:r>
        <w:rPr>
          <w:rFonts w:hint="eastAsia"/>
          <w:color w:val="auto"/>
        </w:rPr>
        <w:t>评价</w:t>
      </w:r>
      <w:r>
        <w:rPr>
          <w:color w:val="auto"/>
        </w:rPr>
        <w:t>区灌溉方式为常规灌溉和高效节水，常规灌溉退水系数取0.2，高效节水退水系数取0.05。</w:t>
      </w:r>
    </w:p>
    <w:p w14:paraId="5FA02A84">
      <w:pPr>
        <w:pStyle w:val="14"/>
        <w:ind w:firstLine="480"/>
        <w:rPr>
          <w:color w:val="auto"/>
        </w:rPr>
      </w:pPr>
      <w:r>
        <w:rPr>
          <w:rFonts w:hint="eastAsia"/>
          <w:color w:val="auto"/>
        </w:rPr>
        <w:t>②农田灌溉退水浓度</w:t>
      </w:r>
    </w:p>
    <w:p w14:paraId="0164DF72">
      <w:pPr>
        <w:pStyle w:val="14"/>
        <w:ind w:firstLine="480"/>
        <w:rPr>
          <w:color w:val="auto"/>
        </w:rPr>
      </w:pPr>
      <w:r>
        <w:rPr>
          <w:rFonts w:hint="eastAsia"/>
          <w:color w:val="auto"/>
        </w:rPr>
        <w:t>通过评价区降水量、土壤类型、土地坡度、农作物类型、灌溉面积等农田污染源调查，参照其他区域农田灌溉退水浓度实测值，并参考相关报告与研究，农田灌溉退水污染物浓度按NH</w:t>
      </w:r>
      <w:r>
        <w:rPr>
          <w:rFonts w:hint="eastAsia"/>
          <w:color w:val="auto"/>
          <w:vertAlign w:val="subscript"/>
        </w:rPr>
        <w:t>3</w:t>
      </w:r>
      <w:r>
        <w:rPr>
          <w:rFonts w:hint="eastAsia"/>
          <w:color w:val="auto"/>
        </w:rPr>
        <w:t>-N 0.6 mg/L、TP 0.4mg/L、TN 12mg/L计算。</w:t>
      </w:r>
    </w:p>
    <w:p w14:paraId="109F56CC">
      <w:pPr>
        <w:pStyle w:val="14"/>
        <w:ind w:firstLine="480"/>
        <w:rPr>
          <w:color w:val="auto"/>
        </w:rPr>
      </w:pPr>
      <w:r>
        <w:rPr>
          <w:rFonts w:hint="eastAsia"/>
          <w:color w:val="auto"/>
        </w:rPr>
        <w:t>5）畜禽养殖污染</w:t>
      </w:r>
    </w:p>
    <w:p w14:paraId="7D6E160C">
      <w:pPr>
        <w:pStyle w:val="14"/>
        <w:ind w:firstLine="480"/>
        <w:rPr>
          <w:rFonts w:hint="eastAsia"/>
          <w:color w:val="auto"/>
        </w:rPr>
      </w:pPr>
      <w:r>
        <w:rPr>
          <w:rFonts w:hint="eastAsia"/>
          <w:color w:val="auto"/>
        </w:rPr>
        <w:t>畜禽养殖污染采用系数法，</w:t>
      </w:r>
      <w:r>
        <w:rPr>
          <w:color w:val="auto"/>
        </w:rPr>
        <w:t>根据《全国第二次污染源普查农业污染源产排污系数手册》选取畜禽粪污产污系数、排污系数</w:t>
      </w:r>
      <w:r>
        <w:rPr>
          <w:rFonts w:hint="eastAsia"/>
          <w:color w:val="auto"/>
        </w:rPr>
        <w:t>进行计算</w:t>
      </w:r>
      <w:r>
        <w:rPr>
          <w:color w:val="auto"/>
        </w:rPr>
        <w:t>。</w:t>
      </w:r>
      <w:r>
        <w:rPr>
          <w:rFonts w:hint="eastAsia"/>
          <w:color w:val="auto"/>
        </w:rPr>
        <w:t>规划水平年</w:t>
      </w:r>
      <w:r>
        <w:rPr>
          <w:color w:val="auto"/>
        </w:rPr>
        <w:t>畜禽养殖粪污综合利用率为</w:t>
      </w:r>
      <w:r>
        <w:rPr>
          <w:rFonts w:hint="eastAsia"/>
          <w:color w:val="auto"/>
        </w:rPr>
        <w:t>95</w:t>
      </w:r>
      <w:r>
        <w:rPr>
          <w:color w:val="auto"/>
        </w:rPr>
        <w:t>%。</w:t>
      </w:r>
    </w:p>
    <w:p w14:paraId="764A8FF6">
      <w:pPr>
        <w:pStyle w:val="7"/>
        <w:numPr>
          <w:ilvl w:val="4"/>
          <w:numId w:val="4"/>
        </w:numPr>
        <w:spacing w:before="374" w:after="249"/>
        <w:rPr>
          <w:color w:val="auto"/>
        </w:rPr>
      </w:pPr>
      <w:r>
        <w:rPr>
          <w:rFonts w:hint="eastAsia"/>
          <w:color w:val="auto"/>
        </w:rPr>
        <w:t>增量预测方法及条件</w:t>
      </w:r>
    </w:p>
    <w:p w14:paraId="2A408EE7">
      <w:pPr>
        <w:pStyle w:val="14"/>
        <w:ind w:firstLine="480"/>
        <w:rPr>
          <w:color w:val="auto"/>
        </w:rPr>
      </w:pPr>
      <w:r>
        <w:rPr>
          <w:rFonts w:hint="eastAsia"/>
          <w:color w:val="auto"/>
        </w:rPr>
        <w:t>增量供水量为</w:t>
      </w:r>
      <w:r>
        <w:rPr>
          <w:color w:val="auto"/>
        </w:rPr>
        <w:t>《</w:t>
      </w:r>
      <w:r>
        <w:rPr>
          <w:rFonts w:hint="eastAsia"/>
          <w:color w:val="auto"/>
        </w:rPr>
        <w:t>南盘江（曲靖市境内）流域综合规划</w:t>
      </w:r>
      <w:r>
        <w:rPr>
          <w:color w:val="auto"/>
        </w:rPr>
        <w:t>》</w:t>
      </w:r>
      <w:r>
        <w:rPr>
          <w:rFonts w:hint="eastAsia"/>
          <w:color w:val="auto"/>
        </w:rPr>
        <w:t>中规划重点工程实施后的供水量减去规划重点工程实施前的供水量。</w:t>
      </w:r>
    </w:p>
    <w:p w14:paraId="6C93EF5B">
      <w:pPr>
        <w:pStyle w:val="14"/>
        <w:ind w:firstLine="480"/>
        <w:rPr>
          <w:rFonts w:hint="eastAsia"/>
          <w:color w:val="auto"/>
        </w:rPr>
      </w:pPr>
      <w:r>
        <w:rPr>
          <w:rFonts w:hint="eastAsia"/>
          <w:color w:val="auto"/>
        </w:rPr>
        <w:t>各类退水量及污染排放浓度预测取值与存量一致。畜禽养殖污染采用系数法进行预测，计入存量污染负荷，增量不再进行预测。</w:t>
      </w:r>
    </w:p>
    <w:p w14:paraId="6C16ACFA">
      <w:pPr>
        <w:pStyle w:val="7"/>
        <w:numPr>
          <w:ilvl w:val="4"/>
          <w:numId w:val="4"/>
        </w:numPr>
        <w:spacing w:before="374" w:after="249"/>
        <w:rPr>
          <w:color w:val="auto"/>
        </w:rPr>
      </w:pPr>
      <w:r>
        <w:rPr>
          <w:rFonts w:hint="eastAsia"/>
          <w:color w:val="auto"/>
        </w:rPr>
        <w:t>存量污染预测结果</w:t>
      </w:r>
    </w:p>
    <w:p w14:paraId="20157713">
      <w:pPr>
        <w:pStyle w:val="14"/>
        <w:ind w:firstLine="480"/>
        <w:rPr>
          <w:rFonts w:hint="eastAsia"/>
          <w:color w:val="auto"/>
        </w:rPr>
      </w:pPr>
      <w:r>
        <w:rPr>
          <w:rFonts w:hint="eastAsia"/>
          <w:color w:val="auto"/>
        </w:rPr>
        <w:t>基于以上预测方法，到2035年，评价范围内存量COD、NH</w:t>
      </w:r>
      <w:r>
        <w:rPr>
          <w:rFonts w:hint="eastAsia"/>
          <w:color w:val="auto"/>
          <w:vertAlign w:val="subscript"/>
        </w:rPr>
        <w:t>3</w:t>
      </w:r>
      <w:r>
        <w:rPr>
          <w:rFonts w:hint="eastAsia"/>
          <w:color w:val="auto"/>
        </w:rPr>
        <w:t>-N、TP、TN污染物排放量分别为9624.70t/a、1021.13t/a、215.04t/a、4190.05t/a；入河量分别为8559.98t/a、910.77t/a、185.85t/a、3699.49t/a。</w:t>
      </w:r>
    </w:p>
    <w:p w14:paraId="00D013A7">
      <w:pPr>
        <w:pStyle w:val="7"/>
        <w:numPr>
          <w:ilvl w:val="4"/>
          <w:numId w:val="4"/>
        </w:numPr>
        <w:spacing w:before="374" w:after="249"/>
        <w:rPr>
          <w:rFonts w:hint="eastAsia"/>
          <w:color w:val="auto"/>
        </w:rPr>
      </w:pPr>
      <w:r>
        <w:rPr>
          <w:rFonts w:hint="eastAsia"/>
          <w:color w:val="auto"/>
        </w:rPr>
        <w:t>增量污染预测结果</w:t>
      </w:r>
    </w:p>
    <w:p w14:paraId="62C03CC8">
      <w:pPr>
        <w:pStyle w:val="14"/>
        <w:ind w:firstLine="480"/>
        <w:rPr>
          <w:rFonts w:hint="eastAsia"/>
          <w:color w:val="auto"/>
        </w:rPr>
      </w:pPr>
      <w:r>
        <w:rPr>
          <w:rFonts w:hint="eastAsia"/>
          <w:color w:val="auto"/>
        </w:rPr>
        <w:t>基于以上预测方法，到2035年，评价范围内增量COD、NH</w:t>
      </w:r>
      <w:r>
        <w:rPr>
          <w:rFonts w:hint="eastAsia"/>
          <w:color w:val="auto"/>
          <w:vertAlign w:val="subscript"/>
        </w:rPr>
        <w:t>3</w:t>
      </w:r>
      <w:r>
        <w:rPr>
          <w:rFonts w:hint="eastAsia"/>
          <w:color w:val="auto"/>
        </w:rPr>
        <w:t>-N、TP、TN污染物排放量分别为780.33t/a、104.23t/a、29.28t/a、727.23t/a；入河量分别为708.79t/a、91.75t/a、24.76t/a、618.41t/a。</w:t>
      </w:r>
    </w:p>
    <w:p w14:paraId="2BBE2F99">
      <w:pPr>
        <w:pStyle w:val="7"/>
        <w:numPr>
          <w:ilvl w:val="4"/>
          <w:numId w:val="4"/>
        </w:numPr>
        <w:spacing w:before="374" w:after="249"/>
        <w:rPr>
          <w:rFonts w:hint="eastAsia"/>
          <w:color w:val="auto"/>
        </w:rPr>
      </w:pPr>
      <w:r>
        <w:rPr>
          <w:rFonts w:hint="eastAsia"/>
          <w:color w:val="auto"/>
        </w:rPr>
        <w:t>主要污染物排放量汇总</w:t>
      </w:r>
    </w:p>
    <w:p w14:paraId="31756729">
      <w:pPr>
        <w:pStyle w:val="14"/>
        <w:ind w:firstLine="480"/>
        <w:rPr>
          <w:color w:val="auto"/>
        </w:rPr>
      </w:pPr>
      <w:r>
        <w:rPr>
          <w:rFonts w:hint="eastAsia"/>
          <w:color w:val="auto"/>
        </w:rPr>
        <w:t>通过汇总，到2035年，评价范围内存量加增量COD、NH</w:t>
      </w:r>
      <w:r>
        <w:rPr>
          <w:rFonts w:hint="eastAsia"/>
          <w:color w:val="auto"/>
          <w:vertAlign w:val="subscript"/>
        </w:rPr>
        <w:t>3</w:t>
      </w:r>
      <w:r>
        <w:rPr>
          <w:rFonts w:hint="eastAsia"/>
          <w:color w:val="auto"/>
        </w:rPr>
        <w:t>-N、TP、TN污染物排放量分别为10405.03t/a、1125.36t/a、244.32t/a、4917.28t/a；入河量分别为9268.77t/a、1002.52t/a、210.61t/a、4317.89t/a。</w:t>
      </w:r>
    </w:p>
    <w:p w14:paraId="61577BF5">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水质影响预测</w:t>
      </w:r>
    </w:p>
    <w:p w14:paraId="7197BF0C">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（1）防洪减灾规划</w:t>
      </w:r>
    </w:p>
    <w:p w14:paraId="658918A2">
      <w:pPr>
        <w:pStyle w:val="14"/>
        <w:ind w:firstLine="480"/>
        <w:rPr>
          <w:rFonts w:hint="default" w:ascii="Times New Roman" w:hAnsi="Times New Roman" w:cs="Times New Roman"/>
          <w:color w:val="auto"/>
          <w:highlight w:val="none"/>
          <w:lang w:bidi="ar"/>
        </w:rPr>
      </w:pPr>
      <w:r>
        <w:rPr>
          <w:rFonts w:hint="default" w:ascii="Times New Roman" w:hAnsi="Times New Roman" w:cs="Times New Roman"/>
          <w:color w:val="auto"/>
          <w:highlight w:val="none"/>
        </w:rPr>
        <w:t>防洪减灾规划提出的</w:t>
      </w:r>
      <w:r>
        <w:rPr>
          <w:rFonts w:hint="default" w:ascii="Times New Roman" w:hAnsi="Times New Roman" w:cs="Times New Roman"/>
          <w:color w:val="auto"/>
          <w:spacing w:val="4"/>
          <w:kern w:val="0"/>
          <w:szCs w:val="28"/>
          <w:highlight w:val="none"/>
        </w:rPr>
        <w:t>防洪工程以干支流新建或加固堤防工程、中小河流治理、城市防洪排涝、山洪灾害防治、水库病除险加固、老旧水库改造工程为主。</w:t>
      </w:r>
      <w:r>
        <w:rPr>
          <w:rFonts w:hint="default" w:ascii="Times New Roman" w:hAnsi="Times New Roman" w:cs="Times New Roman"/>
          <w:color w:val="auto"/>
          <w:highlight w:val="none"/>
          <w:lang w:bidi="ar"/>
        </w:rPr>
        <w:t>工程在施工过程中，土方开挖、临时堆土等活动会破坏地表植被，导致土壤裸露，在降雨时裸露土壤会被冲刷进入河道，不仅增加水体悬浮物，还会携带土壤中的化肥、农药等面源污染物造成河流水质下滑。</w:t>
      </w:r>
      <w:r>
        <w:rPr>
          <w:rFonts w:hint="default" w:ascii="Times New Roman" w:hAnsi="Times New Roman" w:cs="Times New Roman"/>
          <w:color w:val="auto"/>
          <w:highlight w:val="none"/>
        </w:rPr>
        <w:t>施工过程中</w:t>
      </w:r>
      <w:r>
        <w:rPr>
          <w:rFonts w:hint="default" w:ascii="Times New Roman" w:hAnsi="Times New Roman" w:cs="Times New Roman"/>
          <w:color w:val="auto"/>
          <w:highlight w:val="none"/>
          <w:lang w:bidi="ar"/>
        </w:rPr>
        <w:t>河道和水库清淤、护岸建设、围堰搭建等</w:t>
      </w:r>
      <w:r>
        <w:rPr>
          <w:rFonts w:hint="default" w:ascii="Times New Roman" w:hAnsi="Times New Roman" w:cs="Times New Roman"/>
          <w:color w:val="auto"/>
          <w:highlight w:val="none"/>
        </w:rPr>
        <w:t>施工过程中</w:t>
      </w:r>
      <w:r>
        <w:rPr>
          <w:rFonts w:hint="default" w:ascii="Times New Roman" w:hAnsi="Times New Roman" w:cs="Times New Roman"/>
          <w:color w:val="auto"/>
          <w:highlight w:val="none"/>
          <w:lang w:bidi="ar"/>
        </w:rPr>
        <w:t>会直接扰动河底、水库库底的沉积物，导致大量悬浮物（如泥沙、腐殖质）进入水体，这种短期扰动的影响会随水流距离增加而逐渐沉降，不会影响整体水质，对水质的影响是短期，局部的。</w:t>
      </w:r>
    </w:p>
    <w:p w14:paraId="5782E0A2">
      <w:pPr>
        <w:pStyle w:val="14"/>
        <w:ind w:firstLine="480"/>
        <w:rPr>
          <w:rFonts w:hint="default" w:ascii="Times New Roman" w:hAnsi="Times New Roman" w:cs="Times New Roman"/>
          <w:color w:val="auto"/>
          <w:highlight w:val="none"/>
          <w:lang w:bidi="ar"/>
        </w:rPr>
      </w:pPr>
      <w:r>
        <w:rPr>
          <w:rFonts w:hint="default" w:ascii="Times New Roman" w:hAnsi="Times New Roman" w:cs="Times New Roman"/>
          <w:color w:val="auto"/>
          <w:highlight w:val="none"/>
        </w:rPr>
        <w:t>防洪减灾规划实施后，对水质主要产生正向影响，规划防洪工程将逐步发挥工程效益。水库、河流经清淤后减少水体中营养物质的释放，缓解富营养化，减少内源污染，改善水体理化性质。同时堰坝建设、河道疏浚等措施能调节河流的水文情势，提升河流的行洪能力，减少洪水对河道的冲刷影响，从而保障水质的稳定。</w:t>
      </w:r>
    </w:p>
    <w:p w14:paraId="52F0824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（2）灌溉规划</w:t>
      </w:r>
    </w:p>
    <w:p w14:paraId="6FC23541">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本规划提出了新建罗师灌区、富源灌区、沾马灌区共3件灌区工程。</w:t>
      </w:r>
    </w:p>
    <w:p w14:paraId="0881F48E">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灌区工程范围主要是农田，在施工期土方开挖、临时堆土等活动会破坏地表植被，降雨导致临时堆土在地表径流的作用下，农药、化肥等污染物会进入水体，造成</w:t>
      </w:r>
      <w:r>
        <w:rPr>
          <w:rFonts w:hint="default" w:ascii="Times New Roman" w:hAnsi="Times New Roman" w:cs="Times New Roman"/>
          <w:color w:val="auto"/>
          <w:kern w:val="0"/>
          <w:highlight w:val="none"/>
          <w:lang w:bidi="ar"/>
        </w:rPr>
        <w:t>河流水质下滑。因此需选择合理的施工时间，避开雨季、设置临时挡土墙等措施，可有效控制。</w:t>
      </w:r>
      <w:r>
        <w:rPr>
          <w:rFonts w:hint="default" w:ascii="Times New Roman" w:hAnsi="Times New Roman" w:cs="Times New Roman"/>
          <w:color w:val="auto"/>
          <w:kern w:val="0"/>
          <w:highlight w:val="none"/>
        </w:rPr>
        <w:t>灌区工程建成后，通过节</w:t>
      </w:r>
      <w:r>
        <w:rPr>
          <w:rFonts w:hint="default" w:ascii="Times New Roman" w:hAnsi="Times New Roman" w:cs="Times New Roman"/>
          <w:color w:val="auto"/>
          <w:kern w:val="0"/>
          <w:highlight w:val="none"/>
          <w:lang w:bidi="ar"/>
        </w:rPr>
        <w:t>水技术（滴灌、喷灌）减少农田排水，从而降低氮磷等污染物的排放；灌区工程渠道防渗可减少灌溉水渗漏，避免土壤中的盐分随水下渗污染地下水</w:t>
      </w:r>
      <w:r>
        <w:rPr>
          <w:rFonts w:hint="default" w:ascii="Times New Roman" w:hAnsi="Times New Roman" w:cs="Times New Roman"/>
          <w:color w:val="auto"/>
          <w:highlight w:val="none"/>
        </w:rPr>
        <w:t>。</w:t>
      </w:r>
    </w:p>
    <w:p w14:paraId="7C8F9B76">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bidi="ar"/>
        </w:rPr>
        <w:t>综上所述，灌溉规划对南盘江流域水环境质量影响较小。</w:t>
      </w:r>
    </w:p>
    <w:p w14:paraId="2580893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（3）新建蓄水工程</w:t>
      </w:r>
    </w:p>
    <w:p w14:paraId="64F06098">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本规划重点工程提出扩建小务龙水库、新建大河水库2座中型水库，新建龙潭水库1座小（1）型。</w:t>
      </w:r>
    </w:p>
    <w:p w14:paraId="4F1DD129">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蓄水工程建成后，库区将淹没周边耕地和林地，淹没土地若不妥善清理，蓄水后淹没区浸出物（主要为氮、磷、有机物）易造成库区水体污染，不利于库区水质保护。</w:t>
      </w:r>
    </w:p>
    <w:p w14:paraId="5A204346">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选择总磷、总氮、COD、氨氮作为运行期小务龙水库、大河水库、龙潭水库水质预测指标，采用狄龙模型对成库水质进行预测。</w:t>
      </w:r>
    </w:p>
    <w:p w14:paraId="45EDF03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到规划水平年，区域内各项污染防治措施有效落实，拟建水库坝址断面来水达到水功能区目标要求，以此条件下水质浓度作为预测的C</w:t>
      </w:r>
      <w:r>
        <w:rPr>
          <w:rFonts w:hint="default" w:ascii="Times New Roman" w:hAnsi="Times New Roman" w:cs="Times New Roman"/>
          <w:color w:val="auto"/>
          <w:highlight w:val="none"/>
          <w:vertAlign w:val="subscript"/>
        </w:rPr>
        <w:t>0</w:t>
      </w:r>
      <w:r>
        <w:rPr>
          <w:rFonts w:hint="default" w:ascii="Times New Roman" w:hAnsi="Times New Roman" w:cs="Times New Roman"/>
          <w:color w:val="auto"/>
          <w:highlight w:val="none"/>
        </w:rPr>
        <w:t>值。其他参数详见下表。</w:t>
      </w:r>
    </w:p>
    <w:p w14:paraId="0ADAC29E">
      <w:pPr>
        <w:pStyle w:val="29"/>
        <w:bidi w:val="0"/>
        <w:rPr>
          <w:rFonts w:hint="default" w:ascii="Times New Roman" w:hAnsi="Times New Roman" w:cs="Times New Roman"/>
          <w:color w:val="auto"/>
        </w:rPr>
      </w:pPr>
      <w:r>
        <w:rPr>
          <w:rFonts w:hint="default" w:ascii="Times New Roman" w:hAnsi="Times New Roman" w:cs="Times New Roman"/>
          <w:color w:val="auto"/>
        </w:rPr>
        <w:t xml:space="preserve">表 </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STYLEREF 3 \s </w:instrText>
      </w:r>
      <w:r>
        <w:rPr>
          <w:rFonts w:hint="default" w:ascii="Times New Roman" w:hAnsi="Times New Roman" w:cs="Times New Roman"/>
          <w:color w:val="auto"/>
        </w:rPr>
        <w:fldChar w:fldCharType="separate"/>
      </w:r>
      <w:r>
        <w:rPr>
          <w:rFonts w:hint="default" w:ascii="Times New Roman" w:hAnsi="Times New Roman" w:cs="Times New Roman"/>
          <w:color w:val="auto"/>
        </w:rPr>
        <w:t>5.3.</w:t>
      </w:r>
      <w:r>
        <w:rPr>
          <w:rFonts w:hint="eastAsia" w:cs="Times New Roman"/>
          <w:color w:val="auto"/>
          <w:lang w:val="en-US" w:eastAsia="zh-CN"/>
        </w:rPr>
        <w:t>3</w:t>
      </w:r>
      <w:r>
        <w:rPr>
          <w:rFonts w:hint="default" w:ascii="Times New Roman" w:hAnsi="Times New Roman" w:cs="Times New Roman"/>
          <w:color w:val="auto"/>
        </w:rPr>
        <w:fldChar w:fldCharType="end"/>
      </w:r>
      <w:r>
        <w:rPr>
          <w:rFonts w:hint="default" w:ascii="Times New Roman" w:hAnsi="Times New Roman" w:cs="Times New Roman"/>
          <w:color w:val="auto"/>
        </w:rPr>
        <w:noBreakHyphen/>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SEQ 表 \* ARABIC \s 3 </w:instrText>
      </w:r>
      <w:r>
        <w:rPr>
          <w:rFonts w:hint="default" w:ascii="Times New Roman" w:hAnsi="Times New Roman" w:cs="Times New Roman"/>
          <w:color w:val="auto"/>
        </w:rPr>
        <w:fldChar w:fldCharType="separate"/>
      </w:r>
      <w:r>
        <w:rPr>
          <w:rFonts w:hint="default" w:ascii="Times New Roman" w:hAnsi="Times New Roman" w:cs="Times New Roman"/>
          <w:color w:val="auto"/>
        </w:rPr>
        <w:t>2</w:t>
      </w:r>
      <w:r>
        <w:rPr>
          <w:rFonts w:hint="default" w:ascii="Times New Roman" w:hAnsi="Times New Roman" w:cs="Times New Roman"/>
          <w:color w:val="auto"/>
        </w:rPr>
        <w:fldChar w:fldCharType="end"/>
      </w:r>
      <w:r>
        <w:rPr>
          <w:rFonts w:hint="default" w:ascii="Times New Roman" w:hAnsi="Times New Roman" w:cs="Times New Roman"/>
          <w:color w:val="auto"/>
        </w:rPr>
        <w:t xml:space="preserve">  重点水源工程水质预测参数一览表</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882"/>
        <w:gridCol w:w="1704"/>
        <w:gridCol w:w="1705"/>
        <w:gridCol w:w="1705"/>
      </w:tblGrid>
      <w:tr w14:paraId="71F2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6" w:type="dxa"/>
            <w:vAlign w:val="center"/>
          </w:tcPr>
          <w:p w14:paraId="60F6490E">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水库名称</w:t>
            </w:r>
          </w:p>
        </w:tc>
        <w:tc>
          <w:tcPr>
            <w:tcW w:w="1882" w:type="dxa"/>
            <w:vAlign w:val="center"/>
          </w:tcPr>
          <w:p w14:paraId="4ADF31A9">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水库库容</w:t>
            </w:r>
          </w:p>
          <w:p w14:paraId="635D81D0">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（万m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w:t>
            </w:r>
          </w:p>
        </w:tc>
        <w:tc>
          <w:tcPr>
            <w:tcW w:w="1704" w:type="dxa"/>
            <w:vAlign w:val="center"/>
          </w:tcPr>
          <w:p w14:paraId="6381554F">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入库水量</w:t>
            </w:r>
          </w:p>
          <w:p w14:paraId="1549FFB4">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（万m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/a）</w:t>
            </w:r>
          </w:p>
        </w:tc>
        <w:tc>
          <w:tcPr>
            <w:tcW w:w="1705" w:type="dxa"/>
            <w:vAlign w:val="center"/>
          </w:tcPr>
          <w:p w14:paraId="17B84A47">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出库水量</w:t>
            </w:r>
          </w:p>
          <w:p w14:paraId="52E34886">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（万m</w:t>
            </w:r>
            <w:r>
              <w:rPr>
                <w:rFonts w:hint="default" w:ascii="Times New Roman" w:hAnsi="Times New Roman" w:cs="Times New Roman"/>
                <w:color w:val="auto"/>
                <w:sz w:val="21"/>
                <w:szCs w:val="21"/>
                <w:highlight w:val="none"/>
                <w:vertAlign w:val="superscript"/>
              </w:rPr>
              <w:t>3</w:t>
            </w:r>
            <w:r>
              <w:rPr>
                <w:rFonts w:hint="default" w:ascii="Times New Roman" w:hAnsi="Times New Roman" w:cs="Times New Roman"/>
                <w:color w:val="auto"/>
                <w:sz w:val="21"/>
                <w:szCs w:val="21"/>
                <w:highlight w:val="none"/>
              </w:rPr>
              <w:t>/a）</w:t>
            </w:r>
          </w:p>
        </w:tc>
        <w:tc>
          <w:tcPr>
            <w:tcW w:w="1705" w:type="dxa"/>
            <w:vAlign w:val="center"/>
          </w:tcPr>
          <w:p w14:paraId="5E6B317E">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水库面积</w:t>
            </w:r>
          </w:p>
          <w:p w14:paraId="746215FE">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（万m</w:t>
            </w:r>
            <w:r>
              <w:rPr>
                <w:rFonts w:hint="default" w:ascii="Times New Roman" w:hAnsi="Times New Roman" w:cs="Times New Roman"/>
                <w:color w:val="auto"/>
                <w:sz w:val="21"/>
                <w:szCs w:val="21"/>
                <w:highlight w:val="none"/>
                <w:vertAlign w:val="superscript"/>
              </w:rPr>
              <w:t>2</w:t>
            </w:r>
            <w:r>
              <w:rPr>
                <w:rFonts w:hint="default" w:ascii="Times New Roman" w:hAnsi="Times New Roman" w:cs="Times New Roman"/>
                <w:color w:val="auto"/>
                <w:sz w:val="21"/>
                <w:szCs w:val="21"/>
                <w:highlight w:val="none"/>
              </w:rPr>
              <w:t>）</w:t>
            </w:r>
          </w:p>
        </w:tc>
      </w:tr>
      <w:tr w14:paraId="5895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6" w:type="dxa"/>
            <w:vAlign w:val="center"/>
          </w:tcPr>
          <w:p w14:paraId="03C68725">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小务龙水库</w:t>
            </w:r>
          </w:p>
        </w:tc>
        <w:tc>
          <w:tcPr>
            <w:tcW w:w="1882" w:type="dxa"/>
            <w:vAlign w:val="center"/>
          </w:tcPr>
          <w:p w14:paraId="723B42B9">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3326.20</w:t>
            </w:r>
          </w:p>
        </w:tc>
        <w:tc>
          <w:tcPr>
            <w:tcW w:w="1704" w:type="dxa"/>
            <w:vAlign w:val="center"/>
          </w:tcPr>
          <w:p w14:paraId="667B9A75">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2623.80</w:t>
            </w:r>
          </w:p>
        </w:tc>
        <w:tc>
          <w:tcPr>
            <w:tcW w:w="1705" w:type="dxa"/>
            <w:vAlign w:val="center"/>
          </w:tcPr>
          <w:p w14:paraId="2EE16008">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2750.89</w:t>
            </w:r>
          </w:p>
        </w:tc>
        <w:tc>
          <w:tcPr>
            <w:tcW w:w="1705" w:type="dxa"/>
            <w:vAlign w:val="center"/>
          </w:tcPr>
          <w:p w14:paraId="172DF178">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156.57</w:t>
            </w:r>
          </w:p>
        </w:tc>
      </w:tr>
      <w:tr w14:paraId="5F6B6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6" w:type="dxa"/>
            <w:vAlign w:val="center"/>
          </w:tcPr>
          <w:p w14:paraId="718180F3">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大河水库</w:t>
            </w:r>
          </w:p>
        </w:tc>
        <w:tc>
          <w:tcPr>
            <w:tcW w:w="1882" w:type="dxa"/>
            <w:vAlign w:val="center"/>
          </w:tcPr>
          <w:p w14:paraId="103CD01C">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5158.70</w:t>
            </w:r>
          </w:p>
        </w:tc>
        <w:tc>
          <w:tcPr>
            <w:tcW w:w="1704" w:type="dxa"/>
            <w:vAlign w:val="center"/>
          </w:tcPr>
          <w:p w14:paraId="08086FF5">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21602.16</w:t>
            </w:r>
          </w:p>
        </w:tc>
        <w:tc>
          <w:tcPr>
            <w:tcW w:w="1705" w:type="dxa"/>
            <w:vAlign w:val="center"/>
          </w:tcPr>
          <w:p w14:paraId="46BBBCCE">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17124.05</w:t>
            </w:r>
          </w:p>
        </w:tc>
        <w:tc>
          <w:tcPr>
            <w:tcW w:w="1705" w:type="dxa"/>
            <w:vAlign w:val="center"/>
          </w:tcPr>
          <w:p w14:paraId="2B470A85">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381.74</w:t>
            </w:r>
          </w:p>
        </w:tc>
      </w:tr>
      <w:tr w14:paraId="3B7BA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6" w:type="dxa"/>
            <w:vAlign w:val="center"/>
          </w:tcPr>
          <w:p w14:paraId="3692352E">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龙潭水库</w:t>
            </w:r>
          </w:p>
        </w:tc>
        <w:tc>
          <w:tcPr>
            <w:tcW w:w="1882" w:type="dxa"/>
            <w:vAlign w:val="center"/>
          </w:tcPr>
          <w:p w14:paraId="220EEACC">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238.60</w:t>
            </w:r>
          </w:p>
        </w:tc>
        <w:tc>
          <w:tcPr>
            <w:tcW w:w="1704" w:type="dxa"/>
            <w:vAlign w:val="center"/>
          </w:tcPr>
          <w:p w14:paraId="315259B8">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337.44</w:t>
            </w:r>
          </w:p>
        </w:tc>
        <w:tc>
          <w:tcPr>
            <w:tcW w:w="1705" w:type="dxa"/>
            <w:vAlign w:val="center"/>
          </w:tcPr>
          <w:p w14:paraId="3F48B7DE">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353.20</w:t>
            </w:r>
          </w:p>
        </w:tc>
        <w:tc>
          <w:tcPr>
            <w:tcW w:w="1705" w:type="dxa"/>
            <w:vAlign w:val="center"/>
          </w:tcPr>
          <w:p w14:paraId="63C29930">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13.94</w:t>
            </w:r>
          </w:p>
        </w:tc>
      </w:tr>
    </w:tbl>
    <w:p w14:paraId="5425D535">
      <w:pPr>
        <w:spacing w:before="156" w:beforeLines="50"/>
        <w:ind w:firstLine="482"/>
        <w:rPr>
          <w:rFonts w:hint="default" w:ascii="Times New Roman" w:hAnsi="Times New Roman" w:cs="Times New Roman"/>
          <w:color w:val="auto"/>
          <w:highlight w:val="none"/>
        </w:rPr>
      </w:pPr>
      <w:r>
        <w:rPr>
          <w:rFonts w:hint="default" w:ascii="Times New Roman" w:hAnsi="Times New Roman" w:cs="Times New Roman"/>
          <w:color w:val="auto"/>
          <w:highlight w:val="none"/>
        </w:rPr>
        <w:t>根据水质预测成果，小务龙水库、大河水库、龙潭水库成库后COD浓度分别为10.21mg/L、12.50mg/L、10.96mg/L，NH</w:t>
      </w:r>
      <w:r>
        <w:rPr>
          <w:rFonts w:hint="default" w:ascii="Times New Roman" w:hAnsi="Times New Roman" w:cs="Times New Roman"/>
          <w:color w:val="auto"/>
          <w:highlight w:val="none"/>
          <w:vertAlign w:val="subscript"/>
        </w:rPr>
        <w:t>3</w:t>
      </w:r>
      <w:r>
        <w:rPr>
          <w:rFonts w:hint="default" w:ascii="Times New Roman" w:hAnsi="Times New Roman" w:cs="Times New Roman"/>
          <w:color w:val="auto"/>
          <w:highlight w:val="none"/>
        </w:rPr>
        <w:t>-N浓度分别为0.51mg/L、0.63mg/L、0.55mg/L，TP浓度分别为0.026mg/L、0.031mg/L、0.027mg/L，TN浓度分别为0.51mg/L、0.63mg/L、0.55mg/L。较成库前总氮浓度、总磷浓度、COD和氨氮浓度均有所降低，能满足Ⅲ类水质要求。</w:t>
      </w:r>
    </w:p>
    <w:p w14:paraId="5E785082">
      <w:pPr>
        <w:pStyle w:val="29"/>
        <w:bidi w:val="0"/>
        <w:rPr>
          <w:rFonts w:hint="default" w:ascii="Times New Roman" w:hAnsi="Times New Roman" w:cs="Times New Roman"/>
          <w:color w:val="auto"/>
        </w:rPr>
      </w:pPr>
      <w:r>
        <w:rPr>
          <w:rFonts w:hint="default" w:ascii="Times New Roman" w:hAnsi="Times New Roman" w:cs="Times New Roman"/>
          <w:color w:val="auto"/>
        </w:rPr>
        <w:t xml:space="preserve">表 </w:t>
      </w: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STYLEREF 3 \s </w:instrText>
      </w:r>
      <w:r>
        <w:rPr>
          <w:rFonts w:hint="default" w:ascii="Times New Roman" w:hAnsi="Times New Roman" w:cs="Times New Roman"/>
          <w:color w:val="auto"/>
        </w:rPr>
        <w:fldChar w:fldCharType="separate"/>
      </w:r>
      <w:r>
        <w:rPr>
          <w:rFonts w:hint="default" w:ascii="Times New Roman" w:hAnsi="Times New Roman" w:cs="Times New Roman"/>
          <w:color w:val="auto"/>
        </w:rPr>
        <w:t>5.3.</w:t>
      </w:r>
      <w:r>
        <w:rPr>
          <w:rFonts w:hint="eastAsia" w:cs="Times New Roman"/>
          <w:color w:val="auto"/>
          <w:lang w:val="en-US" w:eastAsia="zh-CN"/>
        </w:rPr>
        <w:t>3</w:t>
      </w:r>
      <w:r>
        <w:rPr>
          <w:rFonts w:hint="default" w:ascii="Times New Roman" w:hAnsi="Times New Roman" w:cs="Times New Roman"/>
          <w:color w:val="auto"/>
        </w:rPr>
        <w:fldChar w:fldCharType="end"/>
      </w:r>
      <w:r>
        <w:rPr>
          <w:rFonts w:hint="default" w:ascii="Times New Roman" w:hAnsi="Times New Roman" w:cs="Times New Roman"/>
          <w:color w:val="auto"/>
        </w:rPr>
        <w:noBreakHyphen/>
      </w:r>
      <w:r>
        <w:rPr>
          <w:rFonts w:hint="eastAsia" w:cs="Times New Roman"/>
          <w:color w:val="auto"/>
          <w:lang w:val="en-US" w:eastAsia="zh-CN"/>
        </w:rPr>
        <w:t>2</w:t>
      </w:r>
      <w:r>
        <w:rPr>
          <w:rFonts w:hint="default" w:ascii="Times New Roman" w:hAnsi="Times New Roman" w:cs="Times New Roman"/>
          <w:color w:val="auto"/>
        </w:rPr>
        <w:t xml:space="preserve">  重点水源工程水质预测结果</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6"/>
        <w:gridCol w:w="1882"/>
        <w:gridCol w:w="1704"/>
        <w:gridCol w:w="1705"/>
        <w:gridCol w:w="1705"/>
      </w:tblGrid>
      <w:tr w14:paraId="29E6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6" w:type="dxa"/>
            <w:vAlign w:val="center"/>
          </w:tcPr>
          <w:p w14:paraId="1ABACAEC">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水库名称</w:t>
            </w:r>
          </w:p>
        </w:tc>
        <w:tc>
          <w:tcPr>
            <w:tcW w:w="1882" w:type="dxa"/>
            <w:vAlign w:val="center"/>
          </w:tcPr>
          <w:p w14:paraId="3970FE0E">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COD（mg/L）</w:t>
            </w:r>
          </w:p>
        </w:tc>
        <w:tc>
          <w:tcPr>
            <w:tcW w:w="1704" w:type="dxa"/>
            <w:vAlign w:val="center"/>
          </w:tcPr>
          <w:p w14:paraId="2DDED83F">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NH</w:t>
            </w:r>
            <w:r>
              <w:rPr>
                <w:rFonts w:hint="default" w:ascii="Times New Roman" w:hAnsi="Times New Roman" w:cs="Times New Roman"/>
                <w:color w:val="auto"/>
                <w:sz w:val="21"/>
                <w:szCs w:val="21"/>
                <w:highlight w:val="none"/>
                <w:vertAlign w:val="subscript"/>
              </w:rPr>
              <w:t>3</w:t>
            </w:r>
            <w:r>
              <w:rPr>
                <w:rFonts w:hint="default" w:ascii="Times New Roman" w:hAnsi="Times New Roman" w:cs="Times New Roman"/>
                <w:color w:val="auto"/>
                <w:sz w:val="21"/>
                <w:szCs w:val="21"/>
                <w:highlight w:val="none"/>
              </w:rPr>
              <w:t>-N（mg/L）</w:t>
            </w:r>
          </w:p>
        </w:tc>
        <w:tc>
          <w:tcPr>
            <w:tcW w:w="1705" w:type="dxa"/>
            <w:vAlign w:val="center"/>
          </w:tcPr>
          <w:p w14:paraId="70E41FCD">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TP（mg/L）</w:t>
            </w:r>
          </w:p>
        </w:tc>
        <w:tc>
          <w:tcPr>
            <w:tcW w:w="1705" w:type="dxa"/>
            <w:vAlign w:val="center"/>
          </w:tcPr>
          <w:p w14:paraId="26BC8925">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TN（mg/L）</w:t>
            </w:r>
          </w:p>
        </w:tc>
      </w:tr>
      <w:tr w14:paraId="22F1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6" w:type="dxa"/>
            <w:vAlign w:val="center"/>
          </w:tcPr>
          <w:p w14:paraId="7B9AF8B9">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小务龙水库</w:t>
            </w:r>
          </w:p>
        </w:tc>
        <w:tc>
          <w:tcPr>
            <w:tcW w:w="1882" w:type="dxa"/>
            <w:vAlign w:val="center"/>
          </w:tcPr>
          <w:p w14:paraId="0344DE27">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10.21</w:t>
            </w:r>
          </w:p>
        </w:tc>
        <w:tc>
          <w:tcPr>
            <w:tcW w:w="1704" w:type="dxa"/>
            <w:vAlign w:val="center"/>
          </w:tcPr>
          <w:p w14:paraId="040B24E9">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0.51</w:t>
            </w:r>
          </w:p>
        </w:tc>
        <w:tc>
          <w:tcPr>
            <w:tcW w:w="1705" w:type="dxa"/>
            <w:vAlign w:val="center"/>
          </w:tcPr>
          <w:p w14:paraId="3A93AE9A">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0.026</w:t>
            </w:r>
          </w:p>
        </w:tc>
        <w:tc>
          <w:tcPr>
            <w:tcW w:w="1705" w:type="dxa"/>
            <w:vAlign w:val="center"/>
          </w:tcPr>
          <w:p w14:paraId="4E9E1E01">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0.51</w:t>
            </w:r>
          </w:p>
        </w:tc>
      </w:tr>
      <w:tr w14:paraId="3433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6" w:type="dxa"/>
            <w:vAlign w:val="center"/>
          </w:tcPr>
          <w:p w14:paraId="37694FEC">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大河水库</w:t>
            </w:r>
          </w:p>
        </w:tc>
        <w:tc>
          <w:tcPr>
            <w:tcW w:w="1882" w:type="dxa"/>
            <w:vAlign w:val="center"/>
          </w:tcPr>
          <w:p w14:paraId="5E2BE52D">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12.50</w:t>
            </w:r>
          </w:p>
        </w:tc>
        <w:tc>
          <w:tcPr>
            <w:tcW w:w="1704" w:type="dxa"/>
            <w:vAlign w:val="center"/>
          </w:tcPr>
          <w:p w14:paraId="5503E462">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0.63</w:t>
            </w:r>
          </w:p>
        </w:tc>
        <w:tc>
          <w:tcPr>
            <w:tcW w:w="1705" w:type="dxa"/>
            <w:vAlign w:val="center"/>
          </w:tcPr>
          <w:p w14:paraId="115D792B">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0.031</w:t>
            </w:r>
          </w:p>
        </w:tc>
        <w:tc>
          <w:tcPr>
            <w:tcW w:w="1705" w:type="dxa"/>
            <w:vAlign w:val="center"/>
          </w:tcPr>
          <w:p w14:paraId="49FE19DF">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0.63</w:t>
            </w:r>
          </w:p>
        </w:tc>
      </w:tr>
      <w:tr w14:paraId="02270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6" w:type="dxa"/>
            <w:vAlign w:val="center"/>
          </w:tcPr>
          <w:p w14:paraId="326F41D5">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龙潭水库</w:t>
            </w:r>
          </w:p>
        </w:tc>
        <w:tc>
          <w:tcPr>
            <w:tcW w:w="1882" w:type="dxa"/>
            <w:vAlign w:val="center"/>
          </w:tcPr>
          <w:p w14:paraId="713D557A">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10.96</w:t>
            </w:r>
          </w:p>
        </w:tc>
        <w:tc>
          <w:tcPr>
            <w:tcW w:w="1704" w:type="dxa"/>
            <w:vAlign w:val="center"/>
          </w:tcPr>
          <w:p w14:paraId="59052600">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0.55</w:t>
            </w:r>
          </w:p>
        </w:tc>
        <w:tc>
          <w:tcPr>
            <w:tcW w:w="1705" w:type="dxa"/>
            <w:vAlign w:val="center"/>
          </w:tcPr>
          <w:p w14:paraId="358FB16E">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0.027</w:t>
            </w:r>
          </w:p>
        </w:tc>
        <w:tc>
          <w:tcPr>
            <w:tcW w:w="1705" w:type="dxa"/>
            <w:vAlign w:val="center"/>
          </w:tcPr>
          <w:p w14:paraId="6496A439">
            <w:pPr>
              <w:pStyle w:val="14"/>
              <w:spacing w:line="240" w:lineRule="auto"/>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0.55</w:t>
            </w:r>
          </w:p>
        </w:tc>
      </w:tr>
    </w:tbl>
    <w:p w14:paraId="4ACDBD07">
      <w:pPr>
        <w:pStyle w:val="14"/>
        <w:spacing w:before="156" w:beforeLines="50"/>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（4）水生态保护与修复规划</w:t>
      </w:r>
    </w:p>
    <w:p w14:paraId="51D99394">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生态保护以南盘江干支流生态治理为主。工程施工期短时对治理河段地表水体产生扰动，造成河水中固体颗粒物增加。同时，施工生产废水和生活污水若处置不当，也会对河流水质造成短时影响；可能导致河水浑浊、水质下降，鱼类等水生生物的生存和繁衍受到影响。工程施工结束后，工程效益将逐步发挥，治理河道变得更为清洁、生态。同时，水生态保护工程主要有生态基流保障措施、水源地保护、生态环境系统治理工程、水生态保护与修复工程等，有利于改善河道水生态环境，进而促进河道水质的改善。</w:t>
      </w:r>
    </w:p>
    <w:p w14:paraId="65E923DE">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（5）规划区退水河流水质影响分析</w:t>
      </w:r>
    </w:p>
    <w:p w14:paraId="3C11E85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供水安全保障措施的有效实施，有利于规划区充分利用现有稳定水源，减少水源安全风险，以管网建设项目、管网连通项目，形成集中连片供水，提升农村规模化供水工程覆盖比例，确保水源运输过程的安全保障。工、农业及生活供水量将增加，最终以退水的形式退减到规划区内各条河流中。规划区内城镇生活污水经污水处理厂处理达标后外排；工业供水经工业园区内污水处理设施处理达标后回用或外排；农村生活污水产生量少，经氧化塘、农村“两污”处理设施处理后回用于农灌等；农灌退水产生量少，退减入河量占河道来水量占比较小。规划区内各类生产生活废污水、工业污水均经处理后回用或外排，对流域内水质影响较小。</w:t>
      </w:r>
    </w:p>
    <w:p w14:paraId="160C4D7F">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各类工程主要位于南盘江干流及主要支流九龙河、黄泥河、甸溪河流域，规划实施后，中下游河道水量减少，纳污能力有所下降，综合水文情势和退水影响，工程建设后做好生态流量保障和治污减排工作对南盘江流域水质影响较小。</w:t>
      </w:r>
    </w:p>
    <w:p w14:paraId="04DCAF58">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湖库营养状态预测</w:t>
      </w:r>
    </w:p>
    <w:p w14:paraId="6BF74861">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关于水体富营养化判别，至今仍是水库湖泊水质研究中的难点问题之一。研究表明，水体发生富营养化不仅需要充足的营养盐，还需要合适的水文和气象条件，三者缺一不可。本规划选取重点水源工程小务龙水库、大河水库、龙潭水库富营养化情况预测作为典型分析。</w:t>
      </w:r>
    </w:p>
    <w:p w14:paraId="08A09F0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根据《地表水环境质量评价办法（试行）》（</w:t>
      </w:r>
      <w:r>
        <w:rPr>
          <w:rFonts w:hint="default" w:ascii="Times New Roman" w:hAnsi="Times New Roman" w:cs="Times New Roman"/>
          <w:color w:val="auto"/>
          <w:highlight w:val="none"/>
        </w:rPr>
        <w:t>环办〔2011〕22号</w:t>
      </w:r>
      <w:r>
        <w:rPr>
          <w:rFonts w:hint="default" w:ascii="Times New Roman" w:hAnsi="Times New Roman" w:cs="Times New Roman"/>
          <w:color w:val="auto"/>
          <w:kern w:val="0"/>
          <w:highlight w:val="none"/>
        </w:rPr>
        <w:t>），</w:t>
      </w:r>
      <w:r>
        <w:rPr>
          <w:rFonts w:hint="default" w:ascii="Times New Roman" w:hAnsi="Times New Roman" w:cs="Times New Roman"/>
          <w:color w:val="auto"/>
          <w:highlight w:val="none"/>
        </w:rPr>
        <w:t>湖库营养状态评价采用综合营养指数法（TLI（∑），具体步骤为：</w:t>
      </w:r>
    </w:p>
    <w:p w14:paraId="1500ED9D">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采用0～100的一系列连续数字对湖泊（水库）营养状态进行分级：</w:t>
      </w:r>
    </w:p>
    <w:p w14:paraId="5FA86A5D">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TLI（∑）＜30贫营养</w:t>
      </w:r>
    </w:p>
    <w:p w14:paraId="5B0552D1">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30≤TLI（∑）≤50中营养</w:t>
      </w:r>
    </w:p>
    <w:p w14:paraId="7646FE61">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TLI（∑）＞50富营养</w:t>
      </w:r>
    </w:p>
    <w:p w14:paraId="1C99C301">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50＜TLI（∑）≤60轻度富营养</w:t>
      </w:r>
    </w:p>
    <w:p w14:paraId="51DAC944">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60＜TLI（∑）≤70中度富营养</w:t>
      </w:r>
    </w:p>
    <w:p w14:paraId="51680F9E">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TLI（∑）＞70重度富营养</w:t>
      </w:r>
    </w:p>
    <w:p w14:paraId="202BF90A">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综合营养状态指数计算公式如下：</w:t>
      </w:r>
    </w:p>
    <w:p w14:paraId="51FDC9E7">
      <w:pPr>
        <w:pStyle w:val="14"/>
        <w:ind w:firstLine="0" w:firstLineChars="0"/>
        <w:jc w:val="center"/>
        <w:rPr>
          <w:rFonts w:hint="default" w:ascii="Times New Roman" w:hAnsi="Times New Roman" w:cs="Times New Roman"/>
          <w:color w:val="auto"/>
          <w:szCs w:val="22"/>
          <w:highlight w:val="none"/>
        </w:rPr>
      </w:pPr>
      <w:r>
        <w:rPr>
          <w:rFonts w:hint="default" w:ascii="Times New Roman" w:hAnsi="Times New Roman" w:cs="Times New Roman"/>
          <w:i/>
          <w:color w:val="auto"/>
          <w:highlight w:val="none"/>
        </w:rPr>
        <w:t>TLI</w:t>
      </w:r>
      <w:r>
        <w:rPr>
          <w:rFonts w:hint="default" w:ascii="Times New Roman" w:hAnsi="Times New Roman" w:cs="Times New Roman"/>
          <w:color w:val="auto"/>
          <w:highlight w:val="none"/>
        </w:rPr>
        <w:t>（∑）</w:t>
      </w:r>
      <w:r>
        <w:rPr>
          <w:rFonts w:hint="default" w:ascii="Times New Roman" w:hAnsi="Times New Roman" w:cs="Times New Roman"/>
          <w:color w:val="auto"/>
          <w:highlight w:val="none"/>
        </w:rPr>
        <w:object>
          <v:shape id="_x0000_i1026" o:spt="75" type="#_x0000_t75" style="height:21.5pt;width:93.5pt;" o:ole="t" filled="f" o:preferrelative="t" stroked="f" coordsize="21600,21600">
            <v:path/>
            <v:fill on="f" focussize="0,0"/>
            <v:stroke on="f" joinstyle="miter"/>
            <v:imagedata r:id="rId45" o:title=""/>
            <o:lock v:ext="edit" aspectratio="t"/>
            <w10:wrap type="none"/>
            <w10:anchorlock/>
          </v:shape>
          <o:OLEObject Type="Embed" ProgID="Equation.DSMT4" ShapeID="_x0000_i1026" DrawAspect="Content" ObjectID="_1468075726" r:id="rId44">
            <o:LockedField>false</o:LockedField>
          </o:OLEObject>
        </w:object>
      </w:r>
    </w:p>
    <w:p w14:paraId="1037718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式中：</w:t>
      </w:r>
      <w:r>
        <w:rPr>
          <w:rFonts w:hint="default" w:ascii="Times New Roman" w:hAnsi="Times New Roman" w:cs="Times New Roman"/>
          <w:i/>
          <w:color w:val="auto"/>
          <w:highlight w:val="none"/>
        </w:rPr>
        <w:t>TLI</w:t>
      </w:r>
      <w:r>
        <w:rPr>
          <w:rFonts w:hint="default" w:ascii="Times New Roman" w:hAnsi="Times New Roman" w:cs="Times New Roman"/>
          <w:color w:val="auto"/>
          <w:highlight w:val="none"/>
        </w:rPr>
        <w:t xml:space="preserve">（∑）——综合营养状态指数； </w:t>
      </w:r>
    </w:p>
    <w:p w14:paraId="3A0AC38C">
      <w:pPr>
        <w:pStyle w:val="14"/>
        <w:ind w:firstLine="480"/>
        <w:rPr>
          <w:rFonts w:hint="default" w:ascii="Times New Roman" w:hAnsi="Times New Roman" w:cs="Times New Roman"/>
          <w:color w:val="auto"/>
          <w:highlight w:val="none"/>
        </w:rPr>
      </w:pPr>
      <m:oMath>
        <m:sSub>
          <m:sSubPr>
            <m:ctrlPr>
              <w:rPr>
                <w:rFonts w:hint="default" w:ascii="Cambria Math" w:hAnsi="Cambria Math" w:cs="Times New Roman"/>
                <w:color w:val="auto"/>
                <w:highlight w:val="none"/>
              </w:rPr>
            </m:ctrlPr>
          </m:sSubPr>
          <m:e>
            <m:r>
              <m:rPr>
                <m:nor/>
                <m:sty m:val="p"/>
              </m:rPr>
              <w:rPr>
                <w:rFonts w:hint="default" w:ascii="Times New Roman" w:hAnsi="Times New Roman" w:cs="Times New Roman"/>
                <w:b w:val="0"/>
                <w:i w:val="0"/>
                <w:color w:val="auto"/>
                <w:highlight w:val="none"/>
              </w:rPr>
              <m:t xml:space="preserve"> </m:t>
            </m:r>
            <m:r>
              <m:rPr>
                <m:nor/>
              </m:rPr>
              <w:rPr>
                <w:rFonts w:hint="default" w:ascii="Times New Roman" w:hAnsi="Times New Roman" w:cs="Times New Roman"/>
                <w:i/>
                <w:color w:val="auto"/>
                <w:highlight w:val="none"/>
              </w:rPr>
              <m:t>W</m:t>
            </m:r>
            <m:ctrlPr>
              <w:rPr>
                <w:rFonts w:hint="default" w:ascii="Cambria Math" w:hAnsi="Cambria Math" w:cs="Times New Roman"/>
                <w:color w:val="auto"/>
                <w:highlight w:val="none"/>
              </w:rPr>
            </m:ctrlPr>
          </m:e>
          <m:sub>
            <m:r>
              <m:rPr>
                <m:nor/>
              </m:rPr>
              <w:rPr>
                <w:rFonts w:hint="default" w:ascii="Times New Roman" w:hAnsi="Times New Roman" w:cs="Times New Roman"/>
                <w:i/>
                <w:color w:val="auto"/>
                <w:highlight w:val="none"/>
              </w:rPr>
              <m:t>j</m:t>
            </m:r>
            <m:ctrlPr>
              <w:rPr>
                <w:rFonts w:hint="default" w:ascii="Cambria Math" w:hAnsi="Cambria Math" w:cs="Times New Roman"/>
                <w:color w:val="auto"/>
                <w:highlight w:val="none"/>
              </w:rPr>
            </m:ctrlPr>
          </m:sub>
        </m:sSub>
      </m:oMath>
      <w:r>
        <w:rPr>
          <w:rFonts w:hint="default" w:ascii="Times New Roman" w:hAnsi="Times New Roman" w:cs="Times New Roman"/>
          <w:color w:val="auto"/>
          <w:highlight w:val="none"/>
        </w:rPr>
        <w:t>——第j种参数的营养状态指数的相关权重；</w:t>
      </w:r>
    </w:p>
    <w:p w14:paraId="49FCAF98">
      <w:pPr>
        <w:pStyle w:val="14"/>
        <w:ind w:firstLine="480"/>
        <w:rPr>
          <w:rFonts w:hint="default" w:ascii="Times New Roman" w:hAnsi="Times New Roman" w:cs="Times New Roman"/>
          <w:color w:val="auto"/>
          <w:szCs w:val="22"/>
          <w:highlight w:val="none"/>
        </w:rPr>
      </w:pPr>
      <w:r>
        <w:rPr>
          <w:rFonts w:hint="default" w:ascii="Times New Roman" w:hAnsi="Times New Roman" w:cs="Times New Roman"/>
          <w:color w:val="auto"/>
          <w:position w:val="-14"/>
          <w:highlight w:val="none"/>
        </w:rPr>
        <w:object>
          <v:shape id="_x0000_i1027" o:spt="75" type="#_x0000_t75" style="height:21.5pt;width:36pt;" o:ole="t" filled="f" o:preferrelative="t" stroked="f" coordsize="21600,21600">
            <v:path/>
            <v:fill on="f" focussize="0,0"/>
            <v:stroke on="f" joinstyle="miter"/>
            <v:imagedata r:id="rId47" o:title=""/>
            <o:lock v:ext="edit" aspectratio="t"/>
            <w10:wrap type="none"/>
            <w10:anchorlock/>
          </v:shape>
          <o:OLEObject Type="Embed" ProgID="Equation.DSMT4" ShapeID="_x0000_i1027" DrawAspect="Content" ObjectID="_1468075727" r:id="rId46">
            <o:LockedField>false</o:LockedField>
          </o:OLEObject>
        </w:object>
      </w:r>
      <w:r>
        <w:rPr>
          <w:rFonts w:hint="default" w:ascii="Times New Roman" w:hAnsi="Times New Roman" w:cs="Times New Roman"/>
          <w:color w:val="auto"/>
          <w:szCs w:val="22"/>
          <w:highlight w:val="none"/>
        </w:rPr>
        <w:t>——代表第j种参数的营养状态指数。</w:t>
      </w:r>
    </w:p>
    <w:p w14:paraId="7DE93CF9">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各项目营养状态指数计算： </w:t>
      </w:r>
    </w:p>
    <w:p w14:paraId="77D505BA">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TLI（TP）=10（9.436+1.624lnP</w:t>
      </w:r>
      <w:r>
        <w:rPr>
          <w:rFonts w:hint="default" w:ascii="Times New Roman" w:hAnsi="Times New Roman" w:cs="Times New Roman"/>
          <w:color w:val="auto"/>
          <w:highlight w:val="none"/>
          <w:vertAlign w:val="subscript"/>
        </w:rPr>
        <w:t>TP</w:t>
      </w:r>
      <w:r>
        <w:rPr>
          <w:rFonts w:hint="default" w:ascii="Times New Roman" w:hAnsi="Times New Roman" w:cs="Times New Roman"/>
          <w:color w:val="auto"/>
          <w:highlight w:val="none"/>
        </w:rPr>
        <w:t>）</w:t>
      </w:r>
    </w:p>
    <w:p w14:paraId="4249B8B7">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TLI（TN）=10（5.453+1.694lnP</w:t>
      </w:r>
      <w:r>
        <w:rPr>
          <w:rFonts w:hint="default" w:ascii="Times New Roman" w:hAnsi="Times New Roman" w:cs="Times New Roman"/>
          <w:color w:val="auto"/>
          <w:highlight w:val="none"/>
          <w:vertAlign w:val="subscript"/>
        </w:rPr>
        <w:t>TN</w:t>
      </w:r>
      <w:r>
        <w:rPr>
          <w:rFonts w:hint="default" w:ascii="Times New Roman" w:hAnsi="Times New Roman" w:cs="Times New Roman"/>
          <w:color w:val="auto"/>
          <w:highlight w:val="none"/>
        </w:rPr>
        <w:t>）</w:t>
      </w:r>
    </w:p>
    <w:p w14:paraId="34173E9E">
      <w:pPr>
        <w:pStyle w:val="14"/>
        <w:ind w:firstLine="480"/>
        <w:rPr>
          <w:rFonts w:hint="default" w:ascii="Times New Roman" w:hAnsi="Times New Roman" w:cs="Times New Roman"/>
          <w:color w:val="auto"/>
          <w:highlight w:val="none"/>
          <w:lang w:val="zh-CN"/>
        </w:rPr>
      </w:pPr>
      <w:r>
        <w:rPr>
          <w:rFonts w:hint="default" w:ascii="Times New Roman" w:hAnsi="Times New Roman" w:cs="Times New Roman"/>
          <w:color w:val="auto"/>
          <w:highlight w:val="none"/>
        </w:rPr>
        <w:t>式中：指标单位均为mg/L。</w:t>
      </w:r>
    </w:p>
    <w:p w14:paraId="7AC9FED9">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依据《地表水环境质量评价办法（试行）》（环办〔2011〕22号），结合本规划重点工程实施后，小务龙水库、大河水库、龙潭水库库区水质预测结果，分别对小务龙水库、大河水库、龙潭水库的营养状况进行评价。</w:t>
      </w:r>
    </w:p>
    <w:p w14:paraId="36B6A16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库蓄水后，库区回水区流速极小，污染物质不易快速扩散，造成氮、磷等大量营养物质富集，可能会出现富营养化现象。预测结果显示，小务龙水库、大河水库、龙潭水库综合营养指数分别为38.86、42.22、40.05，均为中营养状态。</w:t>
      </w:r>
    </w:p>
    <w:p w14:paraId="1D6D1B2E">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地下水环境</w:t>
      </w:r>
      <w:r>
        <w:rPr>
          <w:rFonts w:hint="default" w:ascii="Times New Roman" w:hAnsi="Times New Roman" w:cs="Times New Roman" w:eastAsiaTheme="minorEastAsia"/>
          <w:color w:val="auto"/>
          <w:highlight w:val="none"/>
          <w:lang w:val="en-US" w:eastAsia="zh-CN"/>
        </w:rPr>
        <w:t>影响预测</w:t>
      </w:r>
    </w:p>
    <w:p w14:paraId="1D9B050C">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规划实施对地下水环境的影响</w:t>
      </w:r>
    </w:p>
    <w:p w14:paraId="5F1D564E">
      <w:pPr>
        <w:widowControl/>
        <w:ind w:firstLine="496"/>
        <w:jc w:val="left"/>
        <w:rPr>
          <w:rFonts w:hint="default" w:ascii="Times New Roman" w:hAnsi="Times New Roman" w:cs="Times New Roman"/>
          <w:color w:val="auto"/>
          <w:spacing w:val="4"/>
          <w:szCs w:val="28"/>
          <w:highlight w:val="none"/>
          <w:lang w:val="zh-CN"/>
        </w:rPr>
      </w:pPr>
      <w:r>
        <w:rPr>
          <w:rFonts w:hint="default" w:ascii="Times New Roman" w:hAnsi="Times New Roman" w:cs="Times New Roman"/>
          <w:color w:val="auto"/>
          <w:spacing w:val="4"/>
          <w:szCs w:val="28"/>
          <w:highlight w:val="none"/>
          <w:lang w:val="zh-CN" w:bidi="ar"/>
        </w:rPr>
        <w:t>本规划中防洪减灾规划、水资源节约集约利用规划、水资源保护规划、河湖生态保护规划等均会对地下水产生直接或间接影响，其影响主要是通过改变地表水循环、地下水补给排泄条件、居民用水方式等</w:t>
      </w:r>
      <w:r>
        <w:rPr>
          <w:rFonts w:hint="default" w:ascii="Times New Roman" w:hAnsi="Times New Roman" w:cs="Times New Roman"/>
          <w:color w:val="auto"/>
          <w:spacing w:val="4"/>
          <w:szCs w:val="28"/>
          <w:highlight w:val="none"/>
          <w:lang w:bidi="ar"/>
        </w:rPr>
        <w:t>方式</w:t>
      </w:r>
      <w:r>
        <w:rPr>
          <w:rFonts w:hint="default" w:ascii="Times New Roman" w:hAnsi="Times New Roman" w:cs="Times New Roman"/>
          <w:color w:val="auto"/>
          <w:spacing w:val="4"/>
          <w:szCs w:val="28"/>
          <w:highlight w:val="none"/>
          <w:lang w:val="zh-CN" w:bidi="ar"/>
        </w:rPr>
        <w:t>对地下水水质、水量</w:t>
      </w:r>
      <w:r>
        <w:rPr>
          <w:rFonts w:hint="default" w:ascii="Times New Roman" w:hAnsi="Times New Roman" w:cs="Times New Roman"/>
          <w:color w:val="auto"/>
          <w:spacing w:val="4"/>
          <w:szCs w:val="28"/>
          <w:highlight w:val="none"/>
          <w:lang w:bidi="ar"/>
        </w:rPr>
        <w:t>产生</w:t>
      </w:r>
      <w:r>
        <w:rPr>
          <w:rFonts w:hint="default" w:ascii="Times New Roman" w:hAnsi="Times New Roman" w:cs="Times New Roman"/>
          <w:color w:val="auto"/>
          <w:spacing w:val="4"/>
          <w:szCs w:val="28"/>
          <w:highlight w:val="none"/>
          <w:lang w:val="zh-CN" w:bidi="ar"/>
        </w:rPr>
        <w:t>影响。</w:t>
      </w:r>
    </w:p>
    <w:p w14:paraId="7F98A9C9">
      <w:pPr>
        <w:widowControl/>
        <w:ind w:firstLine="496"/>
        <w:jc w:val="left"/>
        <w:rPr>
          <w:rFonts w:hint="default" w:ascii="Times New Roman" w:hAnsi="Times New Roman" w:cs="Times New Roman"/>
          <w:color w:val="auto"/>
          <w:spacing w:val="4"/>
          <w:szCs w:val="28"/>
          <w:highlight w:val="none"/>
          <w:lang w:val="zh-CN" w:bidi="ar"/>
        </w:rPr>
      </w:pPr>
      <w:r>
        <w:rPr>
          <w:rFonts w:hint="default" w:ascii="Times New Roman" w:hAnsi="Times New Roman" w:cs="Times New Roman"/>
          <w:color w:val="auto"/>
          <w:spacing w:val="4"/>
          <w:szCs w:val="28"/>
          <w:highlight w:val="none"/>
          <w:lang w:val="zh-CN" w:bidi="ar"/>
        </w:rPr>
        <w:t>本规划中防洪减灾规划的各类工程和措施实施后，</w:t>
      </w:r>
      <w:r>
        <w:rPr>
          <w:rFonts w:hint="default" w:ascii="Times New Roman" w:hAnsi="Times New Roman" w:cs="Times New Roman"/>
          <w:color w:val="auto"/>
          <w:spacing w:val="4"/>
          <w:szCs w:val="28"/>
          <w:highlight w:val="none"/>
          <w:lang w:bidi="ar"/>
        </w:rPr>
        <w:t>主要改变汛期地表水‑地下水交换关系，堤防防渗局部改变地下水补给排泄，不利影响集中在汛期局部地段，通过工程措施可管控</w:t>
      </w:r>
      <w:r>
        <w:rPr>
          <w:rFonts w:hint="default" w:ascii="Times New Roman" w:hAnsi="Times New Roman" w:cs="Times New Roman"/>
          <w:color w:val="auto"/>
          <w:spacing w:val="4"/>
          <w:szCs w:val="28"/>
          <w:highlight w:val="none"/>
          <w:lang w:val="zh-CN" w:bidi="ar"/>
        </w:rPr>
        <w:t>；水资源节约集约利用规划中，灌区是最主要的地下水风险来源，可能带来坝区地下水位抬升、硝酸盐累积风险，调水带来受水区补给增加，节水、地下水管控等措施对地下水具有保护修复效益；水资源保护规划的实施，以污染源管控、水源地保护、监测预警为主，整体以有利影响为主，降低各类污染物入渗地下水风险；河湖生态保护规划中，生态流量保障、生态补水、水土保持等措施提升地下水涵养与枯季补给能力，削减面源污染，以有利影响为主。</w:t>
      </w:r>
    </w:p>
    <w:p w14:paraId="38A43959">
      <w:pPr>
        <w:widowControl/>
        <w:ind w:firstLine="496"/>
        <w:jc w:val="left"/>
        <w:rPr>
          <w:rFonts w:hint="default" w:ascii="Times New Roman" w:hAnsi="Times New Roman" w:cs="Times New Roman"/>
          <w:color w:val="auto"/>
          <w:spacing w:val="4"/>
          <w:szCs w:val="28"/>
          <w:highlight w:val="none"/>
          <w:lang w:val="zh-CN" w:bidi="ar"/>
        </w:rPr>
      </w:pPr>
      <w:r>
        <w:rPr>
          <w:rFonts w:hint="default" w:ascii="Times New Roman" w:hAnsi="Times New Roman" w:cs="Times New Roman"/>
          <w:color w:val="auto"/>
          <w:spacing w:val="4"/>
          <w:szCs w:val="28"/>
          <w:highlight w:val="none"/>
          <w:lang w:val="zh-CN" w:bidi="ar"/>
        </w:rPr>
        <w:t>总体上，规划实施不会改变南盘江（曲靖市境内）流域大尺度地下水补‑径‑排总体格局；局部区域存在浸没、次生盐渍化、地下水水量减少、水质污染等风险；在落实规划源头管控、岩溶专项勘察、灌区节水、矿山遗留风险排查、饮用水源保护、地下水跟踪监测等措施条件下，规划实施对地下水环境的影响总体可接受。</w:t>
      </w:r>
    </w:p>
    <w:p w14:paraId="6C27FF90">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重大水工程对地下水的影响</w:t>
      </w:r>
    </w:p>
    <w:p w14:paraId="22BA28A7">
      <w:pPr>
        <w:ind w:firstLine="480" w:firstLineChars="200"/>
        <w:rPr>
          <w:rFonts w:hint="default" w:ascii="Times New Roman" w:hAnsi="Times New Roman" w:cs="Times New Roman"/>
          <w:color w:val="auto"/>
          <w:highlight w:val="none"/>
        </w:rPr>
      </w:pPr>
      <w:bookmarkStart w:id="110" w:name="OLE_LINK6"/>
      <w:r>
        <w:rPr>
          <w:rFonts w:hint="default" w:ascii="Times New Roman" w:hAnsi="Times New Roman" w:cs="Times New Roman"/>
          <w:color w:val="auto"/>
          <w:highlight w:val="none"/>
        </w:rPr>
        <w:t>本工程重大水利工程规划主要包括罗师灌区工程、富源灌区工程、沾马灌区工程、曲靖市牛栏江德泽水库引水济曲工程、陆良县引水入陆工程、云南省南盘江（珠江源头）生态保护修复工程以及响水坝水库扩建工程，形式覆盖水库扩建、新建枢纽、引水工程、灌区工程以及河道治理工程。</w:t>
      </w:r>
    </w:p>
    <w:bookmarkEnd w:id="110"/>
    <w:p w14:paraId="5AB64AE9">
      <w:pPr>
        <w:pStyle w:val="31"/>
        <w:numPr>
          <w:ilvl w:val="0"/>
          <w:numId w:val="14"/>
        </w:numPr>
        <w:ind w:firstLineChars="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施工期地下水影响识别</w:t>
      </w:r>
    </w:p>
    <w:p w14:paraId="1E29BD1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地下水资源影响：规划在实施过程中，地下工程建设揭露含水层时，会形成地下涌水，施工过程中持续的抽排水可能导致地下水减少乃至疏干，形成以隧道等为中心的降落漏斗。地下工程施工过程中破坏原有的水力平衡，使原本封闭或弱透水层中的地下水被加速疏排。施工结束后，若地下工程衬砌防排水系统设计不当，仍可能形成长期渗漏通道，持续排泄地下水，导致含水层难以恢复。含水层疏干可能引起周边数公里范围内的地下水位下降，导致周边村庄水井干涸；地下水疏干可能使依赖含水层补给的泉水流量减少甚至断流，从而影响受泉点补给的地表水水资源量减少；浅层地下水疏干可能导致湿地退化、植被枯萎，影响区域依赖地下水的生态系统。</w:t>
      </w:r>
    </w:p>
    <w:p w14:paraId="5FB2171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地下水环境影响：规划工程布局若落在泉域补给径流区，水库蓄水、隧洞工程建设、渠道渗漏、灌区面源会对地下水饮用水源保护区、泉点水量、水质带来潜在影响，本规划工程流域范围内分布有地下水水源保护区，工程区周边可能分布其他地下水敏感目标及未被开发利用泉点，相关泉点可能受规划工程疏干影响，部分泉点流量减少甚至疏干。</w:t>
      </w:r>
    </w:p>
    <w:p w14:paraId="7A0130A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工程选址选线时遵循避让优先原则，无法避让时需开展水文地质影响论证，并采取相应措施。</w:t>
      </w:r>
    </w:p>
    <w:p w14:paraId="036A79E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（3）对地下水质的影响</w:t>
      </w:r>
    </w:p>
    <w:p w14:paraId="26D401B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施工过程中会产生大量废水，如钻孔、爆破、混凝土搅拌及养护等工序产生的废水，其中含有大量的悬浮物、油类、重金属等污染物。这些废水若未经处理直接排放或渗漏，会进入地下水系统，导致地下水水质恶化。</w:t>
      </w:r>
    </w:p>
    <w:p w14:paraId="2E529F0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地下工程施工过程中，大量地下水涌出，会加速水循环交替，促进氧化作用，使地下水中某些金属元素含量增加或pH 值发生显著变化。例如，在一些富含硫化物矿物的地区，地下水涌出后与空气接触，硫化物被氧化，可能导致水中硫酸根离子浓度增加，进而使地下水酸化。</w:t>
      </w:r>
    </w:p>
    <w:p w14:paraId="32AC79D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在施工过程中加强对规划工程废水收集及处理，减少废水产生，同时加强对地下工程建设过程中涌水水质监测，关注涌水中污染物，妥善处置涌水后基本不会对地下水水质造成影响。</w:t>
      </w:r>
    </w:p>
    <w:p w14:paraId="5A5FA01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综上，施工期属于短期局部影响，落实废水回用、截排水、岩溶区管控措施，影响总体可控。</w:t>
      </w:r>
    </w:p>
    <w:p w14:paraId="218CF15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（二）运行期地下水影响</w:t>
      </w:r>
    </w:p>
    <w:p w14:paraId="37125FE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（1）水资源、水环境影响</w:t>
      </w:r>
    </w:p>
    <w:p w14:paraId="56F70D7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①新建、扩建水库工程蓄水抬升库区周边地下水位，库周地下水位抬升，低洼洼地存在浸没风险。</w:t>
      </w:r>
    </w:p>
    <w:p w14:paraId="5ECB9C0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②岩溶库段渗漏风险：南盘江流域碳酸盐岩占比高，部分库段分布落水洞、岩溶管道，水库蓄水后，存在库水沿岩溶管道渗漏，改变区域地下水径流，一方面地表水补给地下水，另一方面库周地表污染源可通过岩溶通道进入地下水系统，需采取相应措施。</w:t>
      </w:r>
    </w:p>
    <w:p w14:paraId="442E0C5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③水库调度改变地表水‑地下水补排关系：枯水期水库加大下泄流量，提升河道水位，增强河水对两岸地下水侧向补给。</w:t>
      </w:r>
    </w:p>
    <w:p w14:paraId="3DF9ED7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 ④引调水工程外流域调水改变区域地表水空间分配，间接改变地下水补给来源，局部河道流量变化，改变河水对两岸地下水侧向补给强度。</w:t>
      </w:r>
    </w:p>
    <w:p w14:paraId="2AD2660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⑤南盘江干支流堤防、河道治理工程堤防硬化岸线，改变局部河段地表水‑地下水交换界面，部分河段削弱河水侧向补给两岸孔隙含水层。</w:t>
      </w:r>
    </w:p>
    <w:p w14:paraId="73C23F72">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（2）水质影响</w:t>
      </w:r>
    </w:p>
    <w:p w14:paraId="3FB3320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①灌区工程农业面源累积入渗风险，规划 2035 农田灌溉水有效利用系数提高至0.63，但耕地基数大，化肥、农药随灌溉水入渗，长期累积造成浅层地下水中硝酸盐升高，岩溶发育区域，污染物经落水洞快速直达含水层，风险高于碎屑岩地区。</w:t>
      </w:r>
    </w:p>
    <w:p w14:paraId="135A72B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②灌区工程规划水平年灌区规模扩大，灌溉水量增加，灌溉回归水下渗补给陆良坝、师宗‑罗平坝、富源河谷浅层地下水，抬升坝区地下水位，低洼区域存在次生盐渍化风险。</w:t>
      </w:r>
    </w:p>
    <w:p w14:paraId="078DF4F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总体上，运营期规划工程对地下水资源、水质的影响较小，通过强化监管、优化各工程间的运营调度，采取污染治理、优化种植结构等措施后可有效控制相应不利影响。</w:t>
      </w:r>
    </w:p>
    <w:p w14:paraId="70D866E2">
      <w:pPr>
        <w:pStyle w:val="3"/>
        <w:numPr>
          <w:ilvl w:val="1"/>
          <w:numId w:val="4"/>
        </w:numPr>
        <w:spacing w:before="374" w:after="249"/>
        <w:rPr>
          <w:rFonts w:hint="default" w:ascii="Times New Roman" w:hAnsi="Times New Roman" w:eastAsia="宋体" w:cs="Times New Roman"/>
          <w:color w:val="auto"/>
          <w:highlight w:val="none"/>
        </w:rPr>
      </w:pPr>
      <w:bookmarkStart w:id="111" w:name="_Toc22318"/>
      <w:r>
        <w:rPr>
          <w:rFonts w:hint="default" w:ascii="Times New Roman" w:hAnsi="Times New Roman" w:eastAsia="宋体" w:cs="Times New Roman"/>
          <w:color w:val="auto"/>
          <w:highlight w:val="none"/>
        </w:rPr>
        <w:t>对陆生生态的影响</w:t>
      </w:r>
      <w:bookmarkEnd w:id="111"/>
    </w:p>
    <w:p w14:paraId="2CEB9DB8">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根据规划分析，南盘江（曲靖市境内）流域综合规划以防洪减灾、水资源节约集约利用、河湖生态环境保护和水土保持等为主要任务，规划工程类型主要包括：防洪工程（南盘江干流新建及加固堤防127.22km、主要支流新建及提标堤防175.16km、中小河流堤防137.45km和护岸398.9km，河道清淤疏浚166.25km，山洪沟治理135条680.21km，病险水库、水闸除险加固164座、11座）；水资源配置工程（重点水源工程65件，其中中型12件、小（1）型53件，总库容42649万m³；灌区工程42件，其中大型3件、中型39件，设计灌溉面积344.2万亩；引调水工程11件）；河湖生态保护治理与修复工程21件；水源涵养与水土保持工程23件，新增水土流失治理面积834km²。</w:t>
      </w:r>
    </w:p>
    <w:p w14:paraId="7CC8C99A">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结合规划区陆生生态现状（自然植被8个植被类型、11个植被亚型、46个群系；野生维管植物1182种，其中国家重点保护野生植物16种、云南省重点保护野生植物3种、古树名木1366株；森林生态系统面积5981.21km²、占42.05%，农田生态系统面积5225.15km²、占36.73%）和规划工程类型，规划实施对陆生生态的影响主要体现为土地利用影响、陆生植被影响、植物资源影响、生态系统影响及累积性影响等。受规划阶段设计深度所限，多数规划工程尚未确定占地范围，本次评价以已开展可研前期工作的重点工程征占地资料为基础进行定量分析，其余工程采用类比分析与趋势预测相结合的方法进行定性、半定量评价。</w:t>
      </w:r>
    </w:p>
    <w:p w14:paraId="3EA2E45D">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对土地资源的影响</w:t>
      </w:r>
    </w:p>
    <w:p w14:paraId="0A1FA01A">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对土地利用类型影响</w:t>
      </w:r>
    </w:p>
    <w:p w14:paraId="275E65FA">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规划实施对土地利用类型的影响主要来自工程征占地和水库淹没。规划重点水源工程65件（总库容42649万m³）、灌区工程42件、引调水工程11件等实施后，将占用或淹没一定面积的林地、耕地、园地等土地，水域及水利设施用地面积相应增加。</w:t>
      </w:r>
    </w:p>
    <w:p w14:paraId="637DCD43">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根据重点工程</w:t>
      </w:r>
      <w:r>
        <w:rPr>
          <w:rFonts w:hint="default" w:ascii="Times New Roman" w:hAnsi="Times New Roman" w:cs="Times New Roman"/>
          <w:color w:val="auto"/>
          <w:highlight w:val="none"/>
          <w:lang w:val="en-US" w:eastAsia="zh-CN"/>
        </w:rPr>
        <w:t>各阶段初步</w:t>
      </w:r>
      <w:r>
        <w:rPr>
          <w:rFonts w:hint="default" w:ascii="Times New Roman" w:hAnsi="Times New Roman" w:eastAsia="宋体" w:cs="Times New Roman"/>
          <w:color w:val="auto"/>
          <w:highlight w:val="none"/>
          <w:lang w:eastAsia="zh-CN"/>
        </w:rPr>
        <w:t>成果</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工程征占地情况见</w:t>
      </w:r>
      <w:r>
        <w:rPr>
          <w:rFonts w:hint="default" w:ascii="Times New Roman" w:hAnsi="Times New Roman" w:eastAsia="宋体" w:cs="Times New Roman"/>
          <w:color w:val="auto"/>
          <w:highlight w:val="none"/>
          <w:lang w:eastAsia="zh-CN"/>
        </w:rPr>
        <w:t>表</w:t>
      </w:r>
      <w:r>
        <w:rPr>
          <w:rFonts w:hint="default" w:ascii="Times New Roman" w:hAnsi="Times New Roman" w:cs="Times New Roman"/>
          <w:color w:val="auto"/>
          <w:highlight w:val="none"/>
          <w:lang w:val="en-US" w:eastAsia="zh-CN"/>
        </w:rPr>
        <w:t>5.4.1</w:t>
      </w:r>
      <w:r>
        <w:rPr>
          <w:rFonts w:hint="default" w:ascii="Times New Roman" w:hAnsi="Times New Roman" w:eastAsia="宋体" w:cs="Times New Roman"/>
          <w:color w:val="auto"/>
          <w:highlight w:val="none"/>
          <w:lang w:eastAsia="zh-CN"/>
        </w:rPr>
        <w:t>-1</w:t>
      </w:r>
      <w:r>
        <w:rPr>
          <w:rFonts w:hint="default" w:ascii="Times New Roman" w:hAnsi="Times New Roman" w:cs="Times New Roman"/>
          <w:color w:val="auto"/>
          <w:highlight w:val="none"/>
          <w:lang w:eastAsia="zh-CN"/>
        </w:rPr>
        <w:t>。</w:t>
      </w:r>
    </w:p>
    <w:p w14:paraId="1C18F33F">
      <w:pPr>
        <w:pStyle w:val="29"/>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表</w:t>
      </w:r>
      <w:r>
        <w:rPr>
          <w:rFonts w:hint="default" w:ascii="Times New Roman" w:hAnsi="Times New Roman" w:cs="Times New Roman"/>
          <w:color w:val="auto"/>
          <w:highlight w:val="none"/>
          <w:lang w:val="en-US" w:eastAsia="zh-CN"/>
        </w:rPr>
        <w:t>5.4.1-1</w:t>
      </w:r>
      <w:r>
        <w:rPr>
          <w:rFonts w:hint="default" w:ascii="Times New Roman" w:hAnsi="Times New Roman" w:cs="Times New Roman"/>
          <w:color w:val="auto"/>
          <w:highlight w:val="none"/>
          <w:lang w:eastAsia="zh-CN"/>
        </w:rPr>
        <w:t xml:space="preserve">  </w:t>
      </w:r>
      <w:r>
        <w:rPr>
          <w:rFonts w:hint="default" w:ascii="Times New Roman" w:hAnsi="Times New Roman" w:cs="Times New Roman"/>
          <w:color w:val="auto"/>
          <w:highlight w:val="none"/>
          <w:lang w:val="en-US" w:eastAsia="zh-CN"/>
        </w:rPr>
        <w:t>规划重点工程征占地情况一览表</w:t>
      </w:r>
    </w:p>
    <w:tbl>
      <w:tblPr>
        <w:tblStyle w:val="23"/>
        <w:tblW w:w="89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3"/>
        <w:gridCol w:w="1195"/>
        <w:gridCol w:w="1165"/>
        <w:gridCol w:w="1124"/>
        <w:gridCol w:w="1131"/>
        <w:gridCol w:w="2726"/>
      </w:tblGrid>
      <w:tr w14:paraId="0379B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1583" w:type="dxa"/>
            <w:vAlign w:val="center"/>
          </w:tcPr>
          <w:p w14:paraId="7CC43E3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工程名称</w:t>
            </w:r>
          </w:p>
        </w:tc>
        <w:tc>
          <w:tcPr>
            <w:tcW w:w="1195" w:type="dxa"/>
            <w:vAlign w:val="center"/>
          </w:tcPr>
          <w:p w14:paraId="7C31D2E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所在县</w:t>
            </w:r>
          </w:p>
          <w:p w14:paraId="326828F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（区）</w:t>
            </w:r>
          </w:p>
        </w:tc>
        <w:tc>
          <w:tcPr>
            <w:tcW w:w="1165" w:type="dxa"/>
            <w:vAlign w:val="center"/>
          </w:tcPr>
          <w:p w14:paraId="1F76507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征地总面积（亩）</w:t>
            </w:r>
          </w:p>
        </w:tc>
        <w:tc>
          <w:tcPr>
            <w:tcW w:w="1124" w:type="dxa"/>
            <w:vAlign w:val="center"/>
          </w:tcPr>
          <w:p w14:paraId="5DB084E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永久占地</w:t>
            </w:r>
          </w:p>
          <w:p w14:paraId="18C4B2D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（亩）</w:t>
            </w:r>
          </w:p>
        </w:tc>
        <w:tc>
          <w:tcPr>
            <w:tcW w:w="1131" w:type="dxa"/>
            <w:vAlign w:val="center"/>
          </w:tcPr>
          <w:p w14:paraId="46F9389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临时占地</w:t>
            </w:r>
          </w:p>
          <w:p w14:paraId="765D990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（亩）</w:t>
            </w:r>
          </w:p>
        </w:tc>
        <w:tc>
          <w:tcPr>
            <w:tcW w:w="2726" w:type="dxa"/>
            <w:vAlign w:val="center"/>
          </w:tcPr>
          <w:p w14:paraId="343762B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主要占地范围及说明</w:t>
            </w:r>
          </w:p>
        </w:tc>
      </w:tr>
      <w:tr w14:paraId="2497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3" w:type="dxa"/>
            <w:vAlign w:val="center"/>
          </w:tcPr>
          <w:p w14:paraId="5063A3A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罗师灌区</w:t>
            </w:r>
          </w:p>
        </w:tc>
        <w:tc>
          <w:tcPr>
            <w:tcW w:w="1195" w:type="dxa"/>
            <w:vAlign w:val="center"/>
          </w:tcPr>
          <w:p w14:paraId="152EED6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罗平、师宗、陆良、麒麟</w:t>
            </w:r>
          </w:p>
        </w:tc>
        <w:tc>
          <w:tcPr>
            <w:tcW w:w="1165" w:type="dxa"/>
            <w:vAlign w:val="center"/>
          </w:tcPr>
          <w:p w14:paraId="38A471D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15546.52</w:t>
            </w:r>
          </w:p>
        </w:tc>
        <w:tc>
          <w:tcPr>
            <w:tcW w:w="1124" w:type="dxa"/>
            <w:vAlign w:val="center"/>
          </w:tcPr>
          <w:p w14:paraId="3739DDC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5614.87</w:t>
            </w:r>
          </w:p>
        </w:tc>
        <w:tc>
          <w:tcPr>
            <w:tcW w:w="1131" w:type="dxa"/>
            <w:vAlign w:val="center"/>
          </w:tcPr>
          <w:p w14:paraId="1F891F1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9931.65</w:t>
            </w:r>
          </w:p>
        </w:tc>
        <w:tc>
          <w:tcPr>
            <w:tcW w:w="2726" w:type="dxa"/>
            <w:vAlign w:val="center"/>
          </w:tcPr>
          <w:p w14:paraId="7AA81AE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调蓄工程（小务龙水库扩建）3717.23亩，灌区配套工程11829.29亩</w:t>
            </w:r>
          </w:p>
        </w:tc>
      </w:tr>
      <w:tr w14:paraId="1195C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3" w:type="dxa"/>
            <w:vAlign w:val="center"/>
          </w:tcPr>
          <w:p w14:paraId="47722C2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富源灌区</w:t>
            </w:r>
          </w:p>
        </w:tc>
        <w:tc>
          <w:tcPr>
            <w:tcW w:w="1195" w:type="dxa"/>
            <w:vAlign w:val="center"/>
          </w:tcPr>
          <w:p w14:paraId="732ED8F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富源、罗平</w:t>
            </w:r>
          </w:p>
        </w:tc>
        <w:tc>
          <w:tcPr>
            <w:tcW w:w="1165" w:type="dxa"/>
            <w:vAlign w:val="center"/>
          </w:tcPr>
          <w:p w14:paraId="682D661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19334.48</w:t>
            </w:r>
          </w:p>
        </w:tc>
        <w:tc>
          <w:tcPr>
            <w:tcW w:w="1124" w:type="dxa"/>
            <w:vAlign w:val="center"/>
          </w:tcPr>
          <w:p w14:paraId="37DDA1D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7879.58</w:t>
            </w:r>
          </w:p>
        </w:tc>
        <w:tc>
          <w:tcPr>
            <w:tcW w:w="1131" w:type="dxa"/>
            <w:vAlign w:val="center"/>
          </w:tcPr>
          <w:p w14:paraId="7D861E7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11454.89</w:t>
            </w:r>
          </w:p>
        </w:tc>
        <w:tc>
          <w:tcPr>
            <w:tcW w:w="2726" w:type="dxa"/>
            <w:vAlign w:val="center"/>
          </w:tcPr>
          <w:p w14:paraId="5531933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水源工程9193.94亩、渠系配套工程10140.54亩</w:t>
            </w:r>
          </w:p>
        </w:tc>
      </w:tr>
      <w:tr w14:paraId="169A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3" w:type="dxa"/>
            <w:vAlign w:val="center"/>
          </w:tcPr>
          <w:p w14:paraId="0F85476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沾马灌区</w:t>
            </w:r>
          </w:p>
        </w:tc>
        <w:tc>
          <w:tcPr>
            <w:tcW w:w="1195" w:type="dxa"/>
            <w:vAlign w:val="center"/>
          </w:tcPr>
          <w:p w14:paraId="5C98E71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沾益、马龙</w:t>
            </w:r>
          </w:p>
        </w:tc>
        <w:tc>
          <w:tcPr>
            <w:tcW w:w="1165" w:type="dxa"/>
            <w:vAlign w:val="center"/>
          </w:tcPr>
          <w:p w14:paraId="6D012E1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1600</w:t>
            </w:r>
          </w:p>
        </w:tc>
        <w:tc>
          <w:tcPr>
            <w:tcW w:w="1124" w:type="dxa"/>
            <w:vAlign w:val="center"/>
          </w:tcPr>
          <w:p w14:paraId="4233BEC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1131" w:type="dxa"/>
            <w:vAlign w:val="center"/>
          </w:tcPr>
          <w:p w14:paraId="5F4502E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2726" w:type="dxa"/>
            <w:vAlign w:val="center"/>
          </w:tcPr>
          <w:p w14:paraId="12E76D8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工程占地约1600亩</w:t>
            </w:r>
          </w:p>
        </w:tc>
      </w:tr>
      <w:tr w14:paraId="79D3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3" w:type="dxa"/>
            <w:vAlign w:val="center"/>
          </w:tcPr>
          <w:p w14:paraId="5C85F4B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牛栏江德泽水库引水济曲工程</w:t>
            </w:r>
          </w:p>
        </w:tc>
        <w:tc>
          <w:tcPr>
            <w:tcW w:w="1195" w:type="dxa"/>
            <w:vAlign w:val="center"/>
          </w:tcPr>
          <w:p w14:paraId="4B5043F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麒麟、沾益、马龙、陆良</w:t>
            </w:r>
          </w:p>
        </w:tc>
        <w:tc>
          <w:tcPr>
            <w:tcW w:w="1165" w:type="dxa"/>
            <w:vAlign w:val="center"/>
          </w:tcPr>
          <w:p w14:paraId="76E01AF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3707.36</w:t>
            </w:r>
          </w:p>
        </w:tc>
        <w:tc>
          <w:tcPr>
            <w:tcW w:w="1124" w:type="dxa"/>
            <w:vAlign w:val="center"/>
          </w:tcPr>
          <w:p w14:paraId="036DE60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1131" w:type="dxa"/>
            <w:vAlign w:val="center"/>
          </w:tcPr>
          <w:p w14:paraId="0D406ED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2726" w:type="dxa"/>
            <w:vAlign w:val="center"/>
          </w:tcPr>
          <w:p w14:paraId="28D282B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输水线路全长82.39km</w:t>
            </w:r>
          </w:p>
        </w:tc>
      </w:tr>
      <w:tr w14:paraId="5E5F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3" w:type="dxa"/>
            <w:vAlign w:val="center"/>
          </w:tcPr>
          <w:p w14:paraId="1738B752">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陆良县引水入陆工程</w:t>
            </w:r>
          </w:p>
        </w:tc>
        <w:tc>
          <w:tcPr>
            <w:tcW w:w="1195" w:type="dxa"/>
            <w:vAlign w:val="center"/>
          </w:tcPr>
          <w:p w14:paraId="6D12B729">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陆良</w:t>
            </w:r>
          </w:p>
        </w:tc>
        <w:tc>
          <w:tcPr>
            <w:tcW w:w="1165" w:type="dxa"/>
            <w:vAlign w:val="center"/>
          </w:tcPr>
          <w:p w14:paraId="0042868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1993.96</w:t>
            </w:r>
          </w:p>
        </w:tc>
        <w:tc>
          <w:tcPr>
            <w:tcW w:w="1124" w:type="dxa"/>
            <w:vAlign w:val="center"/>
          </w:tcPr>
          <w:p w14:paraId="02BA04E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1131" w:type="dxa"/>
            <w:vAlign w:val="center"/>
          </w:tcPr>
          <w:p w14:paraId="1708F46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2726" w:type="dxa"/>
            <w:vAlign w:val="center"/>
          </w:tcPr>
          <w:p w14:paraId="4BD00E9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输水线路全长68.39km，不搬迁移民</w:t>
            </w:r>
          </w:p>
        </w:tc>
      </w:tr>
      <w:tr w14:paraId="5CF43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3" w:type="dxa"/>
            <w:vAlign w:val="center"/>
          </w:tcPr>
          <w:p w14:paraId="335E700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云南省南盘江（珠江源头）生态保护修复工程</w:t>
            </w:r>
          </w:p>
        </w:tc>
        <w:tc>
          <w:tcPr>
            <w:tcW w:w="1195" w:type="dxa"/>
            <w:vAlign w:val="center"/>
          </w:tcPr>
          <w:p w14:paraId="659E573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沾益、麒麟、陆良</w:t>
            </w:r>
          </w:p>
        </w:tc>
        <w:tc>
          <w:tcPr>
            <w:tcW w:w="1165" w:type="dxa"/>
            <w:vAlign w:val="center"/>
          </w:tcPr>
          <w:p w14:paraId="738D3E5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2985.05</w:t>
            </w:r>
          </w:p>
        </w:tc>
        <w:tc>
          <w:tcPr>
            <w:tcW w:w="1124" w:type="dxa"/>
            <w:vAlign w:val="center"/>
          </w:tcPr>
          <w:p w14:paraId="2B6404FB">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1131" w:type="dxa"/>
            <w:vAlign w:val="center"/>
          </w:tcPr>
          <w:p w14:paraId="4C1A59EC">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2726" w:type="dxa"/>
            <w:vAlign w:val="center"/>
          </w:tcPr>
          <w:p w14:paraId="3620095F">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含滴水湖水库防渗及地形地貌修复41.51hm²、南盘江干流岸坡生态修复6.39km</w:t>
            </w:r>
          </w:p>
        </w:tc>
      </w:tr>
      <w:tr w14:paraId="5878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583" w:type="dxa"/>
            <w:vAlign w:val="center"/>
          </w:tcPr>
          <w:p w14:paraId="7016D7F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响水坝水库扩建工程</w:t>
            </w:r>
          </w:p>
        </w:tc>
        <w:tc>
          <w:tcPr>
            <w:tcW w:w="1195" w:type="dxa"/>
            <w:vAlign w:val="center"/>
          </w:tcPr>
          <w:p w14:paraId="0EEE22D6">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麒麟</w:t>
            </w:r>
            <w:r>
              <w:rPr>
                <w:rFonts w:hint="default" w:ascii="Times New Roman" w:hAnsi="Times New Roman" w:eastAsia="宋体" w:cs="Times New Roman"/>
                <w:b w:val="0"/>
                <w:bCs w:val="0"/>
                <w:i w:val="0"/>
                <w:iCs w:val="0"/>
                <w:color w:val="auto"/>
                <w:sz w:val="21"/>
                <w:szCs w:val="21"/>
                <w:highlight w:val="none"/>
                <w:u w:val="none"/>
                <w:lang w:eastAsia="zh-CN"/>
              </w:rPr>
              <w:t>、</w:t>
            </w:r>
            <w:r>
              <w:rPr>
                <w:rFonts w:hint="default" w:ascii="Times New Roman" w:hAnsi="Times New Roman" w:eastAsia="宋体" w:cs="Times New Roman"/>
                <w:b w:val="0"/>
                <w:bCs w:val="0"/>
                <w:i w:val="0"/>
                <w:iCs w:val="0"/>
                <w:color w:val="auto"/>
                <w:sz w:val="21"/>
                <w:szCs w:val="21"/>
                <w:highlight w:val="none"/>
                <w:u w:val="none"/>
              </w:rPr>
              <w:t>陆良</w:t>
            </w:r>
          </w:p>
        </w:tc>
        <w:tc>
          <w:tcPr>
            <w:tcW w:w="1165" w:type="dxa"/>
            <w:vAlign w:val="center"/>
          </w:tcPr>
          <w:p w14:paraId="6B31A16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2385.38</w:t>
            </w:r>
          </w:p>
        </w:tc>
        <w:tc>
          <w:tcPr>
            <w:tcW w:w="1124" w:type="dxa"/>
            <w:vAlign w:val="center"/>
          </w:tcPr>
          <w:p w14:paraId="399D223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1131" w:type="dxa"/>
            <w:vAlign w:val="center"/>
          </w:tcPr>
          <w:p w14:paraId="78DA52A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2726" w:type="dxa"/>
            <w:vAlign w:val="center"/>
          </w:tcPr>
          <w:p w14:paraId="05BAB93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p>
        </w:tc>
      </w:tr>
      <w:tr w14:paraId="1EF0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778" w:type="dxa"/>
            <w:gridSpan w:val="2"/>
            <w:vAlign w:val="center"/>
          </w:tcPr>
          <w:p w14:paraId="44F47DA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合计</w:t>
            </w:r>
          </w:p>
        </w:tc>
        <w:tc>
          <w:tcPr>
            <w:tcW w:w="1165" w:type="dxa"/>
            <w:vAlign w:val="center"/>
          </w:tcPr>
          <w:p w14:paraId="3C7B063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43567.37</w:t>
            </w:r>
          </w:p>
        </w:tc>
        <w:tc>
          <w:tcPr>
            <w:tcW w:w="1124" w:type="dxa"/>
            <w:vAlign w:val="center"/>
          </w:tcPr>
          <w:p w14:paraId="0135FA8D">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1131" w:type="dxa"/>
            <w:vAlign w:val="center"/>
          </w:tcPr>
          <w:p w14:paraId="68003C3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lang w:val="en-US" w:eastAsia="zh-CN"/>
              </w:rPr>
              <w:t>/</w:t>
            </w:r>
          </w:p>
        </w:tc>
        <w:tc>
          <w:tcPr>
            <w:tcW w:w="2726" w:type="dxa"/>
            <w:vAlign w:val="center"/>
          </w:tcPr>
          <w:p w14:paraId="18A01CF1">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sz w:val="21"/>
                <w:szCs w:val="21"/>
                <w:highlight w:val="none"/>
                <w:u w:val="none"/>
              </w:rPr>
              <w:t>约占规划区总面积（14225.00km²）的0.2</w:t>
            </w:r>
            <w:r>
              <w:rPr>
                <w:rFonts w:hint="default" w:ascii="Times New Roman" w:hAnsi="Times New Roman" w:cs="Times New Roman"/>
                <w:b w:val="0"/>
                <w:bCs w:val="0"/>
                <w:i w:val="0"/>
                <w:iCs w:val="0"/>
                <w:color w:val="auto"/>
                <w:sz w:val="21"/>
                <w:szCs w:val="21"/>
                <w:highlight w:val="none"/>
                <w:u w:val="none"/>
                <w:lang w:val="en-US" w:eastAsia="zh-CN"/>
              </w:rPr>
              <w:t>2</w:t>
            </w:r>
            <w:r>
              <w:rPr>
                <w:rFonts w:hint="default" w:ascii="Times New Roman" w:hAnsi="Times New Roman" w:eastAsia="宋体" w:cs="Times New Roman"/>
                <w:b w:val="0"/>
                <w:bCs w:val="0"/>
                <w:i w:val="0"/>
                <w:iCs w:val="0"/>
                <w:color w:val="auto"/>
                <w:sz w:val="21"/>
                <w:szCs w:val="21"/>
                <w:highlight w:val="none"/>
                <w:u w:val="none"/>
              </w:rPr>
              <w:t>%</w:t>
            </w:r>
          </w:p>
        </w:tc>
      </w:tr>
    </w:tbl>
    <w:p w14:paraId="6D5D9D3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宋体" w:cs="Times New Roman"/>
          <w:b w:val="0"/>
          <w:bCs w:val="0"/>
          <w:i w:val="0"/>
          <w:iCs w:val="0"/>
          <w:color w:val="auto"/>
          <w:sz w:val="21"/>
          <w:szCs w:val="21"/>
          <w:highlight w:val="none"/>
          <w:u w:val="none"/>
          <w:lang w:eastAsia="zh-CN"/>
        </w:rPr>
      </w:pPr>
    </w:p>
    <w:p w14:paraId="710FECD4">
      <w:pPr>
        <w:pStyle w:val="4"/>
        <w:bidi w:val="0"/>
        <w:rPr>
          <w:rFonts w:hint="default" w:ascii="Times New Roman" w:hAnsi="Times New Roman" w:eastAsia="宋体" w:cs="Times New Roman"/>
          <w:color w:val="auto"/>
          <w:highlight w:val="none"/>
          <w:lang w:eastAsia="zh-CN"/>
        </w:rPr>
      </w:pPr>
    </w:p>
    <w:p w14:paraId="393836EB">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罗师灌区建设征地总面积15546.52亩（其中调蓄工程3717.23亩、灌区配套工程11829.29亩）；富源灌区建设征地总面积19334.48亩（其中水源工程9193.94亩、渠系配套工程10140.54亩，永久征地7879.58亩、临时占地11454.89亩）；沾马灌区</w:t>
      </w:r>
      <w:r>
        <w:rPr>
          <w:rFonts w:hint="default" w:ascii="Times New Roman" w:hAnsi="Times New Roman" w:cs="Times New Roman"/>
          <w:color w:val="auto"/>
          <w:highlight w:val="none"/>
          <w:lang w:val="en-US" w:eastAsia="zh-CN"/>
        </w:rPr>
        <w:t>建设征占地总面积1600亩；</w:t>
      </w:r>
      <w:r>
        <w:rPr>
          <w:rFonts w:hint="default" w:ascii="Times New Roman" w:hAnsi="Times New Roman" w:eastAsia="宋体" w:cs="Times New Roman"/>
          <w:color w:val="auto"/>
          <w:highlight w:val="none"/>
          <w:lang w:eastAsia="zh-CN"/>
        </w:rPr>
        <w:t>牛栏江德泽水库引水济曲工程征地3707.36亩；陆良县引水入陆工程征地1993.96亩；云南省南盘江（珠江源头）生态保护修复工程征地2985.05亩</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响水坝水库扩建</w:t>
      </w:r>
      <w:r>
        <w:rPr>
          <w:rFonts w:hint="default" w:ascii="Times New Roman" w:hAnsi="Times New Roman" w:eastAsia="宋体" w:cs="Times New Roman"/>
          <w:color w:val="auto"/>
          <w:highlight w:val="none"/>
          <w:lang w:eastAsia="zh-CN"/>
        </w:rPr>
        <w:t>工程征地</w:t>
      </w:r>
      <w:r>
        <w:rPr>
          <w:rFonts w:hint="default" w:ascii="Times New Roman" w:hAnsi="Times New Roman" w:cs="Times New Roman"/>
          <w:color w:val="auto"/>
          <w:highlight w:val="none"/>
          <w:lang w:val="en-US" w:eastAsia="zh-CN"/>
        </w:rPr>
        <w:t>2385.38亩</w:t>
      </w:r>
      <w:r>
        <w:rPr>
          <w:rFonts w:hint="default" w:ascii="Times New Roman" w:hAnsi="Times New Roman" w:eastAsia="宋体" w:cs="Times New Roman"/>
          <w:color w:val="auto"/>
          <w:highlight w:val="none"/>
          <w:lang w:eastAsia="zh-CN"/>
        </w:rPr>
        <w:t>。仅上述重点工程征占地合计约</w:t>
      </w:r>
      <w:r>
        <w:rPr>
          <w:rFonts w:hint="default" w:ascii="Times New Roman" w:hAnsi="Times New Roman" w:cs="Times New Roman"/>
          <w:color w:val="auto"/>
          <w:highlight w:val="none"/>
          <w:lang w:val="en-US" w:eastAsia="zh-CN"/>
        </w:rPr>
        <w:t>47552.75</w:t>
      </w:r>
      <w:r>
        <w:rPr>
          <w:rFonts w:hint="default" w:ascii="Times New Roman" w:hAnsi="Times New Roman" w:eastAsia="宋体" w:cs="Times New Roman"/>
          <w:color w:val="auto"/>
          <w:highlight w:val="none"/>
          <w:lang w:eastAsia="zh-CN"/>
        </w:rPr>
        <w:t>亩（约</w:t>
      </w:r>
      <w:r>
        <w:rPr>
          <w:rFonts w:hint="default" w:ascii="Times New Roman" w:hAnsi="Times New Roman" w:cs="Times New Roman"/>
          <w:color w:val="auto"/>
          <w:highlight w:val="none"/>
          <w:lang w:val="en-US" w:eastAsia="zh-CN"/>
        </w:rPr>
        <w:t>31.70</w:t>
      </w:r>
      <w:r>
        <w:rPr>
          <w:rFonts w:hint="default" w:ascii="Times New Roman" w:hAnsi="Times New Roman" w:eastAsia="宋体" w:cs="Times New Roman"/>
          <w:color w:val="auto"/>
          <w:highlight w:val="none"/>
          <w:lang w:eastAsia="zh-CN"/>
        </w:rPr>
        <w:t>km²），约占规划区总面积14225.00km²的0.2</w:t>
      </w:r>
      <w:r>
        <w:rPr>
          <w:rFonts w:hint="default" w:ascii="Times New Roman" w:hAnsi="Times New Roman" w:cs="Times New Roman"/>
          <w:color w:val="auto"/>
          <w:highlight w:val="none"/>
          <w:lang w:val="en-US" w:eastAsia="zh-CN"/>
        </w:rPr>
        <w:t>2</w:t>
      </w:r>
      <w:r>
        <w:rPr>
          <w:rFonts w:hint="default" w:ascii="Times New Roman" w:hAnsi="Times New Roman" w:eastAsia="宋体" w:cs="Times New Roman"/>
          <w:color w:val="auto"/>
          <w:highlight w:val="none"/>
          <w:lang w:eastAsia="zh-CN"/>
        </w:rPr>
        <w:t>%。规划工程占地类型以林地、耕地为主，实施后规划区乔木林地、</w:t>
      </w:r>
      <w:r>
        <w:rPr>
          <w:rFonts w:hint="default" w:ascii="Times New Roman" w:hAnsi="Times New Roman" w:cs="Times New Roman"/>
          <w:color w:val="auto"/>
          <w:highlight w:val="none"/>
          <w:lang w:val="en-US" w:eastAsia="zh-CN"/>
        </w:rPr>
        <w:t>灌木林地、</w:t>
      </w:r>
      <w:r>
        <w:rPr>
          <w:rFonts w:hint="default" w:ascii="Times New Roman" w:hAnsi="Times New Roman" w:eastAsia="宋体" w:cs="Times New Roman"/>
          <w:color w:val="auto"/>
          <w:highlight w:val="none"/>
          <w:lang w:eastAsia="zh-CN"/>
        </w:rPr>
        <w:t>耕地面积将有小幅减少，水域及水利设施用地面积有所增加，但变化幅度很小，不会改变规划区以乔木林地（占42.05%）、耕地（占34.37%）为主体的土地利用格局。</w:t>
      </w:r>
    </w:p>
    <w:p w14:paraId="57D334EB">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土地生态承载力简要校核：工程永久占地占比很小，从流域宏观尺度，土地生态承载力不会被突破；局部库周、工程走廊片区土地利用类型发生不可逆转变，局部承载力发生改变。</w:t>
      </w:r>
    </w:p>
    <w:p w14:paraId="2CBA38D2">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灌区工程改善区域水分条件，提升农田生态系统生产力；834 km² 水土保持治理，降低石漠化风险，提升喀斯特山地景观的恢复稳定性和抗干扰能力。</w:t>
      </w:r>
    </w:p>
    <w:p w14:paraId="3529A886">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对土地利用结构的影响</w:t>
      </w:r>
    </w:p>
    <w:p w14:paraId="0DFCC795">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val="en-US" w:eastAsia="zh-CN"/>
        </w:rPr>
        <w:t>规划实施将提高区域供水保障率，支撑城乡发展和高原特色农业产业布局。规划灌区工程实施后，流域耕园地灌溉面积由现状178.01万亩增加至276.80万亩，新增灌溉面积约98.79万亩，有效灌溉面积增加有利于稳定耕地利用、保障粮食安全，对土地利用结构具有稳定和改善作用。规划工程永久占用一定面积的林地、耕地，其中</w:t>
      </w:r>
      <w:r>
        <w:rPr>
          <w:rFonts w:hint="default" w:ascii="Times New Roman" w:hAnsi="Times New Roman" w:cs="Times New Roman"/>
          <w:color w:val="auto"/>
          <w:highlight w:val="none"/>
          <w:lang w:val="en-US" w:eastAsia="zh-CN"/>
        </w:rPr>
        <w:t>罗师灌区、</w:t>
      </w:r>
      <w:r>
        <w:rPr>
          <w:rFonts w:hint="default" w:ascii="Times New Roman" w:hAnsi="Times New Roman" w:eastAsia="宋体" w:cs="Times New Roman"/>
          <w:color w:val="auto"/>
          <w:highlight w:val="none"/>
          <w:lang w:val="en-US" w:eastAsia="zh-CN"/>
        </w:rPr>
        <w:t>富源灌区</w:t>
      </w:r>
      <w:r>
        <w:rPr>
          <w:rFonts w:hint="default" w:ascii="Times New Roman" w:hAnsi="Times New Roman" w:cs="Times New Roman"/>
          <w:color w:val="auto"/>
          <w:highlight w:val="none"/>
          <w:lang w:val="en-US" w:eastAsia="zh-CN"/>
        </w:rPr>
        <w:t>、沾马灌区不可避免占用森林植被</w:t>
      </w:r>
      <w:r>
        <w:rPr>
          <w:rFonts w:hint="default" w:ascii="Times New Roman" w:hAnsi="Times New Roman" w:eastAsia="宋体" w:cs="Times New Roman"/>
          <w:color w:val="auto"/>
          <w:highlight w:val="none"/>
          <w:lang w:val="en-US" w:eastAsia="zh-CN"/>
        </w:rPr>
        <w:t>，将造成局部森林资源小幅减少，但规划工程影响的林地以人工林和次生林为主，对保存较为完整的常绿阔叶林等自然植被</w:t>
      </w:r>
      <w:r>
        <w:rPr>
          <w:rFonts w:hint="default" w:ascii="Times New Roman" w:hAnsi="Times New Roman" w:cs="Times New Roman"/>
          <w:color w:val="auto"/>
          <w:highlight w:val="none"/>
          <w:lang w:val="en-US" w:eastAsia="zh-CN"/>
        </w:rPr>
        <w:t>（大多数已纳入自然保护区管理）</w:t>
      </w:r>
      <w:r>
        <w:rPr>
          <w:rFonts w:hint="default" w:ascii="Times New Roman" w:hAnsi="Times New Roman" w:eastAsia="宋体" w:cs="Times New Roman"/>
          <w:color w:val="auto"/>
          <w:highlight w:val="none"/>
          <w:lang w:val="en-US" w:eastAsia="zh-CN"/>
        </w:rPr>
        <w:t>影响较小。临时占地在施工结束后结合当地条件复耕</w:t>
      </w:r>
      <w:r>
        <w:rPr>
          <w:rFonts w:hint="default" w:ascii="Times New Roman" w:hAnsi="Times New Roman" w:eastAsia="宋体" w:cs="Times New Roman"/>
          <w:color w:val="auto"/>
          <w:highlight w:val="none"/>
          <w:lang w:eastAsia="zh-CN"/>
        </w:rPr>
        <w:t>或复植，不会明显改变规划区土地利用分布格局。</w:t>
      </w:r>
    </w:p>
    <w:p w14:paraId="3D3D4B8D">
      <w:pPr>
        <w:pStyle w:val="6"/>
        <w:numPr>
          <w:ilvl w:val="3"/>
          <w:numId w:val="4"/>
        </w:numPr>
        <w:spacing w:before="374" w:after="249"/>
        <w:jc w:val="left"/>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对永久基本农田的影响</w:t>
      </w:r>
    </w:p>
    <w:p w14:paraId="1E78B1A6">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规划工程实施不可避免会占用部分永久基本农田。以已开展可研前期工作的重点工程为例，</w:t>
      </w:r>
      <w:r>
        <w:rPr>
          <w:rFonts w:hint="default" w:ascii="Times New Roman" w:hAnsi="Times New Roman" w:cs="Times New Roman"/>
          <w:color w:val="auto"/>
          <w:highlight w:val="none"/>
          <w:lang w:val="en-US" w:eastAsia="zh-CN"/>
        </w:rPr>
        <w:t>罗师灌区</w:t>
      </w:r>
      <w:r>
        <w:rPr>
          <w:rFonts w:hint="default" w:ascii="Times New Roman" w:hAnsi="Times New Roman" w:eastAsia="宋体" w:cs="Times New Roman"/>
          <w:color w:val="auto"/>
          <w:highlight w:val="none"/>
          <w:lang w:eastAsia="zh-CN"/>
        </w:rPr>
        <w:t>工程建设影响永久基本农田289.5924hm</w:t>
      </w:r>
      <w:r>
        <w:rPr>
          <w:rFonts w:hint="default" w:ascii="Times New Roman" w:hAnsi="Times New Roman" w:cs="Times New Roman"/>
          <w:color w:val="auto"/>
          <w:highlight w:val="none"/>
          <w:lang w:val="en-US" w:eastAsia="zh-CN"/>
        </w:rPr>
        <w:t>²</w:t>
      </w:r>
      <w:r>
        <w:rPr>
          <w:rFonts w:hint="default" w:ascii="Times New Roman" w:hAnsi="Times New Roman" w:eastAsia="宋体" w:cs="Times New Roman"/>
          <w:color w:val="auto"/>
          <w:highlight w:val="none"/>
          <w:lang w:eastAsia="zh-CN"/>
        </w:rPr>
        <w:t>。根据《基本农田保护条例》有关规定，国家能源、交通、水利等重点建设项目选址确实无法避开基本农田保护区的，经依法批准占用基本农田的，当地人民政府应当补充划入数量和质量相当的基本农田，占用单位应当按照“占多少、垦多少”的原则负责开垦与所占基本农田数量和质量相当的耕地。在依法办理基本农田占用审批手续、落实“占补平衡”和征地补偿安置措施的前提下，规划实施对永久基本农田的影响总体可控，不会影响规划区农业生产和耕地的可持续利用。</w:t>
      </w:r>
    </w:p>
    <w:p w14:paraId="3E0F8E72">
      <w:pPr>
        <w:pStyle w:val="6"/>
        <w:numPr>
          <w:ilvl w:val="3"/>
          <w:numId w:val="4"/>
        </w:numPr>
        <w:spacing w:before="374" w:after="249"/>
        <w:jc w:val="left"/>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对土地利用的有利影响</w:t>
      </w:r>
    </w:p>
    <w:p w14:paraId="46A6CE1F">
      <w:pPr>
        <w:pStyle w:val="4"/>
        <w:bidi w:val="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规划实施后，水源涵养与水土保持工程通过植树种草、封禁治理、坡耕地综合整治等措施新增水土流失治理面积834km²，将增加林草覆盖面积、改善土地利用结构和质量；规划河湖生态保护修复工程的实施将改善岸线及滨岸带土地利用状况，对区域土地利用具有明显的正效应。</w:t>
      </w:r>
    </w:p>
    <w:p w14:paraId="5EF8C719">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w:t>
      </w:r>
      <w:r>
        <w:rPr>
          <w:rFonts w:hint="default" w:ascii="Times New Roman" w:hAnsi="Times New Roman" w:cs="Times New Roman"/>
          <w:color w:val="auto"/>
          <w:highlight w:val="none"/>
          <w:lang w:val="en-US" w:eastAsia="zh-CN"/>
        </w:rPr>
        <w:t>陆生植被</w:t>
      </w:r>
      <w:r>
        <w:rPr>
          <w:rFonts w:hint="default" w:ascii="Times New Roman" w:hAnsi="Times New Roman" w:eastAsia="宋体" w:cs="Times New Roman"/>
          <w:color w:val="auto"/>
          <w:highlight w:val="none"/>
        </w:rPr>
        <w:t>的影响</w:t>
      </w:r>
    </w:p>
    <w:p w14:paraId="16D7DC61">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对陆生植被的影响分为直接影响和间接影响。直接影响主要是工程征占地和水库淹没对植被的直接破坏和损失；间接影响主要是规划实施后下垫面条件、地形地貌的改变引起局部小气候、小环境变化进而导致的植被变化，以及规划实施带来人为干扰增强引起的植被变化。</w:t>
      </w:r>
    </w:p>
    <w:p w14:paraId="29BBE48F">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（1）直接影响</w:t>
      </w:r>
    </w:p>
    <w:p w14:paraId="25063CFD">
      <w:pPr>
        <w:pStyle w:val="4"/>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规划工程实施将不可避免产生工程占地和淹没影响，破坏和损失部分自然植被和人工植被。其中：水库淹没将造成淹没区植被的永久损失，规划新建、扩建水库主要位于河谷及沟箐地带，淹没区植被以暖性针叶林（云南松林等）、半湿润常绿阔叶林、灌丛及河谷耕地为主；枢纽工程、灌区渠系、引调水管道、堤防护岸及施工场地、弃渣场、施工便道等永久及临时占地将破坏占地区植被，临时占地区植被在施工结束后可逐步恢复。受规划深度限制，多数规划工程无占地范围，本次评价以重点工程为典型进行定量分析</w:t>
      </w:r>
      <w:r>
        <w:rPr>
          <w:rFonts w:hint="default" w:ascii="Times New Roman" w:hAnsi="Times New Roman" w:cs="Times New Roman"/>
          <w:color w:val="auto"/>
          <w:highlight w:val="none"/>
          <w:lang w:eastAsia="zh-CN"/>
        </w:rPr>
        <w:t>。</w:t>
      </w:r>
    </w:p>
    <w:p w14:paraId="4E617DF4">
      <w:pPr>
        <w:pStyle w:val="4"/>
        <w:rPr>
          <w:rFonts w:hint="default" w:ascii="Times New Roman" w:hAnsi="Times New Roman" w:cs="Times New Roman"/>
          <w:color w:val="auto"/>
          <w:highlight w:val="none"/>
        </w:rPr>
      </w:pPr>
      <w:r>
        <w:rPr>
          <w:rFonts w:hint="default" w:ascii="Times New Roman" w:hAnsi="Times New Roman" w:cs="Times New Roman"/>
          <w:b/>
          <w:bCs/>
          <w:color w:val="auto"/>
          <w:highlight w:val="none"/>
          <w:lang w:val="en-US" w:eastAsia="zh-CN"/>
        </w:rPr>
        <w:t>罗师灌区工程：</w:t>
      </w:r>
      <w:r>
        <w:rPr>
          <w:rFonts w:hint="default" w:ascii="Times New Roman" w:hAnsi="Times New Roman" w:cs="Times New Roman"/>
          <w:color w:val="auto"/>
          <w:highlight w:val="none"/>
        </w:rPr>
        <w:t>工程占地总面积1036.43hm</w:t>
      </w:r>
      <w:r>
        <w:rPr>
          <w:rFonts w:hint="default" w:ascii="Times New Roman" w:hAnsi="Times New Roman" w:cs="Times New Roman"/>
          <w:color w:val="auto"/>
          <w:highlight w:val="none"/>
          <w:lang w:val="en-US" w:eastAsia="zh-CN"/>
        </w:rPr>
        <w:t>²</w:t>
      </w:r>
      <w:r>
        <w:rPr>
          <w:rFonts w:hint="default" w:ascii="Times New Roman" w:hAnsi="Times New Roman" w:cs="Times New Roman"/>
          <w:color w:val="auto"/>
          <w:highlight w:val="none"/>
        </w:rPr>
        <w:t>，占</w:t>
      </w:r>
      <w:r>
        <w:rPr>
          <w:rFonts w:hint="default" w:ascii="Times New Roman" w:hAnsi="Times New Roman" w:cs="Times New Roman"/>
          <w:color w:val="auto"/>
          <w:highlight w:val="none"/>
          <w:lang w:val="en-US" w:eastAsia="zh-CN"/>
        </w:rPr>
        <w:t>工程</w:t>
      </w:r>
      <w:r>
        <w:rPr>
          <w:rFonts w:hint="default" w:ascii="Times New Roman" w:hAnsi="Times New Roman" w:cs="Times New Roman"/>
          <w:color w:val="auto"/>
          <w:highlight w:val="none"/>
        </w:rPr>
        <w:t>评价区总面积的0.94%，占地以人工植被为主，面积674.94hm</w:t>
      </w:r>
      <w:r>
        <w:rPr>
          <w:rFonts w:hint="default" w:ascii="Times New Roman" w:hAnsi="Times New Roman" w:cs="Times New Roman"/>
          <w:color w:val="auto"/>
          <w:highlight w:val="none"/>
          <w:lang w:val="en-US" w:eastAsia="zh-CN"/>
        </w:rPr>
        <w:t>²</w:t>
      </w:r>
      <w:r>
        <w:rPr>
          <w:rFonts w:hint="default" w:ascii="Times New Roman" w:hAnsi="Times New Roman" w:cs="Times New Roman"/>
          <w:color w:val="auto"/>
          <w:highlight w:val="none"/>
        </w:rPr>
        <w:t>，占总征地面积的65.12%，占用自然植被310.62hm</w:t>
      </w:r>
      <w:r>
        <w:rPr>
          <w:rFonts w:hint="default" w:ascii="Times New Roman" w:hAnsi="Times New Roman" w:cs="Times New Roman"/>
          <w:color w:val="auto"/>
          <w:highlight w:val="none"/>
          <w:lang w:val="en-US" w:eastAsia="zh-CN"/>
        </w:rPr>
        <w:t>²</w:t>
      </w:r>
      <w:r>
        <w:rPr>
          <w:rFonts w:hint="default" w:ascii="Times New Roman" w:hAnsi="Times New Roman" w:cs="Times New Roman"/>
          <w:color w:val="auto"/>
          <w:highlight w:val="none"/>
        </w:rPr>
        <w:t>，占总征地面积的29.97%，占用最大的植被为人工植被中的旱地植被，其次为自然植被的暖温性针叶林，然后为水田、桤木林、人工林、园地、半湿润常绿阔叶林、落叶栎林、暖性石灰岩灌丛、暖温性稀树灌木草丛，如下表。工程占用的植被占</w:t>
      </w:r>
      <w:r>
        <w:rPr>
          <w:rFonts w:hint="default" w:ascii="Times New Roman" w:hAnsi="Times New Roman" w:cs="Times New Roman"/>
          <w:color w:val="auto"/>
          <w:highlight w:val="none"/>
          <w:lang w:val="en-US" w:eastAsia="zh-CN"/>
        </w:rPr>
        <w:t>工程</w:t>
      </w:r>
      <w:r>
        <w:rPr>
          <w:rFonts w:hint="default" w:ascii="Times New Roman" w:hAnsi="Times New Roman" w:cs="Times New Roman"/>
          <w:color w:val="auto"/>
          <w:highlight w:val="none"/>
        </w:rPr>
        <w:t>评价区同类型植被面积比均不超过5%，工程建设不会造成评价区植被类型的消失，受影响的自然植被是本区乃至云南大部分地区分布较广的植被，属于次生植被类型，其中的生物多样性明显降低，缺乏国家和云南省保护植物，无狭域特有植物。而且，受影响的自然植被中，约54.19%的面积属于临时占地，属短期、可逆影响；工程竣工后，这部分临时影响的自然植被，通过植被恢复、自然恢复等途径，可以逐渐恢复。总体而言，评价区的自然植被的面积有所减少，对评价区的生态造成一定的负面影响，但总体在可接受范围内。</w:t>
      </w:r>
    </w:p>
    <w:p w14:paraId="79447A3D">
      <w:pPr>
        <w:pStyle w:val="4"/>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此外，</w:t>
      </w:r>
      <w:r>
        <w:rPr>
          <w:rFonts w:hint="default" w:ascii="Times New Roman" w:hAnsi="Times New Roman" w:cs="Times New Roman"/>
          <w:color w:val="auto"/>
          <w:highlight w:val="none"/>
        </w:rPr>
        <w:t>富源灌区工程（大河水库、龙潭水库）位于黄泥河干流及支流河谷，淹没区植被主要为云南松林、滇油杉林、灌丛及耕地；</w:t>
      </w:r>
      <w:r>
        <w:rPr>
          <w:rFonts w:hint="default" w:ascii="Times New Roman" w:hAnsi="Times New Roman" w:cs="Times New Roman"/>
          <w:color w:val="auto"/>
          <w:highlight w:val="none"/>
          <w:lang w:val="en-US" w:eastAsia="zh-CN"/>
        </w:rPr>
        <w:t>沾马灌区工程</w:t>
      </w:r>
      <w:r>
        <w:rPr>
          <w:rFonts w:hint="default" w:ascii="Times New Roman" w:hAnsi="Times New Roman" w:cs="Times New Roman"/>
          <w:color w:val="auto"/>
          <w:highlight w:val="none"/>
        </w:rPr>
        <w:t>穿越沾益、</w:t>
      </w:r>
      <w:r>
        <w:rPr>
          <w:rFonts w:hint="default" w:ascii="Times New Roman" w:hAnsi="Times New Roman" w:cs="Times New Roman"/>
          <w:color w:val="auto"/>
          <w:highlight w:val="none"/>
          <w:lang w:val="en-US" w:eastAsia="zh-CN"/>
        </w:rPr>
        <w:t>马龙</w:t>
      </w:r>
      <w:r>
        <w:rPr>
          <w:rFonts w:hint="default" w:ascii="Times New Roman" w:hAnsi="Times New Roman" w:cs="Times New Roman"/>
          <w:color w:val="auto"/>
          <w:highlight w:val="none"/>
        </w:rPr>
        <w:t>低山丘陵区，沿线占地以云南松林、</w:t>
      </w:r>
      <w:r>
        <w:rPr>
          <w:rFonts w:hint="default" w:ascii="Times New Roman" w:hAnsi="Times New Roman" w:cs="Times New Roman"/>
          <w:color w:val="auto"/>
          <w:highlight w:val="none"/>
          <w:lang w:val="en-US" w:eastAsia="zh-CN"/>
        </w:rPr>
        <w:t>半湿润常绿落叶林、暖温性灌丛、</w:t>
      </w:r>
      <w:r>
        <w:rPr>
          <w:rFonts w:hint="default" w:ascii="Times New Roman" w:hAnsi="Times New Roman" w:cs="Times New Roman"/>
          <w:color w:val="auto"/>
          <w:highlight w:val="none"/>
        </w:rPr>
        <w:t>耕地为主；德泽水库引水济曲工程输水线路穿越沾益、麒麟低山丘陵区，沿线占地以</w:t>
      </w:r>
      <w:r>
        <w:rPr>
          <w:rFonts w:hint="default" w:ascii="Times New Roman" w:hAnsi="Times New Roman" w:cs="Times New Roman"/>
          <w:color w:val="auto"/>
          <w:highlight w:val="none"/>
          <w:lang w:val="en-US" w:eastAsia="zh-CN"/>
        </w:rPr>
        <w:t>半湿润常绿落叶林、</w:t>
      </w:r>
      <w:r>
        <w:rPr>
          <w:rFonts w:hint="default" w:ascii="Times New Roman" w:hAnsi="Times New Roman" w:cs="Times New Roman"/>
          <w:color w:val="auto"/>
          <w:highlight w:val="none"/>
        </w:rPr>
        <w:t>云南松林、耕地为主；陆良县引水入陆工程及南盘江生态保护修复工程以埋管和岸坡生态修复为主，占地以</w:t>
      </w:r>
      <w:r>
        <w:rPr>
          <w:rFonts w:hint="default" w:ascii="Times New Roman" w:hAnsi="Times New Roman" w:cs="Times New Roman"/>
          <w:color w:val="auto"/>
          <w:highlight w:val="none"/>
          <w:lang w:val="en-US" w:eastAsia="zh-CN"/>
        </w:rPr>
        <w:t>云南松林、</w:t>
      </w:r>
      <w:r>
        <w:rPr>
          <w:rFonts w:hint="default" w:ascii="Times New Roman" w:hAnsi="Times New Roman" w:cs="Times New Roman"/>
          <w:color w:val="auto"/>
          <w:highlight w:val="none"/>
        </w:rPr>
        <w:t>耕地、园地及</w:t>
      </w:r>
      <w:r>
        <w:rPr>
          <w:rFonts w:hint="default" w:ascii="Times New Roman" w:hAnsi="Times New Roman" w:cs="Times New Roman"/>
          <w:color w:val="auto"/>
          <w:highlight w:val="none"/>
          <w:lang w:val="en-US" w:eastAsia="zh-CN"/>
        </w:rPr>
        <w:t>人工</w:t>
      </w:r>
      <w:r>
        <w:rPr>
          <w:rFonts w:hint="default" w:ascii="Times New Roman" w:hAnsi="Times New Roman" w:cs="Times New Roman"/>
          <w:color w:val="auto"/>
          <w:highlight w:val="none"/>
        </w:rPr>
        <w:t>林地为主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云南省南盘江（珠江源头）生态保护修复工程</w:t>
      </w:r>
      <w:r>
        <w:rPr>
          <w:rFonts w:hint="default" w:ascii="Times New Roman" w:hAnsi="Times New Roman" w:cs="Times New Roman"/>
          <w:color w:val="auto"/>
          <w:highlight w:val="none"/>
          <w:lang w:val="en-US" w:eastAsia="zh-CN"/>
        </w:rPr>
        <w:t>位于沾益区珠江源头区高山地带，沿线占地以半湿润常绿阔叶林、寒温山地硬叶常绿阔叶林、云南松林、暖性落叶阔叶林为主；响水坝水库工程以云南松林和暖温性灌丛为主。</w:t>
      </w:r>
    </w:p>
    <w:p w14:paraId="574BED77">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按规划区土地利用现状结构对重点工程征占地（约</w:t>
      </w:r>
      <w:r>
        <w:rPr>
          <w:rFonts w:hint="default" w:ascii="Times New Roman" w:hAnsi="Times New Roman" w:cs="Times New Roman"/>
          <w:color w:val="auto"/>
          <w:highlight w:val="none"/>
          <w:lang w:val="en-US" w:eastAsia="zh-CN"/>
        </w:rPr>
        <w:t>31.70</w:t>
      </w:r>
      <w:r>
        <w:rPr>
          <w:rFonts w:hint="default" w:ascii="Times New Roman" w:hAnsi="Times New Roman" w:cs="Times New Roman"/>
          <w:color w:val="auto"/>
          <w:highlight w:val="none"/>
        </w:rPr>
        <w:t>km²）进行类比估算，占用乔木林地约</w:t>
      </w:r>
      <w:r>
        <w:rPr>
          <w:rFonts w:hint="default" w:ascii="Times New Roman" w:hAnsi="Times New Roman" w:cs="Times New Roman"/>
          <w:color w:val="auto"/>
          <w:highlight w:val="none"/>
          <w:lang w:val="en-US" w:eastAsia="zh-CN"/>
        </w:rPr>
        <w:t>11.64</w:t>
      </w:r>
      <w:r>
        <w:rPr>
          <w:rFonts w:hint="default" w:ascii="Times New Roman" w:hAnsi="Times New Roman" w:cs="Times New Roman"/>
          <w:color w:val="auto"/>
          <w:highlight w:val="none"/>
        </w:rPr>
        <w:t>km²、灌木林地约</w:t>
      </w:r>
      <w:r>
        <w:rPr>
          <w:rFonts w:hint="default" w:ascii="Times New Roman" w:hAnsi="Times New Roman" w:cs="Times New Roman"/>
          <w:color w:val="auto"/>
          <w:highlight w:val="none"/>
          <w:lang w:val="en-US" w:eastAsia="zh-CN"/>
        </w:rPr>
        <w:t>1.77</w:t>
      </w:r>
      <w:r>
        <w:rPr>
          <w:rFonts w:hint="default" w:ascii="Times New Roman" w:hAnsi="Times New Roman" w:cs="Times New Roman"/>
          <w:color w:val="auto"/>
          <w:highlight w:val="none"/>
        </w:rPr>
        <w:t>km²、耕地约</w:t>
      </w:r>
      <w:r>
        <w:rPr>
          <w:rFonts w:hint="default" w:ascii="Times New Roman" w:hAnsi="Times New Roman" w:cs="Times New Roman"/>
          <w:color w:val="auto"/>
          <w:highlight w:val="none"/>
          <w:lang w:val="en-US" w:eastAsia="zh-CN"/>
        </w:rPr>
        <w:t>15.53</w:t>
      </w:r>
      <w:r>
        <w:rPr>
          <w:rFonts w:hint="default" w:ascii="Times New Roman" w:hAnsi="Times New Roman" w:cs="Times New Roman"/>
          <w:color w:val="auto"/>
          <w:highlight w:val="none"/>
        </w:rPr>
        <w:t>km²、园地约</w:t>
      </w:r>
      <w:r>
        <w:rPr>
          <w:rFonts w:hint="default" w:ascii="Times New Roman" w:hAnsi="Times New Roman" w:cs="Times New Roman"/>
          <w:color w:val="auto"/>
          <w:highlight w:val="none"/>
          <w:lang w:val="en-US" w:eastAsia="zh-CN"/>
        </w:rPr>
        <w:t>0.83</w:t>
      </w:r>
      <w:r>
        <w:rPr>
          <w:rFonts w:hint="default" w:ascii="Times New Roman" w:hAnsi="Times New Roman" w:cs="Times New Roman"/>
          <w:color w:val="auto"/>
          <w:highlight w:val="none"/>
        </w:rPr>
        <w:t>km²、草地约</w:t>
      </w:r>
      <w:r>
        <w:rPr>
          <w:rFonts w:hint="default" w:ascii="Times New Roman" w:hAnsi="Times New Roman" w:cs="Times New Roman"/>
          <w:color w:val="auto"/>
          <w:highlight w:val="none"/>
          <w:lang w:val="en-US" w:eastAsia="zh-CN"/>
        </w:rPr>
        <w:t>0.04</w:t>
      </w:r>
      <w:r>
        <w:rPr>
          <w:rFonts w:hint="default" w:ascii="Times New Roman" w:hAnsi="Times New Roman" w:cs="Times New Roman"/>
          <w:color w:val="auto"/>
          <w:highlight w:val="none"/>
        </w:rPr>
        <w:t>km²，占用森林生态系统面积约占评价区森林生态系统面积的</w:t>
      </w:r>
      <w:r>
        <w:rPr>
          <w:rFonts w:hint="default" w:ascii="Times New Roman" w:hAnsi="Times New Roman" w:cs="Times New Roman"/>
          <w:color w:val="auto"/>
          <w:highlight w:val="none"/>
          <w:lang w:val="en-US" w:eastAsia="zh-CN"/>
        </w:rPr>
        <w:t>0.2</w:t>
      </w:r>
      <w:r>
        <w:rPr>
          <w:rFonts w:hint="default" w:ascii="Times New Roman" w:hAnsi="Times New Roman" w:cs="Times New Roman"/>
          <w:color w:val="auto"/>
          <w:highlight w:val="none"/>
        </w:rPr>
        <w:t>%。评价区</w:t>
      </w:r>
      <w:r>
        <w:rPr>
          <w:rFonts w:hint="default" w:ascii="Times New Roman" w:hAnsi="Times New Roman" w:cs="Times New Roman"/>
          <w:color w:val="auto"/>
          <w:highlight w:val="none"/>
          <w:lang w:val="en-US" w:eastAsia="zh-CN"/>
        </w:rPr>
        <w:t>暖温性针叶林</w:t>
      </w:r>
      <w:r>
        <w:rPr>
          <w:rFonts w:hint="default" w:ascii="Times New Roman" w:hAnsi="Times New Roman" w:cs="Times New Roman"/>
          <w:color w:val="auto"/>
          <w:highlight w:val="none"/>
        </w:rPr>
        <w:t>、半湿润常绿阔叶林、灌丛</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稀树灌木草丛</w:t>
      </w:r>
      <w:r>
        <w:rPr>
          <w:rFonts w:hint="default" w:ascii="Times New Roman" w:hAnsi="Times New Roman" w:cs="Times New Roman"/>
          <w:color w:val="auto"/>
          <w:highlight w:val="none"/>
        </w:rPr>
        <w:t>等受损植被类型在评价区及周边区域仍有相当面积分布，规划实施不会导致某种植被类型在评价区消失，不会改变评价区植被构成格局。</w:t>
      </w:r>
    </w:p>
    <w:p w14:paraId="1E4CA4A8">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（2）间接影响</w:t>
      </w:r>
    </w:p>
    <w:p w14:paraId="3E137592">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水库蓄水后将改变下垫面条件，对水库两侧局部小气候（温度、湿度、降水等）和局部地形地貌产生影响，进而影响局部植被分布。从国内已建水库对局地小气候的影响经验看，表现为库面气温冬季升高、夏季降低，降水量库内减少、库外增加等。规划水库多位于河谷沟箐，淹没区集中在河谷两侧，不会引起流域水热条件分布和地形条件的变化。因此，规划实施在整个流域范围内不会对植被类型的分布格局造成明显影响，不会导致植被多样性的降低。</w:t>
      </w:r>
    </w:p>
    <w:p w14:paraId="426673AC">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w:t>
      </w:r>
      <w:r>
        <w:rPr>
          <w:rFonts w:hint="default" w:ascii="Times New Roman" w:hAnsi="Times New Roman" w:cs="Times New Roman"/>
          <w:color w:val="auto"/>
          <w:highlight w:val="none"/>
          <w:lang w:val="en-US" w:eastAsia="zh-CN"/>
        </w:rPr>
        <w:t>植物资源</w:t>
      </w:r>
      <w:r>
        <w:rPr>
          <w:rFonts w:hint="default" w:ascii="Times New Roman" w:hAnsi="Times New Roman" w:eastAsia="宋体" w:cs="Times New Roman"/>
          <w:color w:val="auto"/>
          <w:highlight w:val="none"/>
        </w:rPr>
        <w:t>的影响</w:t>
      </w:r>
    </w:p>
    <w:p w14:paraId="7AEB7989">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（1）对重点保护野生植物的影响</w:t>
      </w:r>
    </w:p>
    <w:p w14:paraId="5BA5FD8E">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评价区共记录国家重点保护野生植物16种（国家一级2种：蓖齿苏铁、苏铁；国家二级14种），云南省重点保护野生植物3种（云南樟、扇蕨、滇藏玉兰），红色名录受威胁物种23种（极危CR 3种、濒危EN 11种、易危VU 9种）。保护植物在评价区具有种类较多、数量少、分布分散、多为孤立分布或间断分布的特点，若干扰活动发生在这些物种的分布区，将对其丰富度造成直接影响。</w:t>
      </w:r>
    </w:p>
    <w:p w14:paraId="41276F83">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根据各重点工程推进成果和现场调查，未在重点工程占地区内发现重点保护野生植物分布，同时，各工程推进均要求在施工前开展陆生生态调查，并对受影响的重点保护物种，提出保护措施。</w:t>
      </w:r>
    </w:p>
    <w:p w14:paraId="25CA4F18">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受规划阶段深度所限，规划工程占地范围内保护植物的种类和数量暂无法确定，建议在项目环评和林勘工作中进一步核查工程占地涉及的保护植物，采取避让、就地保护或迁移保护等针对性措施。在做好保护的前提下，规划实施对重点保护野生植物的影响总体可控。</w:t>
      </w:r>
    </w:p>
    <w:p w14:paraId="6CFE150A">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（2）对古树名木的影响</w:t>
      </w:r>
    </w:p>
    <w:p w14:paraId="256CE4C0">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评价区记录古树名木154种1366株，其中一级古树65株、二级古树249株、三级古树1052株。</w:t>
      </w:r>
      <w:r>
        <w:rPr>
          <w:rFonts w:hint="default" w:ascii="Times New Roman" w:hAnsi="Times New Roman" w:cs="Times New Roman"/>
          <w:color w:val="auto"/>
          <w:highlight w:val="none"/>
          <w:lang w:val="en-US" w:eastAsia="zh-CN"/>
        </w:rPr>
        <w:t>根据各重点工程推进成果和矢量叠图分析，未在重点工程占地区内发现古树名木分布，同时，各工程推进均要求在施工前开展古树调查，并对受影响的古树名木，提出保护措施。</w:t>
      </w:r>
    </w:p>
    <w:p w14:paraId="413A0A18">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工程实施过程中的工程占地、库区清理和蓄水淹没影响范围内若存在古树名木，如不采取针对性的保护措施，可能造成古树死亡等不利影响。建议下阶段结合规划工程方案深化，核查工程建设与古树名木的位置关系，对工程影响范围内的古树名木采取避让或挂牌保护、围栏防护等针对性保护措施。</w:t>
      </w:r>
    </w:p>
    <w:p w14:paraId="07B8FFDF">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（3）对一般植物的影响</w:t>
      </w:r>
    </w:p>
    <w:p w14:paraId="17B14B72">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工程施工将造成占地区部分植物个体消失，但受影响的多为云南松、滇青冈、栓皮栎、白茅、马桑、火棘等广布种和常见种，这些物种在流域、滇中地区乃至省外均有广泛分布，种群数量大，不会造成物种的消失和植物区系的显著变化。同时，施工扰动形成的裸地可能成为紫茎泽兰等外来入侵物种侵入的通道，应加强施工迹地植被恢复和外来入侵物种防控。</w:t>
      </w:r>
    </w:p>
    <w:p w14:paraId="388CE953">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对陆生动物的影响</w:t>
      </w:r>
    </w:p>
    <w:p w14:paraId="42E3DA3F">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对哺乳类的影响</w:t>
      </w:r>
    </w:p>
    <w:p w14:paraId="51C6187C">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水源工程建设对哺乳类的影响在于库区蓄水、工程施工占地对植被的破坏以及施工活动的响声及施工人员狩猎等，使原来栖息在此的兽类被迫迁移。但由于本次规划水源工程选址周围土地资源开发活动的影响，大面积的原生植被已不复存在，这些区域普遍无大中型兽类的栖息生境。流域范围内的珍稀保护动物如中华斑羚、林麝、中华穿山甲、小爪水獭等，种群数量较少，多生活在各个自然保护区以及人为活动稀少的山林，仅可能偶尔在规划水源工程附近出现。规划水源工程常见兽类主要为赤腹松鼠、褐家鼠、小家鼠等小型哺乳动物。哺乳动物活动范围大，生性机警，即使是中华穿山甲这类穴居动物，因库区蓄水是逐渐进行，水位上涨幅度慢，它们会逐步向上迁移另掘新居，故淹没不致造成地栖或洞栖兽类的死亡。上述动物的生境在规划水源工程外也有分布，因此工程建设施工即使导致兽类种类及数量减少，但不会导致任一物种的消失，对动物的影响不大。工程施工期，施工营地因食物丰富，鼠科、松鼠科等小型啮齿类动物将会明显增加。工程运行期，水源工程将作为永久设施保留下来，对野生动物栖息地占用为不可逆影响，但工程总体永久占地面积较小，对动物生境减少和阻隔影响不大。</w:t>
      </w:r>
    </w:p>
    <w:p w14:paraId="32D21B31">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拟建灌区工程区主要为周边村落提供生活用水和灌溉用水，供水沿线人为活动频繁，工程占用或破坏的部分以农田植被为主。区域内大型哺乳动物较为罕见，广泛分布的啮齿类动物较多，此类小型哺乳动物，活动范围广，受到干扰时能自行趋避，因此工程建设对其影响较小。当供水及灌溉排水工程建成后，由于灌溉条件改善，农田植被生产力的提高，这些小型哺乳动物的食物来源也相应增加，对其栖息环境也是一种提升，小型哺乳动物及其捕食者的种群数量也会增加。</w:t>
      </w:r>
    </w:p>
    <w:p w14:paraId="744DF03F">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本次综合规划中水土保持规划包含了封育保护、生态修复、坡耕地水土流失等重点项目，这些重点项目的实施将有效保护和恢复山地植被，提高植被覆盖率，哺乳动物栖息地的面积增加，有利于哺乳动物的生存繁衍，提高生物多样性。</w:t>
      </w:r>
    </w:p>
    <w:p w14:paraId="45748B06">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对鸟类的影响</w:t>
      </w:r>
    </w:p>
    <w:p w14:paraId="1ED18E3C">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工程施工对鸟类的影响主要来自施工占用森林、农田、村落等，使得鸟类生境减少，工程施工中噪声对鸟类的惊吓等；尤其是规划水源工程建设过程中人为活动增加，人们捕猎、鸟巢的破坏，对鸟类的干扰较大。本次评价区面积较大，鸟类物种丰富，共有379种，评价区内可能出现的国家重点保护和珍稀鸟类有73种，但鸟类具有多个生活区，其所需生境在规划范围内甚至更广地区都有分布，鸟类活动能力强，可通过迁飞寻求新的栖息地。工程施工期，工程区及附近区内的鸟类的种类和数量会因栖息地的缩小及人为干扰明显减少，但不会导致任一物种的消失，一些伴人居住的鸟类如家燕、麻雀等会在施工人员居住区出现；库区蓄水完成后，一些鸭科、鸥科、鹈鹕科、鸬鹚科等游禽和涉禽也会在规划水源工程附近出现。</w:t>
      </w:r>
    </w:p>
    <w:p w14:paraId="3B7170C4">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对两栖类的影响</w:t>
      </w:r>
    </w:p>
    <w:p w14:paraId="76ABCB10">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工程涉及生境主要是云南松林、稀疏灌木草丛、农田、河流等。区域受人为干扰破坏严重，两栖动物种类数量不多，常见的有泽陆蛙、黑眶蟾蜍、中华蟾蜍、饰纹姬蛙、大蹼铃蟾、华西雨蛙等。两栖动物对水环境的依赖性较大，规划水源工程、防洪、供水及灌溉工程等，施工期基础开挖排水、砂石料冲洗废水，以及各类机械的含油污水对工程区周围的两栖动物生活的水塘、沟渠等水域会产生一定的污染影响。两栖动物运动能力较弱，许多两栖动物肉质味美，易被施工人员捕食，以上原因都将导致区内两栖动物的减少。规划水源工程、灌区工程所在区域人为活动明显，因此水库建设对其生境的影响范围较小。</w:t>
      </w:r>
    </w:p>
    <w:p w14:paraId="0E71CCD9">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对爬行类的影响</w:t>
      </w:r>
    </w:p>
    <w:p w14:paraId="7FE1056B">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工程附近分布的爬行动物，绝大多数运动速度较快，适应能力强，当环境发生变化时，它们会迅速逃离到附近安全环境中生活；规划工程建设过程中人为活动增加，人类捕杀，对爬行类的威胁较大。因此，在施工过程中做好野生动物保护宣传，本规划工程施工对工程区及附近爬行动物影响不大。规划工程所在区域人为活动明显，因此，工程建设对其生境的影响范围较小。</w:t>
      </w:r>
    </w:p>
    <w:p w14:paraId="6A57AAD9">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对重要动物影响</w:t>
      </w:r>
    </w:p>
    <w:p w14:paraId="49F3ADD9">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整个南盘江（曲靖市境内）流域分布有国家重点保护、云南省重点珍稀、中国特有的陆生脊椎动物108种，其中有63种鸟类、19种哺乳类、14种爬行类和12种两栖类，没有仅分布于工程区的狭域分布种。这些重要物种大部分在我省分布范围较广，对其种群数量的不良影响主要来源于人类捕食和捕获利用，这与规划水源工程、防洪、供水及灌溉工程等建设没有直接的关联。只要采取较有效的保护措施，严格执行国家有关动物保护法规，本规划的相关工程建设不会造成它们在该地区的濒危和灭绝。随着工程开工建设，施工人员进入，各类施工机械进场，高强度、高密度人为干扰将驱使野生动物主动回避并远离施工区。由于这些动物生性孤僻机警，对人类活动敏感，会主动回避并远离工程建设区，工程建设不会造成其直接死亡。</w:t>
      </w:r>
    </w:p>
    <w:p w14:paraId="7EEA6FEA">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对生态系统的影响</w:t>
      </w:r>
    </w:p>
    <w:p w14:paraId="501795DC">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对生态系统结构与组成的影响</w:t>
      </w:r>
    </w:p>
    <w:p w14:paraId="53C7DA08">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规划实施将占用或淹没部分生态系统组分。按评价区生态系统构成（森林生态系统42.05%、农田生态系统36.73%、灌丛生态系统9.73%、城镇生态系统7.20%、草地生态系统2.73%、湿地生态系统1.40%）对重点工程征占地（约</w:t>
      </w:r>
      <w:r>
        <w:rPr>
          <w:rFonts w:hint="default" w:ascii="Times New Roman" w:hAnsi="Times New Roman" w:cs="Times New Roman"/>
          <w:color w:val="auto"/>
          <w:highlight w:val="none"/>
          <w:lang w:val="en-US" w:eastAsia="zh-CN"/>
        </w:rPr>
        <w:t>31.70</w:t>
      </w:r>
      <w:r>
        <w:rPr>
          <w:rFonts w:hint="default" w:ascii="Times New Roman" w:hAnsi="Times New Roman" w:cs="Times New Roman"/>
          <w:color w:val="auto"/>
          <w:highlight w:val="none"/>
        </w:rPr>
        <w:t>km²）进行类比估算，影响森林生态系统约</w:t>
      </w:r>
      <w:r>
        <w:rPr>
          <w:rFonts w:hint="default" w:ascii="Times New Roman" w:hAnsi="Times New Roman" w:cs="Times New Roman"/>
          <w:color w:val="auto"/>
          <w:highlight w:val="none"/>
          <w:lang w:val="en-US" w:eastAsia="zh-CN"/>
        </w:rPr>
        <w:t>11.64</w:t>
      </w:r>
      <w:r>
        <w:rPr>
          <w:rFonts w:hint="default" w:ascii="Times New Roman" w:hAnsi="Times New Roman" w:cs="Times New Roman"/>
          <w:color w:val="auto"/>
          <w:highlight w:val="none"/>
        </w:rPr>
        <w:t>km²、农田生态系统约</w:t>
      </w:r>
      <w:r>
        <w:rPr>
          <w:rFonts w:hint="default" w:ascii="Times New Roman" w:hAnsi="Times New Roman" w:cs="Times New Roman"/>
          <w:color w:val="auto"/>
          <w:highlight w:val="none"/>
          <w:lang w:val="en-US" w:eastAsia="zh-CN"/>
        </w:rPr>
        <w:t>16.36</w:t>
      </w:r>
      <w:r>
        <w:rPr>
          <w:rFonts w:hint="default" w:ascii="Times New Roman" w:hAnsi="Times New Roman" w:cs="Times New Roman"/>
          <w:color w:val="auto"/>
          <w:highlight w:val="none"/>
        </w:rPr>
        <w:t>km²、灌丛生态系统约</w:t>
      </w:r>
      <w:r>
        <w:rPr>
          <w:rFonts w:hint="default" w:ascii="Times New Roman" w:hAnsi="Times New Roman" w:cs="Times New Roman"/>
          <w:color w:val="auto"/>
          <w:highlight w:val="none"/>
          <w:lang w:val="en-US" w:eastAsia="zh-CN"/>
        </w:rPr>
        <w:t>1.77</w:t>
      </w:r>
      <w:r>
        <w:rPr>
          <w:rFonts w:hint="default" w:ascii="Times New Roman" w:hAnsi="Times New Roman" w:cs="Times New Roman"/>
          <w:color w:val="auto"/>
          <w:highlight w:val="none"/>
        </w:rPr>
        <w:t>km²、草地生态系统约0.</w:t>
      </w:r>
      <w:r>
        <w:rPr>
          <w:rFonts w:hint="default" w:ascii="Times New Roman" w:hAnsi="Times New Roman" w:cs="Times New Roman"/>
          <w:color w:val="auto"/>
          <w:highlight w:val="none"/>
          <w:lang w:val="en-US" w:eastAsia="zh-CN"/>
        </w:rPr>
        <w:t>04</w:t>
      </w:r>
      <w:r>
        <w:rPr>
          <w:rFonts w:hint="default" w:ascii="Times New Roman" w:hAnsi="Times New Roman" w:cs="Times New Roman"/>
          <w:color w:val="auto"/>
          <w:highlight w:val="none"/>
        </w:rPr>
        <w:t>km²，占评价区各相应生态系统面积的比例均在0.3%以下。其中水库蓄水将增加水域面积，湿地生态系统（水域）面积相应增加。规划实施不会导致评价区生态系统类型的消失和生态系统构成格局的明显变化。</w:t>
      </w:r>
    </w:p>
    <w:p w14:paraId="59B9BF40">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对生态系统生产力与生物量的影响</w:t>
      </w:r>
    </w:p>
    <w:p w14:paraId="434025EE">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评价区生态系统总净初级生产力约1112.08万t/a，平均单位面积生产力约781.78g/m²·a；总生物量约4388.18万t。结合各生态系统类型单位生产力、单位生物量及重点工程征占地估算（表</w:t>
      </w:r>
      <w:r>
        <w:rPr>
          <w:rFonts w:hint="default" w:ascii="Times New Roman" w:hAnsi="Times New Roman" w:cs="Times New Roman"/>
          <w:color w:val="auto"/>
          <w:highlight w:val="none"/>
          <w:lang w:val="en-US" w:eastAsia="zh-CN"/>
        </w:rPr>
        <w:t>5.4.4-1</w:t>
      </w:r>
      <w:r>
        <w:rPr>
          <w:rFonts w:hint="default" w:ascii="Times New Roman" w:hAnsi="Times New Roman" w:cs="Times New Roman"/>
          <w:color w:val="auto"/>
          <w:highlight w:val="none"/>
        </w:rPr>
        <w:t>），规划实施造成的植被生物量损失约8.</w:t>
      </w:r>
      <w:r>
        <w:rPr>
          <w:rFonts w:hint="default" w:ascii="Times New Roman" w:hAnsi="Times New Roman" w:cs="Times New Roman"/>
          <w:color w:val="auto"/>
          <w:highlight w:val="none"/>
          <w:lang w:val="en-US" w:eastAsia="zh-CN"/>
        </w:rPr>
        <w:t>81</w:t>
      </w:r>
      <w:r>
        <w:rPr>
          <w:rFonts w:hint="default" w:ascii="Times New Roman" w:hAnsi="Times New Roman" w:cs="Times New Roman"/>
          <w:color w:val="auto"/>
          <w:highlight w:val="none"/>
        </w:rPr>
        <w:t>万t（约占总生物量的0.20%），生产力损失约</w:t>
      </w:r>
      <w:r>
        <w:rPr>
          <w:rFonts w:hint="default" w:ascii="Times New Roman" w:hAnsi="Times New Roman" w:cs="Times New Roman"/>
          <w:color w:val="auto"/>
          <w:highlight w:val="none"/>
          <w:lang w:val="en-US" w:eastAsia="zh-CN"/>
        </w:rPr>
        <w:t>0.92</w:t>
      </w:r>
      <w:r>
        <w:rPr>
          <w:rFonts w:hint="default" w:ascii="Times New Roman" w:hAnsi="Times New Roman" w:cs="Times New Roman"/>
          <w:color w:val="auto"/>
          <w:highlight w:val="none"/>
        </w:rPr>
        <w:t>万t/a（约占总生产力的0.</w:t>
      </w:r>
      <w:r>
        <w:rPr>
          <w:rFonts w:hint="default" w:ascii="Times New Roman" w:hAnsi="Times New Roman" w:cs="Times New Roman"/>
          <w:color w:val="auto"/>
          <w:highlight w:val="none"/>
          <w:lang w:val="en-US" w:eastAsia="zh-CN"/>
        </w:rPr>
        <w:t>08</w:t>
      </w:r>
      <w:r>
        <w:rPr>
          <w:rFonts w:hint="default" w:ascii="Times New Roman" w:hAnsi="Times New Roman" w:cs="Times New Roman"/>
          <w:color w:val="auto"/>
          <w:highlight w:val="none"/>
        </w:rPr>
        <w:t>%）。其中永久占地造成的生物量和生产力损失不可逆，临时占地经植被恢复后生物量和生产力可逐步恢复。同时，规划水土保持工程新增治理面积834km²，通过植树种草新增植被覆盖，按平均单位生产力400～600t/km²·a估算，新增植被生产力约33.4万～50.0万t/a，远大于规划工程占地造成的生产力损失。总体来看，规划实施后流域生态系统生产力总体呈提高趋势，对生态系统结构和功能的影响有限。</w:t>
      </w:r>
    </w:p>
    <w:p w14:paraId="3A695009">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对生态系统完整性的影响</w:t>
      </w:r>
    </w:p>
    <w:p w14:paraId="20AB50F1">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规划实施将增加原有生态系统的压力，对生态完整性产生一定程度的影响。规划工程占地将使占地区部分生物个体消失，影响局部种群、群落的维持，进而影响生态系统的完整性和稳定性。但规划</w:t>
      </w:r>
      <w:r>
        <w:rPr>
          <w:rFonts w:hint="default" w:ascii="Times New Roman" w:hAnsi="Times New Roman" w:cs="Times New Roman"/>
          <w:color w:val="auto"/>
          <w:highlight w:val="none"/>
          <w:lang w:val="en-US" w:eastAsia="zh-CN"/>
        </w:rPr>
        <w:t>重点</w:t>
      </w:r>
      <w:r>
        <w:rPr>
          <w:rFonts w:hint="default" w:ascii="Times New Roman" w:hAnsi="Times New Roman" w:cs="Times New Roman"/>
          <w:color w:val="auto"/>
          <w:highlight w:val="none"/>
        </w:rPr>
        <w:t>工程占地总面积仅占评价区总面积的0.2</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受损植被类型在评价区及周边区域仍有相当面积分布，规划实施不会导致评价区生态系统类型的消失、生态系统构成格局和景观格局的明显改变，对生态系统结构的稳定和功能的发挥影响有限。同时，工程施工对地表地质不稳定区域的扰动可能加大水土流失，应加强施工期水土流失防治，避免或削弱不利影响。</w:t>
      </w:r>
    </w:p>
    <w:p w14:paraId="48B82B50">
      <w:pPr>
        <w:pStyle w:val="3"/>
        <w:numPr>
          <w:ilvl w:val="1"/>
          <w:numId w:val="4"/>
        </w:numPr>
        <w:spacing w:before="374" w:after="249"/>
        <w:rPr>
          <w:rFonts w:hint="default" w:ascii="Times New Roman" w:hAnsi="Times New Roman" w:eastAsia="宋体" w:cs="Times New Roman"/>
          <w:color w:val="auto"/>
          <w:highlight w:val="none"/>
        </w:rPr>
      </w:pPr>
      <w:bookmarkStart w:id="112" w:name="_Toc27410"/>
      <w:r>
        <w:rPr>
          <w:rFonts w:hint="default" w:ascii="Times New Roman" w:hAnsi="Times New Roman" w:eastAsia="宋体" w:cs="Times New Roman"/>
          <w:color w:val="auto"/>
          <w:highlight w:val="none"/>
        </w:rPr>
        <w:t>对水生生态的影响</w:t>
      </w:r>
      <w:bookmarkEnd w:id="112"/>
    </w:p>
    <w:p w14:paraId="1D2B48DA">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各专项规划对水生生态的影响</w:t>
      </w:r>
    </w:p>
    <w:p w14:paraId="434296BA">
      <w:pPr>
        <w:pStyle w:val="4"/>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南盘江（曲靖市境内）流域综合规划涵盖防洪减灾、水资源</w:t>
      </w:r>
      <w:r>
        <w:rPr>
          <w:rFonts w:hint="default" w:ascii="Times New Roman" w:hAnsi="Times New Roman" w:cs="Times New Roman"/>
          <w:color w:val="auto"/>
          <w:highlight w:val="none"/>
          <w:lang w:val="en-US" w:eastAsia="zh-CN"/>
        </w:rPr>
        <w:t>节约集约利用、水资源保护以及河湖生态保护四大类任务。其中，防洪减灾规划主要包括干支流防洪体系构建、城市防洪排涝能力提升、山洪灾害防治、病险水库与水闸除险加固及老旧水库安全性能增强；水资源节约集约利用规划涉及城乡供水保障、农业灌溉优化、跨流域引调水工程及水力发电等措施；水资源保护规划聚焦排污口整治与饮用水水源地保护；河湖生态保护规划则围绕生态流量保障、岸线空间管控、水生态系统修复和水土保持四项核心任务展开。</w:t>
      </w:r>
    </w:p>
    <w:p w14:paraId="4C3B25DB">
      <w:pPr>
        <w:pStyle w:val="4"/>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各专项规划实施对水生生态可能产生不利影响，主要体现在：防洪减灾、水资源配置、城乡供水及灌溉等相关工程在建设期间开展的河道土方开挖与回填、截流作业、坝基混凝土浇筑等活动，将引发河水浑浊度上升、流速减缓、溶解氧下降、</w:t>
      </w:r>
      <w:r>
        <w:rPr>
          <w:rFonts w:hint="default" w:ascii="Times New Roman" w:hAnsi="Times New Roman" w:cs="Times New Roman"/>
          <w:color w:val="auto"/>
          <w:highlight w:val="none"/>
          <w:lang w:val="en-US" w:eastAsia="zh-CN"/>
        </w:rPr>
        <w:t>污染物</w:t>
      </w:r>
      <w:r>
        <w:rPr>
          <w:rFonts w:hint="default" w:ascii="Times New Roman" w:hAnsi="Times New Roman" w:cs="Times New Roman"/>
          <w:color w:val="auto"/>
          <w:highlight w:val="none"/>
          <w:lang w:eastAsia="zh-CN"/>
        </w:rPr>
        <w:t>浓度升高，甚至造成河流改道或局部断流，从而显著改变水质并破坏原有水生生境。此外，中小河流治理和山洪防治工程占地可能干扰滨河水文过程，压缩近岸河滩地空间，使天然河湖滩地转为人工护岸，导致部分水生生物栖息地丧失；堤防建设亦会在一定程度上削弱河岸横向连通性。新建水库、灌区取水坝等拦河构筑物将阻断河流纵向连通，加剧局部生境碎片化，并引发坝下减水现象；原河流流水生境被静水型库区取代。引调水工程则通过减少水源区水量、增加受水区水量，改变两地水生生境格局。</w:t>
      </w:r>
    </w:p>
    <w:p w14:paraId="78E581C9">
      <w:pPr>
        <w:pStyle w:val="4"/>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上述施工活动因生境扰动，将对流域内浮游动植物、底栖动物、鱼类及水生植物等造成不同程度的负面影响。悬浮泥沙增多会遮蔽光照，抑制浮游植物光合作用，致使硅藻、绿藻等流水型优势种数量减少，而耐污、耐浊藻类短期暴发，群落结构趋于单一；浮游动物因饵料减少及浊度胁迫，存活率下降，枝角类、桡足类等大型种类衰退，轮虫等小型原生动物比例上升，整体多样性降低。清淤与河道开挖直接破坏底栖生物栖息基质，弃土与泥沙掩埋底质，造成螺、蚌、摇蚊幼虫等大量死亡，敏感流水物种局部消失。施工占用河道及破坏滨岸湿地植被，导致挺水、沉水植物覆盖度下降。施工噪声、振动及悬浮物升高迫使鱼类逃离，繁殖与栖息场所受损，种群资源量减少；大坝与拦河闸坝阻隔洄游通道，阻碍洄游性鱼类迁移，促使水生生物群落由流水型向静水型转变，流水敏感物种持续衰退。</w:t>
      </w:r>
    </w:p>
    <w:p w14:paraId="6C769630">
      <w:pPr>
        <w:pStyle w:val="4"/>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相比之下，节约用水、水资源保护、水生态保护修复及水土保持等规划的不利影响多具局部性和暂时性，其正面效应更为突出，可有效缓解其他开发活动带来的生态压力。水资源保护中的清淤与排污口整治虽短期扰动浮游及底栖生物，但长期利于水质改善；水生态保护修复工程如生态清淤、河道修复虽产生短暂泥沙扰动，但后续生境恢复迅速抵消负面影响；水土保持措施主要在陆域实施，对水生系统直接影响微弱。总体而言，节约用水规划有助于降低取水量，提升生态流量保障水平，改善水生生境，促进各类水生生物恢复；水资源保护通过控源截污与水质净化，显著优化生境条件，推动群落结构向健康方向演替；水生态保护与修复通过河湖连通、生态补水及栖息地重建，缓解碎片化，打通洄游廊道，全面助力水生生物资源恢复；水土保持则通过控制水土流失、削减入河泥沙，稳定河床底质与水体环境，为水生生物提供良好生长条件，实现长期生态效益。</w:t>
      </w:r>
    </w:p>
    <w:p w14:paraId="16F10BAA">
      <w:pPr>
        <w:pStyle w:val="5"/>
        <w:numPr>
          <w:ilvl w:val="2"/>
          <w:numId w:val="4"/>
        </w:numPr>
        <w:spacing w:before="374" w:after="249"/>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规划重点</w:t>
      </w:r>
      <w:r>
        <w:rPr>
          <w:rFonts w:hint="default" w:ascii="Times New Roman" w:hAnsi="Times New Roman" w:eastAsia="宋体" w:cs="Times New Roman"/>
          <w:color w:val="auto"/>
          <w:highlight w:val="none"/>
          <w:lang w:val="en-US" w:eastAsia="zh-CN"/>
        </w:rPr>
        <w:t>工程</w:t>
      </w:r>
      <w:r>
        <w:rPr>
          <w:rFonts w:hint="default" w:ascii="Times New Roman" w:hAnsi="Times New Roman" w:eastAsia="宋体" w:cs="Times New Roman"/>
          <w:color w:val="auto"/>
          <w:highlight w:val="none"/>
          <w:lang w:eastAsia="zh-CN"/>
        </w:rPr>
        <w:t>对水生生态的影响</w:t>
      </w:r>
    </w:p>
    <w:p w14:paraId="158F7AC0">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对水生生境的影响</w:t>
      </w:r>
    </w:p>
    <w:p w14:paraId="3C64C86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新建水源工程、灌区工程及</w:t>
      </w:r>
      <w:r>
        <w:rPr>
          <w:rFonts w:hint="default" w:ascii="Times New Roman" w:hAnsi="Times New Roman" w:cs="Times New Roman"/>
          <w:color w:val="auto"/>
          <w:highlight w:val="none"/>
          <w:lang w:val="en-US" w:eastAsia="zh-CN"/>
        </w:rPr>
        <w:t>引调水</w:t>
      </w:r>
      <w:r>
        <w:rPr>
          <w:rFonts w:hint="default" w:ascii="Times New Roman" w:hAnsi="Times New Roman" w:cs="Times New Roman"/>
          <w:color w:val="auto"/>
          <w:highlight w:val="none"/>
        </w:rPr>
        <w:t>工程等对水生生境的影响主要包括水文情势、河流连通阻隔、库区低温水下泄等影响。</w:t>
      </w:r>
    </w:p>
    <w:p w14:paraId="016806A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工程水库大坝及拦河闸坝的建设，将导致坝下河段减脱水，水库坝下的下泄水体将会有减少的趋势，全年大部分时间依靠生态流量维持河道有水。水库正常蓄水运行后，在保障坝址以下河流段最低河流生态流量的基础上，坝址以上河流水生生境发生了不可逆的改变，原有的狭窄急流将转变为广阔的静水，水文环境发生了彻底的改变，水位抬升、水温降低、溶氧量降低、泥沙沉积、透明度降低等，导致适应于流水型的水生生物类群也将向静水型生物类群转变；库区范围内鱼类将会由自然的水生态系统改变为湖库型水生态系统，库区常见鱼类将会占据优势。但对整个流域而言，库区建设有利于保持全年水量平衡，减少干旱时段河道干枯，如果下泄生态流量能够保持较高的流量，对维持水生态有利相对于对整体流域水环境影响较小。</w:t>
      </w:r>
    </w:p>
    <w:p w14:paraId="23DA634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水库大坝和拦河闸坝的建设，会使原有河道被分割开，破坏了河流的连通性，影响鱼类的洄游。</w:t>
      </w:r>
      <w:r>
        <w:rPr>
          <w:rFonts w:hint="default" w:ascii="Times New Roman" w:hAnsi="Times New Roman" w:cs="Times New Roman"/>
          <w:color w:val="auto"/>
          <w:highlight w:val="none"/>
          <w:lang w:val="en-US" w:eastAsia="zh-CN"/>
        </w:rPr>
        <w:t>规划主要新建水源工程（大河水库、沙厂水库和红岩脚水库）主要位于黄泥河流域，</w:t>
      </w:r>
      <w:r>
        <w:rPr>
          <w:rFonts w:hint="default" w:ascii="Times New Roman" w:hAnsi="Times New Roman" w:cs="Times New Roman"/>
          <w:color w:val="auto"/>
          <w:highlight w:val="none"/>
        </w:rPr>
        <w:t>新建水库坝址多位于流域支流上游河段，对河流连通性的影响是局部的，对干流与支流的连通性影响较小，规划范围内未记录到长距离洄游的鱼类，部分鱼类如鲫、鲤鱼洄游短距离的索饵洄游，这些鱼类在区域内分布广泛，工程建设对其影响较小。鱼类产卵场和索饵场多位于干支流汇口，越冬场多在干流水深处，由于生态环境的改变，鱼类许多原有的生长繁殖区域逐渐消失，在物质丰富的河湾、库尾及一些开阔水域形成新的产卵索饵越冬场所，饵料生物的变化将会一定程度上影响鱼类种群结构。规划范围内未发现集中鱼类三场等重要生境分布，因此水库工程的建设对多数鱼类生命活动产生阻隔影响有限。</w:t>
      </w:r>
    </w:p>
    <w:p w14:paraId="5F64FD04">
      <w:pPr>
        <w:ind w:firstLine="480"/>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rPr>
        <w:t>针对</w:t>
      </w:r>
      <w:r>
        <w:rPr>
          <w:rFonts w:hint="default" w:ascii="Times New Roman" w:hAnsi="Times New Roman" w:cs="Times New Roman"/>
          <w:color w:val="auto"/>
          <w:highlight w:val="none"/>
          <w:lang w:val="en-US" w:eastAsia="zh-CN"/>
        </w:rPr>
        <w:t>南盘江</w:t>
      </w:r>
      <w:r>
        <w:rPr>
          <w:rFonts w:hint="default" w:ascii="Times New Roman" w:hAnsi="Times New Roman" w:cs="Times New Roman"/>
          <w:color w:val="auto"/>
          <w:highlight w:val="none"/>
        </w:rPr>
        <w:t>干流来说，</w:t>
      </w:r>
      <w:r>
        <w:rPr>
          <w:rFonts w:hint="default" w:ascii="Times New Roman" w:hAnsi="Times New Roman" w:cs="Times New Roman"/>
          <w:color w:val="auto"/>
          <w:highlight w:val="none"/>
          <w:lang w:val="en-US" w:eastAsia="zh-CN"/>
        </w:rPr>
        <w:t>水资源节约集约利用规划未在南盘江干流上新建拦河闸坝，对干流</w:t>
      </w:r>
      <w:r>
        <w:rPr>
          <w:rFonts w:hint="default" w:ascii="Times New Roman" w:hAnsi="Times New Roman" w:cs="Times New Roman"/>
          <w:color w:val="auto"/>
          <w:highlight w:val="none"/>
        </w:rPr>
        <w:t>连通性影响相对较小。曲靖市牛栏江德泽水库引水济曲工程</w:t>
      </w:r>
      <w:r>
        <w:rPr>
          <w:rFonts w:hint="default" w:ascii="Times New Roman" w:hAnsi="Times New Roman" w:cs="Times New Roman"/>
          <w:color w:val="auto"/>
          <w:highlight w:val="none"/>
          <w:lang w:eastAsia="zh-CN"/>
        </w:rPr>
        <w:t>、车马碧水库调水工程、九龙河至南盘江连通工程</w:t>
      </w:r>
      <w:r>
        <w:rPr>
          <w:rFonts w:hint="default" w:ascii="Times New Roman" w:hAnsi="Times New Roman" w:cs="Times New Roman"/>
          <w:color w:val="auto"/>
          <w:highlight w:val="none"/>
          <w:lang w:val="en-US" w:eastAsia="zh-CN"/>
        </w:rPr>
        <w:t>等引调水工程</w:t>
      </w:r>
      <w:r>
        <w:rPr>
          <w:rFonts w:hint="default" w:ascii="Times New Roman" w:hAnsi="Times New Roman" w:cs="Times New Roman"/>
          <w:color w:val="auto"/>
          <w:highlight w:val="none"/>
          <w:lang w:eastAsia="zh-CN"/>
        </w:rPr>
        <w:t>不会改变南盘江干流整体的连通性，对干流水文情势</w:t>
      </w:r>
      <w:r>
        <w:rPr>
          <w:rFonts w:hint="default" w:ascii="Times New Roman" w:hAnsi="Times New Roman" w:cs="Times New Roman"/>
          <w:color w:val="auto"/>
          <w:highlight w:val="none"/>
          <w:lang w:val="en-US" w:eastAsia="zh-CN"/>
        </w:rPr>
        <w:t>会有一定改变</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但</w:t>
      </w:r>
      <w:r>
        <w:rPr>
          <w:rFonts w:hint="default" w:ascii="Times New Roman" w:hAnsi="Times New Roman" w:cs="Times New Roman"/>
          <w:color w:val="auto"/>
          <w:highlight w:val="none"/>
          <w:lang w:eastAsia="zh-CN"/>
        </w:rPr>
        <w:t>不会造成干流整体性的水生生境破坏。干流下游已建拦河工程形成的库区，本身已完成水文情势与生境的调整，规划新增工程仅取用部分水量用于城乡供水与灌溉，在严格落实生态流量下泄要求的前提下，坝下河段水量不会出现显著降低，对干流水生生物栖息的核心生境影响可控。</w:t>
      </w:r>
    </w:p>
    <w:p w14:paraId="4674C948">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总体而言，规划新增的各类工程不会导致南盘江流域规划范围内生境格局发生根本性改变。</w:t>
      </w:r>
    </w:p>
    <w:p w14:paraId="74C2A287">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对水生生物的影响</w:t>
      </w:r>
    </w:p>
    <w:p w14:paraId="69E1FF84">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对浮游植物的影响</w:t>
      </w:r>
    </w:p>
    <w:p w14:paraId="3C011E36">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根据现场调查结果，南盘江（曲靖市境内）流域综合规划评价区共记录浮游植物</w:t>
      </w:r>
      <w:r>
        <w:rPr>
          <w:rFonts w:hint="default" w:ascii="Times New Roman" w:hAnsi="Times New Roman" w:cs="Times New Roman"/>
          <w:color w:val="auto"/>
          <w:highlight w:val="none"/>
          <w:lang w:val="en-US" w:eastAsia="zh-CN"/>
        </w:rPr>
        <w:t xml:space="preserve">8门124种。从物种组成及水平分布特征来看，评价区河流断面的浮游植物以硅藻为主导。上述藻类均为广布种，未发现受保护或特有种类。规划所涉水库建设不会对流域内浮游植物构成威胁，总体而言，规划实施对浮游植物生物多样性的影响较为有限。  </w:t>
      </w:r>
    </w:p>
    <w:p w14:paraId="59923F8B">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 xml:space="preserve">水库建成后，水生生态系统将不可避免地发生改变：库区水流趋于平缓，水位抬升，泥沙沉降于库底，水体透明度逐步提升，表层水温升高，同时营养盐含量逐渐增加。这些环境变化均有利于光合自养型藻类的生长，其种类数量与生物量将有所上升，群落结构亦随之调整，并在环境趋于相对稳定后，逐步形成新的群落结构，该结构仍将随环境条件变化而动态演替。  </w:t>
      </w:r>
    </w:p>
    <w:p w14:paraId="0849B035">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大坝蓄水后，浮游植物群落将由当前的河流型向水库型转变，真性浮游种类将逐步大量繁殖。随着库区水体营养水平上升，喜肥耐污类群将显著发展。这一趋势已在现有库区的调查中得到印证。目前数量较少的绿藻和甲藻将大量增殖，耐污性强的蓝藻门颤藻属、鱼腥藻属等也将迅速扩张，浮游植物群落结构将由当前硅藻占优势的硅藻型，演变为硅藻—绿藻型或硅藻—绿藻—蓝藻型。</w:t>
      </w:r>
    </w:p>
    <w:p w14:paraId="38EC5754">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对浮游动物的影响</w:t>
      </w:r>
    </w:p>
    <w:p w14:paraId="730DE106">
      <w:pPr>
        <w:ind w:firstLine="48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eastAsia="zh-CN"/>
        </w:rPr>
        <w:t>规划范围内共记录浮游动物3门</w:t>
      </w:r>
      <w:r>
        <w:rPr>
          <w:rFonts w:hint="default" w:ascii="Times New Roman" w:hAnsi="Times New Roman" w:cs="Times New Roman"/>
          <w:color w:val="auto"/>
          <w:highlight w:val="none"/>
          <w:lang w:val="en-US" w:eastAsia="zh-CN"/>
        </w:rPr>
        <w:t>75种，均为广布物种，未发现特有或珍稀的浮游动物种类。基于此物种组成特征，预测未来在该流域新建水库对浮游动物多样性产生的直接影响相对较小。水库建成蓄水后，库区水体的营养水平将逐步提升，生境类型将由原来的河道急流环境转变为相对静缓的湖库型环境。这一生境转变将促使浮游动物群落结构发生相应演替，具体表现为适应静水环境的枝角类、桡足类等大型浮游动物的密度和生物量将显著增加。然而，随着水库运行时间的推移，营养物质的持续积累可能导致部分库区在未来出现藻类水华现象，进而引发小型浮游动物（如轮虫等）的异常大量繁殖。为应对这一潜在风险，有必要在未来水库建成投运后，建立并实施系统性的水质与水生生物监测计划，并制定相应的防控管理措施，以保障水库生态系统的健康与稳定。</w:t>
      </w:r>
    </w:p>
    <w:p w14:paraId="77DD3906">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对底栖动物的影响</w:t>
      </w:r>
    </w:p>
    <w:p w14:paraId="7CE1A49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现状规划范围内的大型底栖动物均为广布物种，新建水库不会对这些物种的生存构成威胁。但在项目建设过程中，坝址附近河道将被施工完全破坏，原有的底栖动物群落也将消失，但由于水库建设，水质得到改善，在保证生态流量的情况下，底栖动物群落将在下游得到恢复。综合来看，规划实施对区域底栖动物生物多样性影响有限。</w:t>
      </w:r>
    </w:p>
    <w:p w14:paraId="77746083">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对水生植物的影响</w:t>
      </w:r>
    </w:p>
    <w:p w14:paraId="46A7873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工程建设占用土地，将直接造成水生植被死亡，适宜生境遭到破坏，分布范围明显减少。此外，围堰施工、土石开挖和爆破等活动扰动水域底质，车辆往来形成大量灰尘扩散、土石散落水域，导致施工区及其附近水域水体悬浮物颗粒浓度升高，破坏周边水生维管植物生境，在一定程度上影响湿生维管束植物的光合作用。根据资料统计及调查，规划区水生维管植物种类较单一，主要为菹草、穗状狐尾藻等广布种，且分布范围有限，工程施工建设对该区域水生维管植物的影响相对有限。</w:t>
      </w:r>
    </w:p>
    <w:p w14:paraId="23FA112F">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对鱼类的影响</w:t>
      </w:r>
    </w:p>
    <w:p w14:paraId="4B71FC42">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工程建设期对鱼类的影响</w:t>
      </w:r>
    </w:p>
    <w:p w14:paraId="6EE7550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（1）对鱼类生境和生长的影响</w:t>
      </w:r>
    </w:p>
    <w:p w14:paraId="3BB6D53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新建水源工程水库、灌区工程、</w:t>
      </w:r>
      <w:r>
        <w:rPr>
          <w:rFonts w:hint="default" w:ascii="Times New Roman" w:hAnsi="Times New Roman" w:cs="Times New Roman"/>
          <w:color w:val="auto"/>
          <w:highlight w:val="none"/>
          <w:lang w:val="en-US" w:eastAsia="zh-CN"/>
        </w:rPr>
        <w:t>引调水工</w:t>
      </w:r>
      <w:r>
        <w:rPr>
          <w:rFonts w:hint="default" w:ascii="Times New Roman" w:hAnsi="Times New Roman" w:cs="Times New Roman"/>
          <w:color w:val="auto"/>
          <w:highlight w:val="none"/>
        </w:rPr>
        <w:t>程等规划项目施工建设期间，人类活动增加，所产生的生活污水、生产垃圾以及工程弃渣、废水，势必影响施工河段的水质，导致鱼类生境受到一定影响。生活污水主要为施工人员临时居住工地粪便污水，同时包括厨房污水、浴室废水等，主要污染因子为有机物。施工期进行建筑材料清洗、车辆等设备冲洗、场地降尘洒水、地表基础开挖和基坑排水会造成坝址局部河段水体浑浊，透明度降低，水质下降。水库配套的道路工程建设时，如果施工工地靠近河流，工程中不可避免地会使沿线地表植被遭到破坏，影响农业生态系统和森林生态系统的稳定性和完整性，造成水土流失。遇到暴雨季节或洪水，水土流失物中营养物质氮、磷及有毒有害物质会伴随泥沙进入水体，加剧对周围河流及其他水体水质的破坏，对鱼类生长造成影响。上述这些都会造成河流水质发生变化，影响浮游生物生物量，从而影响了鱼类索饵场以及适宜生境。大坝施工期间，各种机械在水中作业，将搅动水体河床底泥，局部范围内破坏了鱼类的栖息地，对鱼类有驱赶作用。</w:t>
      </w:r>
    </w:p>
    <w:p w14:paraId="701DDA9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（2）对鱼类繁殖影响</w:t>
      </w:r>
    </w:p>
    <w:p w14:paraId="4456F31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施工期间，地表基础开挖、天然料场建立等造成鱼类产卵场的破坏，同时所产生的悬浮泥沙可能粘附在鱼卵上而导致鱼类胚胎发育窒息死亡。施工过程中产生的振动、机械噪声可能对鱼类产生生理干扰，若在繁殖季节，则将导致鱼类产卵受到一定程度抑制。</w:t>
      </w:r>
      <w:r>
        <w:rPr>
          <w:rFonts w:hint="default" w:ascii="Times New Roman" w:hAnsi="Times New Roman" w:cs="Times New Roman"/>
          <w:color w:val="auto"/>
          <w:highlight w:val="none"/>
          <w:lang w:val="en-US" w:eastAsia="zh-CN"/>
        </w:rPr>
        <w:t>围</w:t>
      </w:r>
      <w:r>
        <w:rPr>
          <w:rFonts w:hint="default" w:ascii="Times New Roman" w:hAnsi="Times New Roman" w:cs="Times New Roman"/>
          <w:color w:val="auto"/>
          <w:highlight w:val="none"/>
        </w:rPr>
        <w:t>堰排水施工将使围坝江段鱼类死亡或被滥捕；筑坝引水将导致坝下江段大幅度减水，甚至脱水，威胁减脱水江段鱼类的生存，如果减水处于鱼类繁殖期，会影响下游江段的鱼类繁殖，或使受精卵、仔幼鱼搁浅死亡等；将导致局部河段鱼类时段性的影响物种数量和种群密度的下降。</w:t>
      </w:r>
    </w:p>
    <w:p w14:paraId="56B8DAD3">
      <w:pPr>
        <w:pStyle w:val="7"/>
        <w:numPr>
          <w:ilvl w:val="4"/>
          <w:numId w:val="4"/>
        </w:numPr>
        <w:spacing w:before="374" w:after="249"/>
        <w:rPr>
          <w:rFonts w:hint="default" w:ascii="Times New Roman" w:hAnsi="Times New Roman" w:cs="Times New Roman"/>
          <w:color w:val="auto"/>
          <w:highlight w:val="none"/>
        </w:rPr>
      </w:pPr>
      <w:r>
        <w:rPr>
          <w:rFonts w:hint="default" w:ascii="Times New Roman" w:hAnsi="Times New Roman" w:cs="Times New Roman"/>
          <w:color w:val="auto"/>
          <w:highlight w:val="none"/>
        </w:rPr>
        <w:t>工程运行期对鱼类的影响</w:t>
      </w:r>
    </w:p>
    <w:p w14:paraId="0CAFBB3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1.水源工程对鱼类的影响</w:t>
      </w:r>
    </w:p>
    <w:p w14:paraId="4CAD789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（1）水坝阻隔对鱼类的影响</w:t>
      </w:r>
    </w:p>
    <w:p w14:paraId="35F8AD6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拟新建水库工程，大坝建设将原来上下连通的支流分割成坝上和坝下两部分，同时也影响到干支流的连通性，将河流分割成多个生境相似而生态系统脆弱的水库生态系统，分别为坝前的静水区、库尾和库区支流的急流区以及连接坝前和库尾的微流水区，每个水库都将毫无例外地面临生境片断化带来诸多方面的影响，而且这些影响是长期的、不可逆的。</w:t>
      </w:r>
    </w:p>
    <w:p w14:paraId="2021DD4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从鱼类生存及生态群落来看，大坝的阻隔作用首先中断了鱼类上下迁移的自然通道，导致鱼类种群基因交流受阻，不仅降低了物种活力，还增加了近亲繁殖的概率，可能造成物种遗传多样性下降；其次，生境片断化削弱了库区鱼类的觅食能力，使其难以获取充足食物资源；此外，大坝还限制了物种自然扩散与群落构建，对物种正常的散布、移居活动形成直接阻碍，导致单一生境中的物种数量减少。但当前坝下鱼类以江河湖泊缓流性小型鱼类为主，无洄游性鱼类；同时，原分布于干流的各类鱼类可通过自身游动能力短距离迁移，寻找适宜生存环境，因此大坝阻隔对鱼类迁移造成的实际影响相对不明显。</w:t>
      </w:r>
    </w:p>
    <w:p w14:paraId="4E32CCD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（2）水库蓄水淹没对鱼类的影响</w:t>
      </w:r>
    </w:p>
    <w:p w14:paraId="0DE99BC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库建成后，将不同程度淹没所在支流的天然河段，坝上河段水文情势变化对鱼类的影响主要集中在库区的回水河道范围内，即原流水河道上的湾潭石滩被淹没。河道断面将由复式变为单一断面，原来地形复杂的河道地形将简单化，回水区的水头差和河道的弯曲度将降低，天然河流复杂多变的水流流态将趋于稳定，这些水域自然环境的单一化将造成鱼类栖息环境的单一化，适应流水性鱼类的栖息地在减少，特别是适应河道底层石隙中穿行觅食的种类产生较大影响，另外一些流水性种类的种群在失去栖息地之后将向库尾的上游方向或者入库支流退缩，其分布海拔将相应上移，其种群的繁衍和扩张也将受到限制，从而降低鱼类群落物种的多样性。目前在这些上游溪流中生存的多为麦穗鱼、鲫鱼、中华细鲫及条鳅类等小型鱼类，生存能力比较强，水库对这些鱼类的影响有限。</w:t>
      </w:r>
    </w:p>
    <w:p w14:paraId="560A70F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另一方面，库区河段由于淹没，导致营养盐类增加，初级生产力提高形成一个良好的渔业基地，适宜于静水、摄食浮游生物、喜栖居于水体中上层的鱼类如鲤科、鮎科和鲿科的鱼类将得到不同程度的发展，成为库区优势种群。</w:t>
      </w:r>
    </w:p>
    <w:p w14:paraId="699DAD9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整体而言，库区形成后，原开放型水生生态系统将转变为峡谷型水库生态系统。流水河段减少了，静水面积却大大增加，原分布于支流的激流型鱼类通过自游能力寻找适宜的生活条件而进行短距离的迁移，对于小型鱼类，如条鳅科等，它们活动范围较小，且有较强的适应性，物种较容易得到延续，但是，随着外来种的种类和数量的增加，整个流域的鱼类区系将出现明显的梯级变化。</w:t>
      </w:r>
    </w:p>
    <w:p w14:paraId="61197A9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（3）低温水对鱼类的影响</w:t>
      </w:r>
    </w:p>
    <w:p w14:paraId="2980823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温是鱼类生存环境中的一大要素，水温对鱼类的生长、发育、繁殖、疾病、死亡、分布、产量、免疫等均具有重要的影响。在鱼类的适宜温度范围内，增温可促进鱼类的摄食生长和鱼产量上升，使鱼类性腺发育和产卵时间提前，缩短胚胎发育所需时间等。规划新建的3座水库均为小型水库，水温分层不显著，坝下河道水温变化将对下游鱼类影响有限。</w:t>
      </w:r>
    </w:p>
    <w:p w14:paraId="3792CD3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rPr>
        <w:t>.对鱼类重要生境的影响</w:t>
      </w:r>
    </w:p>
    <w:p w14:paraId="0B85C5B7">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现有资料表明</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规划评价区内</w:t>
      </w:r>
      <w:r>
        <w:rPr>
          <w:rFonts w:hint="default" w:ascii="Times New Roman" w:hAnsi="Times New Roman" w:cs="Times New Roman"/>
          <w:color w:val="auto"/>
          <w:highlight w:val="none"/>
          <w:lang w:val="en-US" w:eastAsia="zh-CN"/>
        </w:rPr>
        <w:t>在五洛河、牛街河和多依河</w:t>
      </w:r>
      <w:r>
        <w:rPr>
          <w:rFonts w:hint="default" w:ascii="Times New Roman" w:hAnsi="Times New Roman" w:cs="Times New Roman"/>
          <w:color w:val="auto"/>
          <w:highlight w:val="none"/>
        </w:rPr>
        <w:t>存在集中式鱼类“三场”，</w:t>
      </w:r>
      <w:r>
        <w:rPr>
          <w:rFonts w:hint="default" w:ascii="Times New Roman" w:hAnsi="Times New Roman" w:cs="Times New Roman"/>
          <w:color w:val="auto"/>
          <w:highlight w:val="none"/>
          <w:lang w:val="en-US" w:eastAsia="zh-CN"/>
        </w:rPr>
        <w:t>此外，金线鲃属鱼类等土著珍稀物种在流域内龙潭等生境中有狭域分布。针对五洛河、牛街河和多依河的鱼类三场，规划建设项目均为水生态保护修复项目，对生境改善整体呈现正向促进作用。现阶段尚无具体工程布置，下阶段工程设计在避让核心区和鱼类三场，并进一步采取减缓措施的前提下，工程不会改变三场原有的水文水动力条件，不会对区域鱼类产卵、索饵、越冬活动产生全局性不利影响。针对金线鲃属鱼类等土著珍稀物种分布的龙潭狭域生境，所有规划工程均已避让核心分布区，仅部分规划道路工程会沿生境外围布设。只要施工阶段严格划定作业边界、设置生态隔离防护带，就能够有效控制施工扰动范围，避免对核心生境造成破坏，不会威胁金线鲃属等土著珍稀物种的生存。整体来看，本次规划实施对区域鱼类重要生境会产生一定不利影响，但不会改变现有鱼类重要生境的整体分布格局，施工和运行期需采取相应的减缓措施。</w:t>
      </w:r>
    </w:p>
    <w:p w14:paraId="299F8C1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（1）对产卵场影响</w:t>
      </w:r>
    </w:p>
    <w:p w14:paraId="68CE787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工程建设及运行主要影响坝址以上河段产卵场，水库蓄水后将淹没一些产卵场，由于水位的抬升，产卵场将会上移，形成新的产卵场所。产粘性卵鱼类的产卵场一般处于河道大的回水弯处或分叉河道，这种生境岸边有较为丰富的植被，流速较慢，水流平缓，底质为沙砾或砾石，水浅甚或河床部分裸露，以便于鱼卵附着，同时周边又有一定的深水区，供亲鱼活动和藏身。</w:t>
      </w:r>
    </w:p>
    <w:p w14:paraId="53EF6D5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（2）对索饵场影响</w:t>
      </w:r>
    </w:p>
    <w:p w14:paraId="2342070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随着水库的建设，库区水位上升，水面变宽，水流减缓，短期内浮游动、植物和底栖生物总量增加，使基础饵料生物资源量显著增加，库区回水河段会成为理想的索饵场，为鱼类的天然生物饵料资源提供保证。</w:t>
      </w:r>
    </w:p>
    <w:p w14:paraId="37149DB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（3）对越冬场的影响 </w:t>
      </w:r>
    </w:p>
    <w:p w14:paraId="2CF441B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库的建设，使库区其原有的生态环境发生了较大的变化，水域面积增大，水流变缓，水位加深，河段河床底质主要为沙石，河道两岸宽阔，水面较宽，岸边水位较低，流速较慢，岸边水温在日照条件下上升较快，冬季饵料生物资源会增大，且不易受到外界干扰，这些又为鱼类提供了理想的越冬场所。坝下越冬场所水文情势不会发生变化，对鱼类越冬没有影响。</w:t>
      </w:r>
    </w:p>
    <w:p w14:paraId="3189CC1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（4）对洄游通道的影响</w:t>
      </w:r>
    </w:p>
    <w:p w14:paraId="0E677A8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规划范围内未记录到长距离洄游鱼类，无鱼类洄游通道分布。评价区河段仅鲫鱼、鲤鱼等会进行短距离的索饵洄游，这些鱼类在评价区河段广泛分布，工程建设运行对其影响很小。</w:t>
      </w:r>
    </w:p>
    <w:p w14:paraId="32D5582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rPr>
        <w:t>对重点鱼类的影响</w:t>
      </w:r>
    </w:p>
    <w:p w14:paraId="1202C64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规划范围内记录到国家二级重点保护物种</w:t>
      </w:r>
      <w:r>
        <w:rPr>
          <w:rFonts w:hint="default" w:ascii="Times New Roman" w:hAnsi="Times New Roman" w:cs="Times New Roman"/>
          <w:color w:val="auto"/>
          <w:highlight w:val="none"/>
          <w:lang w:val="en-US" w:eastAsia="zh-CN"/>
        </w:rPr>
        <w:t>10</w:t>
      </w:r>
      <w:r>
        <w:rPr>
          <w:rFonts w:hint="default" w:ascii="Times New Roman" w:hAnsi="Times New Roman" w:cs="Times New Roman"/>
          <w:color w:val="auto"/>
          <w:highlight w:val="none"/>
        </w:rPr>
        <w:t>种，为狭孔金线鲃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侧条金线鲃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罗平金线鲃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大头金线鲃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陆良金线鲃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软鳍金线鲃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曲靖金线鲃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犀角金线鲃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瓦状角金线鲃；云南省级重点保护鱼类1种，为暗色唇鱼；《中国生物多样性红色名录》（2021）中的濒危（EN）</w:t>
      </w:r>
      <w:r>
        <w:rPr>
          <w:rFonts w:hint="default" w:ascii="Times New Roman" w:hAnsi="Times New Roman" w:cs="Times New Roman"/>
          <w:color w:val="auto"/>
          <w:highlight w:val="none"/>
          <w:lang w:val="en-US" w:eastAsia="zh-CN"/>
        </w:rPr>
        <w:t>6</w:t>
      </w:r>
      <w:r>
        <w:rPr>
          <w:rFonts w:hint="default" w:ascii="Times New Roman" w:hAnsi="Times New Roman" w:cs="Times New Roman"/>
          <w:color w:val="auto"/>
          <w:highlight w:val="none"/>
        </w:rPr>
        <w:t>种，为细头鳅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小高原鳅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长尾白鱼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斑白鱼</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侧条金线鲃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长尾鮡；易危（VU）种类</w:t>
      </w:r>
      <w:r>
        <w:rPr>
          <w:rFonts w:hint="default" w:ascii="Times New Roman" w:hAnsi="Times New Roman" w:cs="Times New Roman"/>
          <w:color w:val="auto"/>
          <w:highlight w:val="none"/>
          <w:lang w:val="en-US" w:eastAsia="zh-CN"/>
        </w:rPr>
        <w:t>17</w:t>
      </w:r>
      <w:r>
        <w:rPr>
          <w:rFonts w:hint="default" w:ascii="Times New Roman" w:hAnsi="Times New Roman" w:cs="Times New Roman"/>
          <w:color w:val="auto"/>
          <w:highlight w:val="none"/>
        </w:rPr>
        <w:t>种，为长须爬鳅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大鳍间吸鳅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大眼间吸鳅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长背云南鳅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南盘江云南鳅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黑体云南鳅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沼泽云南鳅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寡鳞荷马条鳅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大斑高原鳅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南盘江高原鳅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云南高原鳅</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罗平金线鲃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陆良金线鲃软鳍金线鲃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曲靖金线鲃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犀角金线鲃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瓦状角金线鲃；</w:t>
      </w:r>
      <w:r>
        <w:rPr>
          <w:rFonts w:hint="default" w:ascii="Times New Roman" w:hAnsi="Times New Roman" w:cs="Times New Roman"/>
          <w:color w:val="auto"/>
          <w:highlight w:val="none"/>
          <w:lang w:val="en-US" w:eastAsia="zh-CN"/>
        </w:rPr>
        <w:t>特有鱼类五洛河盘鲮、多依河白鱼</w:t>
      </w:r>
      <w:r>
        <w:rPr>
          <w:rFonts w:hint="default" w:ascii="Times New Roman" w:hAnsi="Times New Roman" w:cs="Times New Roman"/>
          <w:color w:val="auto"/>
          <w:highlight w:val="none"/>
        </w:rPr>
        <w:t>。</w:t>
      </w:r>
    </w:p>
    <w:p w14:paraId="1887EF9B">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金线鲃</w:t>
      </w:r>
      <w:r>
        <w:rPr>
          <w:rFonts w:hint="default" w:ascii="Times New Roman" w:hAnsi="Times New Roman" w:cs="Times New Roman"/>
          <w:color w:val="auto"/>
          <w:highlight w:val="none"/>
          <w:lang w:val="en-US" w:eastAsia="zh-CN"/>
        </w:rPr>
        <w:t>属鱼类</w:t>
      </w:r>
      <w:r>
        <w:rPr>
          <w:rFonts w:hint="default" w:ascii="Times New Roman" w:hAnsi="Times New Roman" w:cs="Times New Roman"/>
          <w:color w:val="auto"/>
          <w:highlight w:val="none"/>
        </w:rPr>
        <w:t>季节性洞穴鱼类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主要栖息于评价区附近的龙潭</w:t>
      </w:r>
      <w:r>
        <w:rPr>
          <w:rFonts w:hint="default" w:ascii="Times New Roman" w:hAnsi="Times New Roman" w:cs="Times New Roman"/>
          <w:color w:val="auto"/>
          <w:highlight w:val="none"/>
          <w:lang w:val="en-US" w:eastAsia="zh-CN"/>
        </w:rPr>
        <w:t>和地下河</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在</w:t>
      </w:r>
      <w:r>
        <w:rPr>
          <w:rFonts w:hint="default" w:ascii="Times New Roman" w:hAnsi="Times New Roman" w:cs="Times New Roman"/>
          <w:color w:val="auto"/>
          <w:highlight w:val="none"/>
        </w:rPr>
        <w:t>规划范围内的龙潭及地下水系中有一定的资源量</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繁殖季节集中在浅水区或泉水溶洞中产卵孵化；规划实施后，不会对金线鲃属鱼类造成明显的阻隔作用，在工程运行期可能造成地下水位小幅波动，若引水取水设施设置不当，会导致部分洞穴浅水出水段水量减少，直接压缩金线鲃产卵孵化所需活动空间。但通过优化工程取水方案、明确限制规划作业范围，可将该类影响控制在可接受水平，不会威胁金线鲃属鱼类在规划范围内的种群稳定。</w:t>
      </w:r>
    </w:p>
    <w:p w14:paraId="4BA3C4A0">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对于区域特有鱼种五洛河盘鲮、多依河白鱼以及暗色唇鱼等鱼类，在对应河段上未新建拦河闸坝等工程，不会河道连通性造成不利影响，规划河湖生态保护修复工程对鱼类生境有一定改善作用，因此，规划的实施对其种群整体生存的影响程度有限。</w:t>
      </w:r>
    </w:p>
    <w:p w14:paraId="2C48AEC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长背云南鳅、南盘江云南鳅、长须爬鳅等鱼类主要分布于支流流水生境，细头鳅、长尾鮡等鱼类为区域偶见种，规划工程主要影响水文情势和生境质量，在充分保障生态流量下泄，定期进行资源补充的保护措施落实的前提下，规划的实施对以上重点鱼类影响在接受范围内。</w:t>
      </w:r>
    </w:p>
    <w:p w14:paraId="24DA9AE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下阶段环评将重点调查以上鱼类的种群数量和范围，进一步明确工程对以上重点鱼类的影响。整体上，规划实施将对工程所在的</w:t>
      </w:r>
      <w:r>
        <w:rPr>
          <w:rFonts w:hint="default" w:ascii="Times New Roman" w:hAnsi="Times New Roman" w:cs="Times New Roman"/>
          <w:color w:val="auto"/>
          <w:highlight w:val="none"/>
          <w:lang w:val="en-US" w:eastAsia="zh-CN"/>
        </w:rPr>
        <w:t>黄泥河</w:t>
      </w:r>
      <w:r>
        <w:rPr>
          <w:rFonts w:hint="default" w:ascii="Times New Roman" w:hAnsi="Times New Roman" w:cs="Times New Roman"/>
          <w:color w:val="auto"/>
          <w:highlight w:val="none"/>
        </w:rPr>
        <w:t>等河段鱼类栖息地、鱼类种类数量等方面产生一定不利影响，通过生态流量下放、加强生态监测等减缓措施的落实，至规划水平年，对重要保护水生生物数量产生影响将会逐渐降低，对整个流域鱼类资源影响不大。</w:t>
      </w:r>
    </w:p>
    <w:p w14:paraId="71762B5E">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对水生生态的累积性影响</w:t>
      </w:r>
    </w:p>
    <w:p w14:paraId="5D6ABAF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工程</w:t>
      </w:r>
      <w:r>
        <w:rPr>
          <w:rFonts w:hint="default" w:ascii="Times New Roman" w:hAnsi="Times New Roman" w:cs="Times New Roman"/>
          <w:color w:val="auto"/>
          <w:highlight w:val="none"/>
          <w:lang w:val="en-US" w:eastAsia="zh-CN"/>
        </w:rPr>
        <w:t>规划的新建</w:t>
      </w:r>
      <w:r>
        <w:rPr>
          <w:rFonts w:hint="default" w:ascii="Times New Roman" w:hAnsi="Times New Roman" w:cs="Times New Roman"/>
          <w:color w:val="auto"/>
          <w:highlight w:val="none"/>
        </w:rPr>
        <w:t>大坝建成蓄水后，原有天然连通河道被人工阻隔，河段水动力条件发生根本性改变，水流流速显著减缓、水体扰动减弱，水体泥沙沉降效果提升，进而导致水体透明度持续增大。水环境因子的累积变化，将驱动河道原有水生生态系统发生变化，工程建设前河道为典型的天然河流生态系统，水体物质循环与能量流动主要依托底栖附着生物完成，形成以异养代谢为主的</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河流型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生态体系；蓄水后库区水域生境趋于静水化、稳定化，水体光照条件改善，为浮游生物繁育提供了有利条件，生态体系逐步向以浮游生物为核心自养代谢为主的</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湖</w:t>
      </w:r>
      <w:r>
        <w:rPr>
          <w:rFonts w:hint="default" w:ascii="Times New Roman" w:hAnsi="Times New Roman" w:cs="Times New Roman"/>
          <w:color w:val="auto"/>
          <w:highlight w:val="none"/>
          <w:lang w:val="en-US" w:eastAsia="zh-CN"/>
        </w:rPr>
        <w:t>泊</w:t>
      </w:r>
      <w:r>
        <w:rPr>
          <w:rFonts w:hint="default" w:ascii="Times New Roman" w:hAnsi="Times New Roman" w:cs="Times New Roman"/>
          <w:color w:val="auto"/>
          <w:highlight w:val="none"/>
        </w:rPr>
        <w:t>型</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静水生态体系演替，完成河流型到湖泊型生态系统的结构性转换。</w:t>
      </w:r>
    </w:p>
    <w:p w14:paraId="6293A5D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受生态系统生境条件持续改变的累积作用，河道鱼类群落结构将产生适应性演替。原有天然河道以急流、浅滩等生境特征为主，分布有大量适应流水环境的土著鱼类，其觅食、栖息、繁殖行为均依托天然流水条件。工程蓄水形成库区后，急流水生境基本消失，流水型鱼类适宜生境大幅缩减，该类鱼类在库区范围内的种群数量、物种丰富度将逐步递减；而库区库湾、湖岸带等静水水域面积持续扩大，生境稳定性显著提升，为静水型鱼类提供了优良的繁育、栖息环境，静水型鱼类将逐步占据生态优势，成为库区水域主要优势种群，河道鱼类群落结构整体发生改变。</w:t>
      </w:r>
    </w:p>
    <w:p w14:paraId="5A6AE3B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从生态演替规律来看，随着工程运行时间推移，水生生物群落将依托改变后的水文、水环境及生境条件，经过长期自然选择、群落演替与资源重新分配，逐步适配库区静水生态环境，最终建立与新水域生境匹配的稳定生态结构，使区域水生生态系统达成新的动态平衡，生态系统整体可维持基本稳定的物质循环与能量流动。大坝人工阻隔彻底切断了河道鱼类上下迁徙、索饵、繁殖的天然通道，阻断了河道鱼类种群间的基因交流，易造成区域鱼类种群隔离、种群规模缩减，长期累积将降低鱼类种群活力，提升近亲繁殖发生概率，存在导致区域鱼类遗传多样性降低的潜在风险。但结合现状生态调查资料分析，工程所在河道现状水域内几乎无洄游性鱼类分布，河道鱼类多为定居性种类，无长距离迁徙习性，因此大坝阻隔引发的基因交流阻断、洄游阻隔等不利影响实际作用范围有限、影响程度较弱，未形成显著生态负面影响。</w:t>
      </w:r>
    </w:p>
    <w:p w14:paraId="5AD7F2AF">
      <w:pPr>
        <w:ind w:firstLine="480"/>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rPr>
        <w:t>对于整个流域而言，由于规划工程所在河道受水文情势影响的河段仅占一小部分水域，阻隔影响也仅限于规划水库所在河道，因此对鱼类的影响仅限于局部地区种类分布及数量的改变，并不会改变整个流域鱼类的区系及生活史，在做好生态流量下放等环保措施的前提下，规划的实施对整个鱼类的累积性影响并不明显。</w:t>
      </w:r>
    </w:p>
    <w:p w14:paraId="23E33C73">
      <w:pPr>
        <w:pStyle w:val="3"/>
        <w:numPr>
          <w:ilvl w:val="1"/>
          <w:numId w:val="4"/>
        </w:numPr>
        <w:spacing w:before="374" w:after="249"/>
        <w:rPr>
          <w:rFonts w:hint="default" w:ascii="Times New Roman" w:hAnsi="Times New Roman" w:eastAsia="宋体" w:cs="Times New Roman"/>
          <w:color w:val="auto"/>
          <w:highlight w:val="none"/>
        </w:rPr>
      </w:pPr>
      <w:bookmarkStart w:id="113" w:name="_Toc15596"/>
      <w:bookmarkStart w:id="114" w:name="OLE_LINK5"/>
      <w:bookmarkStart w:id="115" w:name="OLE_LINK7"/>
      <w:r>
        <w:rPr>
          <w:rFonts w:hint="default" w:ascii="Times New Roman" w:hAnsi="Times New Roman" w:eastAsia="宋体" w:cs="Times New Roman"/>
          <w:color w:val="auto"/>
          <w:highlight w:val="none"/>
        </w:rPr>
        <w:t>对环境敏感区的影响</w:t>
      </w:r>
      <w:bookmarkEnd w:id="113"/>
    </w:p>
    <w:bookmarkEnd w:id="114"/>
    <w:bookmarkEnd w:id="115"/>
    <w:p w14:paraId="775359BE">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对自然保护区的影响</w:t>
      </w:r>
    </w:p>
    <w:p w14:paraId="3EC297A0">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工程实施对自然保护区的影响主要体现在施工期占地及施工活动对自然保护地的占用与扰动。施工过程中产生的地表开挖、工程占地等活动，将破坏自然保护区内森林植被及野生动植物资源，对主要保护对象及生态功能造成一定影响。此外，施工废水若不经处理直接排放，势必对水域水质造成污染影响；施工机械噪声和运输车辆亦会对保护地内野生动物造成噪声惊扰影响；车辆运输产生的废气和扬尘对区域环境空气质量造成污染；施工产生的建筑垃圾和生活垃圾，若随意丢弃会造成保护区内生态环境的污染。</w:t>
      </w:r>
    </w:p>
    <w:p w14:paraId="737BD44C">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根据规划重点拟建工程与现状自然保护区范围叠图分析，云南省南盘江（珠江源头）生态保护修复工程涉及珠江源省级自然保护区实验区。</w:t>
      </w:r>
    </w:p>
    <w:p w14:paraId="1799FCF7">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根据现阶段自然保护地整合优化成果查询，规划重点拟建工程不涉及自然保护区。</w:t>
      </w:r>
    </w:p>
    <w:p w14:paraId="4876CF18">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南盘江（珠江源头）生态保护修复工程属于生态保护修复工程，涉及珠江源省级自然保护区的建设内容为已建水库防渗、生态流量下放及地形地貌、河道保护修复，新增占地面积有限，且不涉及自然保护区核心区、缓冲区等禁止建设区域。工程均位于珠江源省级自然保护区边缘，区域人为活动相对频繁，根据资料及现场初步调查，工程涉及自然保护地区域的生境类型主要为阔叶林、针叶林及河库水生生境，生境内物种以当地常见物种为主，在自然保护区内乃至周边地区均有广泛分布。在做好节约集约用地工作、加强施工管理、落实环评水保措施的前提下，规划工程实施对自然保护区生态系统完整性、生物多样性、森林植被、野生动植物资源带来的影响总体是可控的。</w:t>
      </w:r>
    </w:p>
    <w:p w14:paraId="6ACBCB74">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对风景名胜区的影响</w:t>
      </w:r>
    </w:p>
    <w:p w14:paraId="482D7210">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规划工程实施对风景名胜区的影响主要体现在施工期占地及施工活动对风景名胜区的占用与扰动，对风景名胜区的资源生态和景观环境造成一定影响。</w:t>
      </w:r>
    </w:p>
    <w:p w14:paraId="702C0FA6">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工程施工将破坏地表植被，影响风景名胜区视觉景观，工程实施过程中产生的施工废水、生活污水未经达标处理，排入风景名胜区水域内，势必给风景名胜区水域水质造成污染影响；施工期机械运行和车辆运输将产生噪声污染，对风景名胜区内的野生动物也将受到噪声的惊扰影响；运输车辆产生的尾气、扬尘等将污染空气环境质量；建筑垃圾和生活垃圾的随意堆放亦对风景名胜区内的生态环境造成不利影响，生活垃圾的长时间堆放，将滋生蚊虫，增加疾病传播的几率，对人群健康亦造成不利影响。</w:t>
      </w:r>
    </w:p>
    <w:p w14:paraId="7E960C51">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根据规划重点拟建工程与现状自然保护区范围叠图分析，云南省南盘江（珠江源头）生态保护修复工程涉及珠江源风景名胜区一般控制区、沾马灌区工程涉及马龙马过河风景名胜区一般控制区。</w:t>
      </w:r>
    </w:p>
    <w:p w14:paraId="0C853A4A">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现阶段自然保护地整合优化成果查询，规划重点拟建工程中云南省南盘江（珠江源头）生态保护修复工程涉及云南沾益珠江源风景名胜区一般控制区，沾马灌区工程涉及云南马龙马过河风景名胜区一般控制区，罗师灌区工程涉及云南师宗南丹山风景名胜区一般控制区、云南罗平多依河-鲁布革风景名胜区一般控制区。</w:t>
      </w:r>
    </w:p>
    <w:p w14:paraId="341FA43A">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规划云南省南盘江（珠江源头）生态保护修复工程为生态保护修复工程，不在景区内开山、采石，不在景区内修建储存爆炸性、易燃性、放射性、毒害性、腐蚀性物品的设施；不在风景名胜区内设立各类开发区，不属于《风景名胜区条例》禁止的项目和活动。规划工程不建设污染环境、破坏资源或者景观的生产设施；采取有效保护措施后，不会在风景名胜区内排放污染物，工程对风景名胜区内水资源、水环境自然状态及景观有一定影响。</w:t>
      </w:r>
    </w:p>
    <w:p w14:paraId="195D696A">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本项目珠江源出水口地形地貌修复工程位于核心景点，工程施工期势必会对景观资源带来明显的影响。由于本项目位于风景名胜区内的生态修复内容具有其必要性，滴水湖水库、高山水库、大冲水库均为已建水库，地形地貌修复区域及保护修复南盘江干支流河段均根据实际保护治理需求提出，保护修复位置不具有人为选择性，施工生产生活区、料场、渣场均已避让自然保护地范围，而主体工程及配套施工条带、进场道路难以完全避让，工程实施对景观资源的影响难以避免。</w:t>
      </w:r>
    </w:p>
    <w:p w14:paraId="45AEE60B">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现阶段已初步征求珠江源风景名胜区主管部门意见，项目实施前应按照法律法规要求开展专题论证，施工期严格落实各专题报告及审查审批文件提出的措施及要求，在此基础上，工程对风景名胜区的影响在可控范围内。目前，本项目已申请纳入《云南沾益珠江源省级风景名胜区总体规划（2026-2045年）》。</w:t>
      </w:r>
    </w:p>
    <w:p w14:paraId="66472F9A">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规划沾马灌区工程涉及马过河风景名胜区一般控制区，规划输水线路穿越风景名胜区范围边界。本项目属于《风景名胜区条例》禁止范围以外的建设活动，涉及风景名胜区范围的建设内容主要为线性工程，占地范围呈狭长型，施工期较短，在做好节约集约用地工作、加强施工管理、落实相关专题提出的措施的前提下，对风景名胜区的影响总体可控。</w:t>
      </w:r>
    </w:p>
    <w:p w14:paraId="32509C64">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（3）规划罗师灌区工程涉及南丹山风景名胜区一般控制区，规划输水线路局部压占风景名胜区边缘，对风景名胜区的影响较小。下阶段应进一步优化工程布置，尽可能避让风景名胜区范围。</w:t>
      </w:r>
    </w:p>
    <w:p w14:paraId="093A9BA4">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（4）规划罗师灌区工程涉及</w:t>
      </w:r>
      <w:r>
        <w:rPr>
          <w:rFonts w:hint="default" w:ascii="Times New Roman" w:hAnsi="Times New Roman" w:cs="Times New Roman"/>
          <w:color w:val="auto"/>
          <w:highlight w:val="none"/>
        </w:rPr>
        <w:t>多依河-鲁布革风景名胜区一般控制区</w:t>
      </w:r>
      <w:r>
        <w:rPr>
          <w:rFonts w:hint="default" w:ascii="Times New Roman" w:hAnsi="Times New Roman" w:cs="Times New Roman"/>
          <w:color w:val="auto"/>
          <w:highlight w:val="none"/>
          <w:lang w:val="en-US" w:eastAsia="zh-CN"/>
        </w:rPr>
        <w:t>，规划输水线路局部压占风景名胜区边缘，影响较小。</w:t>
      </w:r>
    </w:p>
    <w:p w14:paraId="76F02D86">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对森林公园的影响</w:t>
      </w:r>
    </w:p>
    <w:p w14:paraId="34412982">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工程实施对森林公园的影响主要体现在施工期工程征占地、施工活动对森林生态、景观资源的影响。施工期工程永久征地、临时占地会直接占用林地，砍伐、压占森林植被，造成原生森林群落局部破坏。若涉及公益林、珍稀植物集中分布区，会直接导致物种个体损失。施工机械噪声、震动、人员活动会惊扰兽类、鸟类，迫使动物迁移；工程切割山林，阻断动物迁移、觅食通道。施工开挖产生泥沙，雨水冲刷携带悬浮物进入森林公园内溪流，破坏河道水生环境；施工生产废水、生活污水若管控不当，会污染林区水体；弃渣无序堆放、边坡开挖，增大滑坡、泥石流风险，威胁林区山体安全。施工场地、临时设施破坏森林公园自然景观风貌；外来施工人员进入林区，增大森林火灾风险，人为干扰公园原有管护、游憩秩序。</w:t>
      </w:r>
    </w:p>
    <w:p w14:paraId="451B6959">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根据规划重点拟建工程与现状自然保护区范围叠图分析，云南省南盘江（珠江源头）生态保护修复工程涉及云南珠江源国家森林公园。</w:t>
      </w:r>
    </w:p>
    <w:p w14:paraId="5EF730CC">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现阶段自然保护地整合优化成果查询，规划重点拟建工程中云南省南盘江（珠江源头）生态保护修复工程不再涉及云南珠江源国家森林公园，沾马灌区工程涉及云南马龙黄草坪森林公园一般控制区，罗师灌区工程涉及云南罗平九龙森林公园一般控制区。</w:t>
      </w:r>
    </w:p>
    <w:p w14:paraId="39E2C36E">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规划云南省南盘江（珠江源头）生态保护修复工程为生态保护修复工程，不属于《国家级自然公园管理办法（试行）》中自然公园禁止建设类项目。本项目珠江源出水口地形地貌修复工程位于核心景点，工程施工期势必会对景观资源带来明显的影响。由于本项目位于森林公园内的生态修复内容具有其必要性和不可避让性，工程实施对森林公园的影响难以完全避免。现阶段已初步征求云南珠江源国家森林公园主管部门意见，项目实施前应按照法律法规要求开展专题论证工作，施工期严格落实各专题报告及审查审批文件提出的措施及要求，在此基础上，工程对森林公园的影响在可控范围内。</w:t>
      </w:r>
    </w:p>
    <w:p w14:paraId="065B120A">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规划沾马灌区工程涉及黄草坪地方级森林公园一般控制区，规划输水线路穿越森林公园范围边缘。本项目涉及森林公园范围的建设内容主要为线性输水管道，施工期在严格落实废污水收集处理、固体废弃物防治等环保措施的基础上，不涉及《云南省省级自然公园管理办法》中禁止活动。总体来看，规划工程涉及森林公园边缘，占地范围呈狭长型，施工期较短，在做好节约集约用地工作、加强施工管理、落实相关专题提出的措施的前提下，对森林公园的影响较小。</w:t>
      </w:r>
    </w:p>
    <w:p w14:paraId="7AF60A60">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对湿地公园的影响</w:t>
      </w:r>
    </w:p>
    <w:p w14:paraId="23955EF1">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根据现阶段自然保护地整合优化成果查询，规划重点拟建工程中罗师灌区工程涉及云南师宗丹凤湿地公园一般控制区，涉及湿地公园的工程内容主要为九龙河-小务龙连通工程部分输水管线、小务龙水库部分施工道路。</w:t>
      </w:r>
    </w:p>
    <w:p w14:paraId="0DC30475">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湿地公园湿地资源丰富，涵盖了河流和库塘等多种湿地生态系统。根据现阶段工程规划成果来看，罗师灌区工程以占用湿地公园陆域为主，对湿地资源影响有限。施工期在切实严格落实污染防治、生态保护、水土保持、环境风险防范等环保对策措施后，工程实施对湿地公园产生的不利环境影响将得到有效减免或降低。</w:t>
      </w:r>
    </w:p>
    <w:p w14:paraId="1C072237">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对生态保护红线的影响</w:t>
      </w:r>
    </w:p>
    <w:p w14:paraId="19B27BBE">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规划工程占用到水土保持类型生态保护红线，将造成区域生态保护红线面积有所减少。规划工程实施过程中地表扰动与施工活动，将造成工程区植被的破坏，区域植被覆盖度下降，影响区域水土保持与水源涵养能力。从规划范围来看，工程占用生态红线的面积占区域内划定红线面积比例较小，在落实环评水保等措施的基础上，不会对区域生态保护红线的主导功能造成显著影响。</w:t>
      </w:r>
    </w:p>
    <w:p w14:paraId="78F19F2E">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对水源保护区的影响</w:t>
      </w:r>
    </w:p>
    <w:p w14:paraId="13A10D5D">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施工期地表扰动将破坏工程区植被，可能造成局部区域水土流失；施工产生的废污水、固废，若不经处理直接排放或不及时运走，将对水域水质造成污染影响。在加强工程施工期管理、废水处理达标后全部回用、合理处置固体废弃物等措施的前提下，对饮用水水源保护区水质的影响将得到减免；在采取水土保持措施后，施工开挖对地表的扰动影响可以得到控制；施工结束后随着植被恢复措施的落实，扰动区域内植被的水源涵养能力可以得到逐步恢复。</w:t>
      </w:r>
    </w:p>
    <w:p w14:paraId="512D2AB0">
      <w:pPr>
        <w:pStyle w:val="3"/>
        <w:numPr>
          <w:ilvl w:val="1"/>
          <w:numId w:val="4"/>
        </w:numPr>
        <w:spacing w:before="374" w:after="249"/>
        <w:rPr>
          <w:rFonts w:hint="default" w:ascii="Times New Roman" w:hAnsi="Times New Roman" w:eastAsia="宋体" w:cs="Times New Roman"/>
          <w:color w:val="auto"/>
          <w:highlight w:val="none"/>
        </w:rPr>
      </w:pPr>
      <w:bookmarkStart w:id="116" w:name="_Toc1340"/>
      <w:bookmarkStart w:id="117" w:name="OLE_LINK8"/>
      <w:bookmarkStart w:id="118" w:name="OLE_LINK9"/>
      <w:r>
        <w:rPr>
          <w:rFonts w:hint="default" w:ascii="Times New Roman" w:hAnsi="Times New Roman" w:eastAsia="宋体" w:cs="Times New Roman"/>
          <w:color w:val="auto"/>
          <w:highlight w:val="none"/>
        </w:rPr>
        <w:t>对社会环境的影响</w:t>
      </w:r>
      <w:bookmarkEnd w:id="116"/>
    </w:p>
    <w:bookmarkEnd w:id="117"/>
    <w:bookmarkEnd w:id="118"/>
    <w:p w14:paraId="10EC0768">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防洪减灾</w:t>
      </w:r>
    </w:p>
    <w:p w14:paraId="6152378F">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南盘江（曲靖市境内）现状已初步形成堤库结合、蓄泄兼施的防洪工程体系，但汛期暴雨集中、汇流迅速，坝区河道受桥梁阻水、行洪通道受限影响，泄洪能力难以适配发展需求。通过流域综合规划防洪体系工程建设，包括南盘江干流麒麟区、沾益区、陆良县境内10个重点河段（治理河长约127.88km）的治理，县城及以上驻地麒麟、沾益、陆良、富源、师宗、罗平城区6件城市防洪排涝项目的实施，为城市人民生命财产安全、社会经济的可持续发展，提供坚实的安全保障。通过主要支流黄泥河、甸溪河12个重点河段（治理河长约119.91km）的治理，19条中小河流43个河段（治理河长约382.89km）的治理，</w:t>
      </w:r>
      <w:r>
        <w:rPr>
          <w:rFonts w:hint="default" w:ascii="Times New Roman" w:hAnsi="Times New Roman" w:cs="Times New Roman"/>
          <w:color w:val="auto"/>
          <w:highlight w:val="none"/>
          <w:lang w:val="en-US" w:eastAsia="zh-CN"/>
        </w:rPr>
        <w:t>可</w:t>
      </w:r>
      <w:r>
        <w:rPr>
          <w:rFonts w:hint="default" w:ascii="Times New Roman" w:hAnsi="Times New Roman" w:eastAsia="宋体" w:cs="Times New Roman"/>
          <w:color w:val="auto"/>
          <w:highlight w:val="none"/>
          <w:lang w:val="en-US" w:eastAsia="zh-CN"/>
        </w:rPr>
        <w:t>提高河道两岸集镇、耕地集中区抵御洪涝灾害的能力。通过对南盘江流域150条山洪沟进行治理，可全面提升流域防灾减灾能力，减轻山洪灾害损失，保护下游居民和耕地。通过对242件病险水库进行除险加固，49件病险水闸进行改造及对86座水库的安全改造提升，消除工程运行安全隐患。</w:t>
      </w:r>
    </w:p>
    <w:p w14:paraId="09F5816C">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综上所述，规划项目实施后，可</w:t>
      </w:r>
      <w:r>
        <w:rPr>
          <w:rFonts w:hint="default" w:ascii="Times New Roman" w:hAnsi="Times New Roman" w:eastAsia="宋体" w:cs="Times New Roman"/>
          <w:color w:val="auto"/>
          <w:highlight w:val="none"/>
          <w:lang w:val="en-US" w:eastAsia="zh-CN"/>
        </w:rPr>
        <w:t>有效降低区域内干旱洪涝灾害发生的频率，在很大程度上减少干旱洪涝灾害带来的损失，增强人民群众的幸福感</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对促进区域和城乡协调发展具有重要作用。</w:t>
      </w:r>
    </w:p>
    <w:p w14:paraId="020901EA">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供水安全</w:t>
      </w:r>
    </w:p>
    <w:p w14:paraId="58FCC16F">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南盘江流域水资源禀赋先天不足，水资源高效配置体系尚未形成，多数工程分散布局，彼此之间水力联系薄弱，缺乏系统性联合调度机制，水资源整体调配能力和抗风险韧性不足，资源性缺水与工程性缺水相互交织，城乡供水安全与农业灌溉保障均面临较大压力。通过流域综合规划水资源综合利用工程的建设，包括龙潭河、下河沿、小撒卜龙扩建、补木等中型水库续建，沙厂、小务龙水库扩建工程充分挖掘现有工程潜力；实施曲靖大型灌区续建配套与现代化改造，推进罗师、富源等新建大型灌区工程，韭菜坪、张安屯等中型灌区续建配套与现代化改造，青龙大冲、吃水坝等新建中型灌区项目，提高农灌供水保障率；统筹蓄引提调，推进牛栏江德泽水库引水济曲、曲靖市中心城区供水保障提升引连调水等重大引调水工程，构建互联互通的水网体系，实施引水入陆、罗平县阿岗水库至龙王庙水库引调水等区域水资源配置工程，提升重点区域供水保障能力，为流域经济社会高质量发展提供坚实水利支撑。</w:t>
      </w:r>
    </w:p>
    <w:p w14:paraId="107EBBF6">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综上所述，规划项目实施后可大幅度提高城乡饮水安全保障程度，基本保障城镇生活、生产用水，重要城镇应急水源储备能力明显</w:t>
      </w:r>
      <w:r>
        <w:rPr>
          <w:rFonts w:hint="default" w:ascii="Times New Roman" w:hAnsi="Times New Roman" w:cs="Times New Roman"/>
          <w:color w:val="auto"/>
          <w:highlight w:val="none"/>
          <w:lang w:val="en-US" w:eastAsia="zh-CN"/>
        </w:rPr>
        <w:t>增强</w:t>
      </w:r>
      <w:r>
        <w:rPr>
          <w:rFonts w:hint="default" w:ascii="Times New Roman" w:hAnsi="Times New Roman" w:eastAsia="宋体" w:cs="Times New Roman"/>
          <w:color w:val="auto"/>
          <w:highlight w:val="none"/>
          <w:lang w:val="en-US" w:eastAsia="zh-CN"/>
        </w:rPr>
        <w:t>，城乡供水保证率有较大提高，增强人民群众的安全感；耕园地有效灌溉面积增加，有效灌溉率进一步提高，较大改善现有农田灌溉条件，基本保障新增农田灌溉面积的用水需求，为保障粮食安全创造良好条件，增强人民群众的获得感</w:t>
      </w:r>
      <w:r>
        <w:rPr>
          <w:rFonts w:hint="default" w:ascii="Times New Roman" w:hAnsi="Times New Roman" w:cs="Times New Roman"/>
          <w:color w:val="auto"/>
          <w:highlight w:val="none"/>
          <w:lang w:val="en-US" w:eastAsia="zh-CN"/>
        </w:rPr>
        <w:t>。</w:t>
      </w:r>
    </w:p>
    <w:p w14:paraId="06CB92D8">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生态安全</w:t>
      </w:r>
    </w:p>
    <w:p w14:paraId="1E7654B5">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南盘江流域现状仍存在部分河湖水域岸线保护力度不足、生态流量保障不足问题，流域内局部河道现状水质与水质保护目标仍有一定差距，部分断面水质仍存在较大波动，水生态系统保护治理机制也亟待完善</w:t>
      </w:r>
      <w:r>
        <w:rPr>
          <w:rFonts w:hint="default" w:ascii="Times New Roman" w:hAnsi="Times New Roman" w:eastAsia="宋体" w:cs="Times New Roman"/>
          <w:color w:val="auto"/>
          <w:highlight w:val="green"/>
          <w:lang w:val="en-US" w:eastAsia="zh-CN"/>
        </w:rPr>
        <w:t>。本次规划编制过程中，坚持生态优先、绿色发展要求，</w:t>
      </w:r>
      <w:r>
        <w:rPr>
          <w:rFonts w:hint="default" w:ascii="Times New Roman" w:hAnsi="Times New Roman" w:eastAsia="宋体" w:cs="Times New Roman"/>
          <w:color w:val="auto"/>
          <w:highlight w:val="none"/>
          <w:lang w:val="en-US" w:eastAsia="zh-CN"/>
        </w:rPr>
        <w:t>统筹协调了人与自然、河道内和河道外用水，严格按照可利用量控制水资源的开发，按水域纳污能力控制用水和排污，按基本生态用水控制断面流量，合理配置“三生”用水；协调了经济用水与生态环境用水，考虑了河道的最小生态用水要求，在促进经济发展的同时，河流生态状况得到明显改善；对地下水开采实行了严格的控制，使地下水采补基本达到平衡；注重城镇环境、湖泊湿地补水以及生态林草建设等生态建设用水，为生态环境建设提供水资源保障。规划重点推进潇湘江、多依河、黄泥河等主要干支流的水环境治理、水生态修复工程，完成饮用水水源地安全保障达标建设、入河排污口整治、河道岸线生态缓冲带建设。通过加大污水处理力度、提高污水处理回用量和生态修复等措施，可有效降低排入河湖的污染物量；通过流域综合规划河湖生态保护措施、水利管理措施的实施，逐步恢复河湖水体功能，改善河湖生态环境。</w:t>
      </w:r>
    </w:p>
    <w:p w14:paraId="116CA78A">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综上所述，规划实施后，除带来显著的经济效益、社会效益外，还将产生巨大的生态环境效益，促进人与自然的和谐发展。</w:t>
      </w:r>
    </w:p>
    <w:p w14:paraId="199FDFCE">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对民族文化的影响</w:t>
      </w:r>
    </w:p>
    <w:p w14:paraId="4B5A0B55">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曲靖是“爨文化”发源地，市域内有1处国家级历史文化名城、1处国家级历史文化名村、3处省级历史文化名镇名村、17个国家级传统村落及千余处不可移动文物。彝、回、苗、壮、布依、水、瑶族等世居少数民族主要聚居在师宗龙庆彝族壮族乡、五龙壮族乡、高良壮族苗族瑶族乡，罗平鲁布革布依族苗族乡、旧屋基彝族乡、长底布依族乡，富源古敢水族乡及会泽新街回族乡，少数民族人口约占全市总人口的8%左右，拥有爨文化、珠江源文化、铜商文化、古驿道文化、少数民族文化等丰富多元的历史文化特色。规划项目的实施，保障了少数</w:t>
      </w:r>
      <w:r>
        <w:rPr>
          <w:rFonts w:hint="eastAsia" w:cs="Times New Roman"/>
          <w:color w:val="auto"/>
          <w:highlight w:val="none"/>
          <w:lang w:val="en-US" w:eastAsia="zh-CN"/>
        </w:rPr>
        <w:t>民</w:t>
      </w:r>
      <w:r>
        <w:rPr>
          <w:rFonts w:hint="default" w:ascii="Times New Roman" w:hAnsi="Times New Roman" w:eastAsia="宋体" w:cs="Times New Roman"/>
          <w:color w:val="auto"/>
          <w:highlight w:val="none"/>
          <w:lang w:val="en-US" w:eastAsia="zh-CN"/>
        </w:rPr>
        <w:t>族地区饮水安全，稳定了农业生产，筑牢了民生底线，同时小流域综合治理、水生态保护修复工程的实施，提升水源涵养能力，提升民族乡水生态安全保障水平，以水为媒，将水文化传承与民族团结进步创建深度融合，挖掘民族水文化资源，建设水文化阵地，让水文化成为铸牢中华民族共同体意识的重要载体。</w:t>
      </w:r>
    </w:p>
    <w:p w14:paraId="667741D4">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移民安置影响</w:t>
      </w:r>
    </w:p>
    <w:p w14:paraId="43EA5872">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zh-CN" w:eastAsia="zh-CN"/>
        </w:rPr>
        <w:t>规划实施后，工程征占地和水库淹没将永久占用土地，</w:t>
      </w:r>
      <w:r>
        <w:rPr>
          <w:rFonts w:hint="default" w:ascii="Times New Roman" w:hAnsi="Times New Roman" w:eastAsia="宋体" w:cs="Times New Roman"/>
          <w:color w:val="auto"/>
          <w:highlight w:val="none"/>
          <w:lang w:val="en-US" w:eastAsia="zh-CN"/>
        </w:rPr>
        <w:t>一方面使占用和淹没的土地失去其原有生产使用功能，造成农民生产资料的损失，必须采取生产安置。另一方面，因占用和淹没使农民失去其居住房屋的土地，造成农民生活资料的损失，必须采取搬迁安置。随着移民安置的实施，不可避免会对安置人员的生产生活条件造成一定影响。搬迁安置后，移民不得不适应新的环境，包括安置点的自然环境，以及民族、宗教、文化、社区等社会环境。因划拨新的土地，移民须重新进行开垦，种植的农产品可能与原所在地种植农产品可能会不同。同时，新开垦的土壤肥力不足，初期可能造成农作物质量、产量的降低，造成移民生活质量的降低。安置人员已适应其原居住地环境多年，若安置移民不能较快融入到安置区新的民族、宗教、文化环境，可能带来一些民族、文化矛盾、冲突，造成社会不稳定因素，影响民族团结和边疆稳定。同时，由于安置移民的迁入，可能带来新的民族、宗教、文化，对安置区也将产生新的影响。安置移民若不能适应新的安置环境，可能重新回到原来的居住地或另寻其他地区，规模较大造成人口流动，可能带来新的疾病或文化思想，从而对这些区域带来新的影响。随着规划的实施，供水条件的改善，灌区的建设等，安置人员的生产生活水平也将得到逐步提高，移民安置带来的不利影响会逐步减小</w:t>
      </w:r>
      <w:r>
        <w:rPr>
          <w:rFonts w:hint="default" w:ascii="Times New Roman" w:hAnsi="Times New Roman" w:cs="Times New Roman"/>
          <w:color w:val="auto"/>
          <w:highlight w:val="none"/>
          <w:lang w:val="en-US" w:eastAsia="zh-CN"/>
        </w:rPr>
        <w:t>。</w:t>
      </w:r>
    </w:p>
    <w:p w14:paraId="7E26042D">
      <w:pPr>
        <w:pStyle w:val="3"/>
        <w:numPr>
          <w:ilvl w:val="1"/>
          <w:numId w:val="4"/>
        </w:numPr>
        <w:spacing w:before="374" w:after="249"/>
        <w:rPr>
          <w:rFonts w:hint="default" w:ascii="Times New Roman" w:hAnsi="Times New Roman" w:eastAsia="宋体" w:cs="Times New Roman"/>
          <w:color w:val="auto"/>
          <w:highlight w:val="none"/>
        </w:rPr>
      </w:pPr>
      <w:bookmarkStart w:id="119" w:name="_Toc32617"/>
      <w:r>
        <w:rPr>
          <w:rFonts w:hint="default" w:ascii="Times New Roman" w:hAnsi="Times New Roman" w:cs="Times New Roman"/>
          <w:color w:val="auto"/>
          <w:highlight w:val="none"/>
        </w:rPr>
        <w:t>环境风险预测与评价</w:t>
      </w:r>
      <w:bookmarkEnd w:id="119"/>
    </w:p>
    <w:p w14:paraId="5A39CC57">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环境风险分析</w:t>
      </w:r>
    </w:p>
    <w:p w14:paraId="766102F7">
      <w:pPr>
        <w:pStyle w:val="4"/>
        <w:spacing w:line="360" w:lineRule="auto"/>
        <w:ind w:firstLine="480"/>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rPr>
        <w:t>根据规划的性质和内容，规划实施后主要的环境风险点为水环境。规划中的水源工程建成运行后，大部分工程均有生活供水任务，一旦发生风险事故，会对居民饮用水安全造成较大影响；新建水源工程会形成库区，部分水库可能存在富营养化风险；随着各行业供水量的增加，规划区退水量及污染负荷也会进一步增加，部分河流可能存在水质超标风险。</w:t>
      </w:r>
    </w:p>
    <w:p w14:paraId="02BBA403">
      <w:pPr>
        <w:pStyle w:val="4"/>
        <w:spacing w:line="360" w:lineRule="auto"/>
        <w:ind w:firstLine="480"/>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rPr>
        <w:t>（1）规划实施后，供水任务有城镇及农村生活供水功能。若输水管线发生破裂、损坏，以及危险化学品运输车辆穿越库区、水源点时等发生事故，可能造成有毒有害物质泄漏污染水体，对居民健康造成严重危害。根据国内同类水利工程运行管理情况，在加强库区及输水线路巡查管护，充分利用信息化技术手段，建立水质监测、预警系统，制定水质污染事故应急预案等措施后，可有效保障饮用水水质安全，降低水质风险。</w:t>
      </w:r>
    </w:p>
    <w:p w14:paraId="738FB851">
      <w:pPr>
        <w:pStyle w:val="4"/>
        <w:spacing w:line="360" w:lineRule="auto"/>
        <w:ind w:firstLine="480"/>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rPr>
        <w:t>（2）规划实施后，新建水库工程将形成库区，造成水流速度减慢，水体交换频率的降低，富营养化物质的增加，将可能使得库区发生富营养化风险。根据对规划水库径流区污染源现状初步调查并结合水质监测资料，各水库汇水区范围内无大型集中污染源，大部分水库所在河段现状水质总体良好。水库蓄水后，水文情势发生变化，对河流污染物迁移扩散的水动力条件产生显著影响，局部库区水质可能存在一定富营养化，但库区大范围出现富营养化的风险较低。</w:t>
      </w:r>
    </w:p>
    <w:p w14:paraId="6B9EE23A">
      <w:pPr>
        <w:pStyle w:val="4"/>
        <w:spacing w:line="360" w:lineRule="auto"/>
        <w:ind w:firstLine="480"/>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rPr>
        <w:t>（3）供水规划实施后，各类退水回归到</w:t>
      </w:r>
      <w:r>
        <w:rPr>
          <w:rFonts w:hint="default" w:ascii="Times New Roman" w:hAnsi="Times New Roman" w:cs="Times New Roman" w:eastAsiaTheme="minorEastAsia"/>
          <w:color w:val="auto"/>
          <w:kern w:val="0"/>
          <w:sz w:val="24"/>
          <w:highlight w:val="none"/>
          <w:lang w:val="en-US" w:eastAsia="zh-CN"/>
        </w:rPr>
        <w:t>南盘江干流</w:t>
      </w:r>
      <w:r>
        <w:rPr>
          <w:rFonts w:hint="default" w:ascii="Times New Roman" w:hAnsi="Times New Roman" w:cs="Times New Roman" w:eastAsiaTheme="minorEastAsia"/>
          <w:color w:val="auto"/>
          <w:kern w:val="0"/>
          <w:sz w:val="24"/>
          <w:highlight w:val="none"/>
        </w:rPr>
        <w:t>及支流中，退水量较大，会对受纳河流的水质产生影响。规划水平年产生的大量退水如果没有强有力的水污染措施，存在受纳河流水质超标的风险。</w:t>
      </w:r>
    </w:p>
    <w:p w14:paraId="4959C414">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生态风险分析</w:t>
      </w:r>
    </w:p>
    <w:p w14:paraId="13C41A98">
      <w:pPr>
        <w:pStyle w:val="4"/>
        <w:spacing w:line="360" w:lineRule="auto"/>
        <w:ind w:firstLine="480"/>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rPr>
        <w:t>（1）陆生生态</w:t>
      </w:r>
    </w:p>
    <w:p w14:paraId="653CFF33">
      <w:pPr>
        <w:pStyle w:val="4"/>
        <w:spacing w:line="360" w:lineRule="auto"/>
        <w:ind w:firstLine="480"/>
        <w:rPr>
          <w:rFonts w:hint="default" w:ascii="Times New Roman" w:hAnsi="Times New Roman" w:cs="Times New Roman" w:eastAsiaTheme="minorEastAsia"/>
          <w:color w:val="auto"/>
          <w:kern w:val="0"/>
          <w:sz w:val="24"/>
          <w:highlight w:val="none"/>
        </w:rPr>
      </w:pPr>
      <w:r>
        <w:rPr>
          <w:rFonts w:hint="default" w:ascii="Times New Roman" w:hAnsi="Times New Roman" w:cs="Times New Roman" w:eastAsiaTheme="minorEastAsia"/>
          <w:color w:val="auto"/>
          <w:kern w:val="0"/>
          <w:sz w:val="24"/>
          <w:highlight w:val="none"/>
        </w:rPr>
        <w:t>规划区</w:t>
      </w:r>
      <w:r>
        <w:rPr>
          <w:rFonts w:hint="default" w:ascii="Times New Roman" w:hAnsi="Times New Roman" w:cs="Times New Roman"/>
          <w:color w:val="auto"/>
          <w:highlight w:val="none"/>
        </w:rPr>
        <w:t>主要生态环境问题</w:t>
      </w:r>
      <w:r>
        <w:rPr>
          <w:rFonts w:hint="default" w:ascii="Times New Roman" w:hAnsi="Times New Roman" w:cs="Times New Roman"/>
          <w:color w:val="auto"/>
          <w:highlight w:val="none"/>
          <w:lang w:val="en-US" w:eastAsia="zh-CN"/>
        </w:rPr>
        <w:t>为</w:t>
      </w:r>
      <w:r>
        <w:rPr>
          <w:rFonts w:hint="default" w:ascii="Times New Roman" w:hAnsi="Times New Roman" w:cs="Times New Roman"/>
          <w:color w:val="auto"/>
          <w:highlight w:val="none"/>
        </w:rPr>
        <w:t>水土流失、石漠化、</w:t>
      </w:r>
      <w:r>
        <w:rPr>
          <w:rFonts w:hint="default" w:ascii="Times New Roman" w:hAnsi="Times New Roman" w:cs="Times New Roman"/>
          <w:color w:val="auto"/>
          <w:highlight w:val="none"/>
          <w:lang w:val="en-US" w:eastAsia="zh-CN"/>
        </w:rPr>
        <w:t>生态系统结构单一</w:t>
      </w:r>
      <w:r>
        <w:rPr>
          <w:rFonts w:hint="default" w:ascii="Times New Roman" w:hAnsi="Times New Roman" w:cs="Times New Roman"/>
          <w:color w:val="auto"/>
          <w:highlight w:val="none"/>
        </w:rPr>
        <w:t>，</w:t>
      </w:r>
      <w:r>
        <w:rPr>
          <w:rFonts w:hint="default" w:ascii="Times New Roman" w:hAnsi="Times New Roman" w:cs="Times New Roman" w:eastAsiaTheme="minorEastAsia"/>
          <w:color w:val="auto"/>
          <w:kern w:val="0"/>
          <w:sz w:val="24"/>
          <w:highlight w:val="none"/>
        </w:rPr>
        <w:t>规划</w:t>
      </w:r>
      <w:r>
        <w:rPr>
          <w:rFonts w:hint="default" w:ascii="Times New Roman" w:hAnsi="Times New Roman" w:cs="Times New Roman" w:eastAsiaTheme="minorEastAsia"/>
          <w:color w:val="auto"/>
          <w:kern w:val="0"/>
          <w:sz w:val="24"/>
          <w:highlight w:val="none"/>
          <w:lang w:val="en-US" w:eastAsia="zh-CN"/>
        </w:rPr>
        <w:t>重点</w:t>
      </w:r>
      <w:r>
        <w:rPr>
          <w:rFonts w:hint="default" w:ascii="Times New Roman" w:hAnsi="Times New Roman" w:cs="Times New Roman" w:eastAsiaTheme="minorEastAsia"/>
          <w:color w:val="auto"/>
          <w:kern w:val="0"/>
          <w:sz w:val="24"/>
          <w:highlight w:val="none"/>
        </w:rPr>
        <w:t>工程占地面积</w:t>
      </w:r>
      <w:r>
        <w:rPr>
          <w:rFonts w:hint="default" w:ascii="Times New Roman" w:hAnsi="Times New Roman" w:cs="Times New Roman" w:eastAsiaTheme="minorEastAsia"/>
          <w:color w:val="auto"/>
          <w:kern w:val="0"/>
          <w:sz w:val="24"/>
          <w:highlight w:val="none"/>
          <w:lang w:val="en-US" w:eastAsia="zh-CN"/>
        </w:rPr>
        <w:t>占</w:t>
      </w:r>
      <w:r>
        <w:rPr>
          <w:rFonts w:hint="default" w:ascii="Times New Roman" w:hAnsi="Times New Roman" w:cs="Times New Roman" w:eastAsiaTheme="minorEastAsia"/>
          <w:color w:val="auto"/>
          <w:kern w:val="0"/>
          <w:sz w:val="24"/>
          <w:highlight w:val="none"/>
        </w:rPr>
        <w:t>规划区面积</w:t>
      </w:r>
      <w:r>
        <w:rPr>
          <w:rFonts w:hint="default" w:ascii="Times New Roman" w:hAnsi="Times New Roman" w:cs="Times New Roman" w:eastAsiaTheme="minorEastAsia"/>
          <w:color w:val="auto"/>
          <w:kern w:val="0"/>
          <w:sz w:val="24"/>
          <w:highlight w:val="none"/>
          <w:lang w:val="en-US" w:eastAsia="zh-CN"/>
        </w:rPr>
        <w:t>比例甚微</w:t>
      </w:r>
      <w:r>
        <w:rPr>
          <w:rFonts w:hint="default" w:ascii="Times New Roman" w:hAnsi="Times New Roman" w:cs="Times New Roman" w:eastAsiaTheme="minorEastAsia"/>
          <w:color w:val="auto"/>
          <w:kern w:val="0"/>
          <w:sz w:val="24"/>
          <w:highlight w:val="none"/>
        </w:rPr>
        <w:t>，总体来看规划实施不会</w:t>
      </w:r>
      <w:r>
        <w:rPr>
          <w:rFonts w:hint="default" w:ascii="Times New Roman" w:hAnsi="Times New Roman" w:cs="Times New Roman" w:eastAsiaTheme="minorEastAsia"/>
          <w:color w:val="auto"/>
          <w:kern w:val="0"/>
          <w:sz w:val="24"/>
          <w:highlight w:val="none"/>
          <w:lang w:val="en-US" w:eastAsia="zh-CN"/>
        </w:rPr>
        <w:t>导致水土流失、石漠化等显著环境问题加重，规划工程主要出于河谷地区低海拔范围，规划实施不会</w:t>
      </w:r>
      <w:r>
        <w:rPr>
          <w:rFonts w:hint="default" w:ascii="Times New Roman" w:hAnsi="Times New Roman" w:cs="Times New Roman" w:eastAsiaTheme="minorEastAsia"/>
          <w:color w:val="auto"/>
          <w:kern w:val="0"/>
          <w:sz w:val="24"/>
          <w:highlight w:val="none"/>
        </w:rPr>
        <w:t>导致评价区陆生生态系统类型与分布格局的明显变化，也不会导致规划区内植被、植物和动物物种的消失及生物资源的明显变化。因此，规划实施对陆生生态系统的风险较小。但是，规划水库建设过程中应加强项目区水土流失防治工作，避免山体滑坡、泥石流等地质和生态灾害；同时施工结束后对临时占地区域应选用适生乡土植物进行植被恢复，避免裸地受到外来入侵物种侵占</w:t>
      </w:r>
      <w:r>
        <w:rPr>
          <w:rFonts w:hint="default" w:ascii="Times New Roman" w:hAnsi="Times New Roman" w:cs="Times New Roman" w:eastAsiaTheme="minorEastAsia"/>
          <w:color w:val="auto"/>
          <w:kern w:val="0"/>
          <w:sz w:val="24"/>
          <w:highlight w:val="none"/>
          <w:lang w:val="en-US" w:eastAsia="zh-CN"/>
        </w:rPr>
        <w:t>和石漠化加剧</w:t>
      </w:r>
      <w:r>
        <w:rPr>
          <w:rFonts w:hint="default" w:ascii="Times New Roman" w:hAnsi="Times New Roman" w:cs="Times New Roman" w:eastAsiaTheme="minorEastAsia"/>
          <w:color w:val="auto"/>
          <w:kern w:val="0"/>
          <w:sz w:val="24"/>
          <w:highlight w:val="none"/>
        </w:rPr>
        <w:t>。</w:t>
      </w:r>
    </w:p>
    <w:p w14:paraId="70173A64">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（2）水生生态</w:t>
      </w:r>
    </w:p>
    <w:p w14:paraId="4627F9A0">
      <w:pPr>
        <w:pStyle w:val="37"/>
        <w:ind w:left="0" w:leftChars="0" w:firstLine="0" w:firstLineChars="0"/>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规划</w:t>
      </w:r>
      <w:r>
        <w:rPr>
          <w:rFonts w:hint="default" w:ascii="Times New Roman" w:hAnsi="Times New Roman" w:cs="Times New Roman" w:eastAsiaTheme="minorEastAsia"/>
          <w:color w:val="auto"/>
          <w:kern w:val="0"/>
          <w:szCs w:val="24"/>
          <w:highlight w:val="none"/>
          <w:lang w:val="en-US" w:eastAsia="zh-CN"/>
        </w:rPr>
        <w:t>跨流域调水工程可能造成</w:t>
      </w:r>
      <w:r>
        <w:rPr>
          <w:rFonts w:hint="default" w:ascii="Times New Roman" w:hAnsi="Times New Roman" w:cs="Times New Roman" w:eastAsiaTheme="minorEastAsia"/>
          <w:color w:val="auto"/>
          <w:kern w:val="0"/>
          <w:szCs w:val="24"/>
          <w:highlight w:val="none"/>
        </w:rPr>
        <w:t>生物入侵风险</w:t>
      </w:r>
      <w:r>
        <w:rPr>
          <w:rFonts w:hint="default" w:ascii="Times New Roman" w:hAnsi="Times New Roman" w:cs="Times New Roman" w:eastAsiaTheme="minorEastAsia"/>
          <w:color w:val="auto"/>
          <w:kern w:val="0"/>
          <w:szCs w:val="24"/>
          <w:highlight w:val="none"/>
          <w:lang w:val="en-US" w:eastAsia="zh-CN"/>
        </w:rPr>
        <w:t>，曲靖市牛栏江德泽水库引水济曲工程实施，可能将金沙江水系物种随工程带入珠江水系，造成物种入侵，需采取针对性措施，</w:t>
      </w:r>
      <w:r>
        <w:rPr>
          <w:rFonts w:hint="default" w:ascii="Times New Roman" w:hAnsi="Times New Roman" w:cs="Times New Roman" w:eastAsiaTheme="minorEastAsia"/>
          <w:color w:val="auto"/>
          <w:kern w:val="0"/>
          <w:szCs w:val="24"/>
          <w:highlight w:val="none"/>
        </w:rPr>
        <w:t>避免外来入侵风险。</w:t>
      </w:r>
      <w:r>
        <w:rPr>
          <w:rFonts w:hint="default" w:ascii="Times New Roman" w:hAnsi="Times New Roman" w:cs="Times New Roman" w:eastAsiaTheme="minorEastAsia"/>
          <w:color w:val="auto"/>
          <w:kern w:val="0"/>
          <w:szCs w:val="24"/>
          <w:highlight w:val="none"/>
          <w:lang w:val="en-US" w:eastAsia="zh-CN"/>
        </w:rPr>
        <w:t>另外，水库大坝和拦河闸坝的建设，会使原有河道被分割开，破坏了河流的连通性，影响鱼类基因交流，</w:t>
      </w:r>
      <w:r>
        <w:rPr>
          <w:rFonts w:hint="default" w:ascii="Times New Roman" w:hAnsi="Times New Roman" w:cs="Times New Roman" w:eastAsiaTheme="minorEastAsia"/>
          <w:color w:val="auto"/>
          <w:kern w:val="0"/>
          <w:szCs w:val="24"/>
          <w:highlight w:val="none"/>
        </w:rPr>
        <w:t>会对水生生物多样性产生一定影响，同时，由于水库的调蓄及灌溉用水、大坝泄放的生态基流和支流汇水维持河道内外生态环境用水、河床地表水及河谷地下水水位出现不同程度的下降，坝下河滩上水时间减少甚至旱化，河谷湿地会退化、萎缩，对水生生物繁衍构成一定压力。同时，开展增殖放流时，应当注意防范外来物种，避免外来入侵风险。</w:t>
      </w:r>
    </w:p>
    <w:p w14:paraId="06A04D2A">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综合分析，规划实施后会造成区域生物多样性及生态系统的结构性改变，在项目阶段严格落实生态保护措施后，</w:t>
      </w:r>
      <w:r>
        <w:rPr>
          <w:rFonts w:hint="default" w:ascii="Times New Roman" w:hAnsi="Times New Roman" w:cs="Times New Roman" w:eastAsiaTheme="minorEastAsia"/>
          <w:color w:val="auto"/>
          <w:kern w:val="0"/>
          <w:szCs w:val="24"/>
          <w:highlight w:val="none"/>
          <w:lang w:val="en-US" w:eastAsia="zh-CN"/>
        </w:rPr>
        <w:t>可降低</w:t>
      </w:r>
      <w:r>
        <w:rPr>
          <w:rFonts w:hint="default" w:ascii="Times New Roman" w:hAnsi="Times New Roman" w:cs="Times New Roman" w:eastAsiaTheme="minorEastAsia"/>
          <w:color w:val="auto"/>
          <w:kern w:val="0"/>
          <w:szCs w:val="24"/>
          <w:highlight w:val="none"/>
        </w:rPr>
        <w:t>生态风险。</w:t>
      </w:r>
    </w:p>
    <w:p w14:paraId="4EBCF629">
      <w:pPr>
        <w:pStyle w:val="3"/>
        <w:numPr>
          <w:ilvl w:val="1"/>
          <w:numId w:val="4"/>
        </w:numPr>
        <w:spacing w:before="374" w:after="249"/>
        <w:rPr>
          <w:rFonts w:hint="default" w:ascii="Times New Roman" w:hAnsi="Times New Roman" w:cs="Times New Roman"/>
          <w:color w:val="auto"/>
          <w:highlight w:val="none"/>
        </w:rPr>
      </w:pPr>
      <w:bookmarkStart w:id="120" w:name="_Toc187580851"/>
      <w:bookmarkStart w:id="121" w:name="_Toc12665"/>
      <w:bookmarkStart w:id="122" w:name="_Toc201331667"/>
      <w:r>
        <w:rPr>
          <w:rFonts w:hint="default" w:ascii="Times New Roman" w:hAnsi="Times New Roman" w:cs="Times New Roman"/>
          <w:color w:val="auto"/>
          <w:highlight w:val="none"/>
        </w:rPr>
        <w:t>资源与环境承载力评估</w:t>
      </w:r>
      <w:bookmarkEnd w:id="120"/>
      <w:bookmarkEnd w:id="121"/>
      <w:bookmarkEnd w:id="122"/>
    </w:p>
    <w:p w14:paraId="423C5BAF">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水资源</w:t>
      </w:r>
    </w:p>
    <w:p w14:paraId="194E0668">
      <w:pPr>
        <w:pStyle w:val="37"/>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南盘江（曲靖市境内）流域水资源丰富，从总量上看，水资源总量778476万m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，人均占有水资源2196m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，水资源开发程度为11.0%，高于全省7.3%的水资源开发利用水平。多年平均情况下，南盘江（曲靖市境内）流域总需水量140557万m³，总供水量91411万m³，缺水总量为49145万m³，缺水率为35.0%</w:t>
      </w:r>
      <w:r>
        <w:rPr>
          <w:rFonts w:hint="default" w:ascii="Times New Roman" w:hAnsi="Times New Roman" w:cs="Times New Roman"/>
          <w:color w:val="auto"/>
          <w:highlight w:val="none"/>
          <w:lang w:eastAsia="zh-CN"/>
        </w:rPr>
        <w:t>。</w:t>
      </w:r>
    </w:p>
    <w:p w14:paraId="359FE104">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color w:val="auto"/>
          <w:highlight w:val="none"/>
        </w:rPr>
        <w:t>至2035年，南盘江（曲靖市境内）内配置的多年平均需水量为181323万m³，可供水量为170970万m³，缺水量为10353万m³，缺水率为5.7%，供需基本平衡。规划实施后，规划区南盘江（曲靖市境内）流域水资源供需达到平衡，用水总量没有超过总量控制，规划区的水资源开发利用率未达到国际认同的河流开发利用率上限</w:t>
      </w:r>
      <w:r>
        <w:rPr>
          <w:rFonts w:hint="default" w:ascii="Times New Roman" w:hAnsi="Times New Roman" w:cs="Times New Roman"/>
          <w:color w:val="auto"/>
          <w:highlight w:val="none"/>
          <w:lang w:eastAsia="zh-CN"/>
        </w:rPr>
        <w:t>，</w:t>
      </w:r>
      <w:r>
        <w:rPr>
          <w:rFonts w:hint="default" w:ascii="Times New Roman" w:hAnsi="Times New Roman" w:cs="Times New Roman" w:eastAsiaTheme="minorEastAsia"/>
          <w:color w:val="auto"/>
          <w:kern w:val="0"/>
          <w:szCs w:val="24"/>
          <w:highlight w:val="none"/>
        </w:rPr>
        <w:t>总体来说，规划区水资源丰富，规划实施后水资源开发利用率仍处于合理水平，水资源量完全可以支撑社会经济发展。</w:t>
      </w:r>
    </w:p>
    <w:p w14:paraId="5188365C">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水环境</w:t>
      </w:r>
    </w:p>
    <w:p w14:paraId="5BEA03A0">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color w:val="auto"/>
          <w:highlight w:val="none"/>
        </w:rPr>
        <w:t>本次流域综合规划范围内共设置25个国控、省控水质监测断面，全面覆盖流域主要干支流及重点管控水域，能够客观反映流域整体水环境质量与纳污能力现状。根据现状水质监测评价结果，流域整体水环境质量总体良好，25个监测断面中22个断面水质达标，仅3个断面未达到对应水功能区管控要求，流域水质优良率达96.0%，整体水体纳污能力保持稳定可控状态。</w:t>
      </w:r>
      <w:r>
        <w:rPr>
          <w:rFonts w:hint="default" w:ascii="Times New Roman" w:hAnsi="Times New Roman" w:cs="Times New Roman" w:eastAsiaTheme="minorEastAsia"/>
          <w:color w:val="auto"/>
          <w:kern w:val="0"/>
          <w:szCs w:val="24"/>
          <w:highlight w:val="none"/>
        </w:rPr>
        <w:t>3个市级集中式饮用水源地和11个县级集中式饮用水源地近4年水质均满足饮用水水质标准，水源达标率100%。</w:t>
      </w:r>
    </w:p>
    <w:p w14:paraId="37A5048A">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从纳污能力整体情况来看，流域大部分水域水环境容量充足，水体自净能力可有效承接区域现状污染物入河总量，能够满足现阶段区域经济社会发展与生态保护的基本需求。但潇湘江局部河段断面水质不达标，表明流域存在纳污空间分布不均衡的问题，部分河段、近岸水域污染物承载压力相对集中，局部水域污染负荷超出水体纳污承载阈值，存在点状、区段性水环境风险隐患。</w:t>
      </w:r>
    </w:p>
    <w:p w14:paraId="0FD6A3F4">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整体上规划区水环境容量可以承载规划实施后社会经济发展带来的不利影响，但局部河段须采取强有力的水污染防治措施支撑规划的实施。</w:t>
      </w:r>
    </w:p>
    <w:p w14:paraId="308725A4">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生态环境</w:t>
      </w:r>
    </w:p>
    <w:p w14:paraId="4BBBCD8F">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（1）陆生生态</w:t>
      </w:r>
    </w:p>
    <w:p w14:paraId="7EC9BDA3">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规划区</w:t>
      </w:r>
      <w:r>
        <w:rPr>
          <w:rFonts w:hint="default" w:ascii="Times New Roman" w:hAnsi="Times New Roman" w:cs="Times New Roman"/>
          <w:color w:val="auto"/>
          <w:highlight w:val="none"/>
          <w:lang w:val="en-US" w:eastAsia="zh-CN"/>
        </w:rPr>
        <w:t>生境敏感性属不敏感区域</w:t>
      </w:r>
      <w:r>
        <w:rPr>
          <w:rFonts w:hint="default" w:ascii="Times New Roman" w:hAnsi="Times New Roman" w:cs="Times New Roman" w:eastAsiaTheme="minorEastAsia"/>
          <w:color w:val="auto"/>
          <w:kern w:val="0"/>
          <w:szCs w:val="24"/>
          <w:highlight w:val="none"/>
        </w:rPr>
        <w:t>，受规划项目影响的生态系统和自然植被类型在评价区及周边均有广泛分布，从生态系统、植被、植物和动物资源、生物多样性等层面来看，规划区陆生生态环境具有较良好的承载能力，由于规划项实施范围较小、影响程度有限，陆生生态承载能力可有效调节和适应规划实施带来的生态环境影响。</w:t>
      </w:r>
    </w:p>
    <w:p w14:paraId="1C7D1C7D">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（2）水生生态</w:t>
      </w:r>
    </w:p>
    <w:p w14:paraId="42B4A708">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本规划主要涉及水源工程建设，针对水生生态来说，工程建设主要导致坝上坝下水文情势变化，坝上至回水区形成静水区，库区状态下饵料生物会有一定程度的增涨；坝下减水河段，生境条件发生改变，鱼类等水生生物被迫迁移，对于该区域的广布种而言，影响较小。</w:t>
      </w:r>
      <w:r>
        <w:rPr>
          <w:rFonts w:hint="default" w:ascii="Times New Roman" w:hAnsi="Times New Roman" w:cs="Times New Roman" w:eastAsiaTheme="minorEastAsia"/>
          <w:color w:val="auto"/>
          <w:kern w:val="0"/>
          <w:szCs w:val="24"/>
          <w:highlight w:val="none"/>
          <w:lang w:val="en-US" w:eastAsia="zh-CN"/>
        </w:rPr>
        <w:t>河湖生态保护规划的实施，对流域水生生态修复具有积极作用，且流域内已划定了水生生物保护范围，重点保护物种很大程度上得到了有效保护，</w:t>
      </w:r>
      <w:r>
        <w:rPr>
          <w:rFonts w:hint="default" w:ascii="Times New Roman" w:hAnsi="Times New Roman" w:cs="Times New Roman" w:eastAsiaTheme="minorEastAsia"/>
          <w:color w:val="auto"/>
          <w:kern w:val="0"/>
          <w:szCs w:val="24"/>
          <w:highlight w:val="none"/>
        </w:rPr>
        <w:t>至规划水平年，各工程建设完成，各项环境保护措施逐步落实，水生生态环境条件趋于稳定，水生生物种群也会形成新的稳定状态。</w:t>
      </w:r>
    </w:p>
    <w:p w14:paraId="2778A41E">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总的来看，规划实施会对部分区域的资源和环境承载力产生影响，但对于较大尺度的流域层面来说，规划实施带来的不利影响相对有限，而通过生态流量泄放、栖息地保护、增殖放流等措施的落实，规划实施的生态影响将进一步得到缓解，规划区生态系统可以承载规划实施带来的不利影响。</w:t>
      </w:r>
    </w:p>
    <w:p w14:paraId="5A3CCDF1">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移民安置</w:t>
      </w:r>
    </w:p>
    <w:p w14:paraId="69B5757C">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水利项目的开发将涉及淹没和移民安置，会对生态环境带来一定影响，其影响还涉及社会关系、生活质量、民族文化、传统习俗和人群心理因素等诸方面。规划方案和工程规模的确定，充分考虑了淹没和移民的影响因素，尽可能减少淹没耕地和移民数量，在此基础上，能够满足环境承载力要求。</w:t>
      </w:r>
    </w:p>
    <w:p w14:paraId="7168F534">
      <w:pPr>
        <w:pStyle w:val="3"/>
        <w:numPr>
          <w:ilvl w:val="1"/>
          <w:numId w:val="4"/>
        </w:numPr>
        <w:spacing w:before="374" w:after="249"/>
        <w:rPr>
          <w:rFonts w:hint="default" w:ascii="Times New Roman" w:hAnsi="Times New Roman" w:cs="Times New Roman"/>
          <w:color w:val="auto"/>
          <w:highlight w:val="none"/>
        </w:rPr>
      </w:pPr>
      <w:bookmarkStart w:id="123" w:name="_Toc11187"/>
      <w:bookmarkStart w:id="124" w:name="_Toc201331668"/>
      <w:bookmarkStart w:id="125" w:name="_Toc187580852"/>
      <w:r>
        <w:rPr>
          <w:rFonts w:hint="default" w:ascii="Times New Roman" w:hAnsi="Times New Roman" w:cs="Times New Roman"/>
          <w:color w:val="auto"/>
          <w:highlight w:val="none"/>
        </w:rPr>
        <w:t>规划实施后环境演变趋势</w:t>
      </w:r>
      <w:bookmarkEnd w:id="123"/>
      <w:bookmarkEnd w:id="124"/>
      <w:bookmarkEnd w:id="125"/>
    </w:p>
    <w:p w14:paraId="6293BFF4">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水环境</w:t>
      </w:r>
    </w:p>
    <w:p w14:paraId="5937DB6A">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规划实施后，</w:t>
      </w:r>
      <w:r>
        <w:rPr>
          <w:rFonts w:hint="default" w:ascii="Times New Roman" w:hAnsi="Times New Roman" w:cs="Times New Roman" w:eastAsiaTheme="minorEastAsia"/>
          <w:color w:val="auto"/>
          <w:kern w:val="0"/>
          <w:szCs w:val="24"/>
          <w:highlight w:val="none"/>
          <w:lang w:val="en-US" w:eastAsia="zh-CN"/>
        </w:rPr>
        <w:t>南盘江</w:t>
      </w:r>
      <w:r>
        <w:rPr>
          <w:rFonts w:hint="default" w:ascii="Times New Roman" w:hAnsi="Times New Roman" w:cs="Times New Roman" w:eastAsiaTheme="minorEastAsia"/>
          <w:color w:val="auto"/>
          <w:kern w:val="0"/>
          <w:szCs w:val="24"/>
          <w:highlight w:val="none"/>
        </w:rPr>
        <w:t>干流及各支流污染负荷量基本维持不变，而水资源保护、水土保持</w:t>
      </w:r>
      <w:r>
        <w:rPr>
          <w:rFonts w:hint="default" w:ascii="Times New Roman" w:hAnsi="Times New Roman" w:cs="Times New Roman" w:eastAsiaTheme="minorEastAsia"/>
          <w:color w:val="auto"/>
          <w:kern w:val="0"/>
          <w:szCs w:val="24"/>
          <w:highlight w:val="none"/>
          <w:lang w:eastAsia="zh-CN"/>
        </w:rPr>
        <w:t>、</w:t>
      </w:r>
      <w:r>
        <w:rPr>
          <w:rFonts w:hint="default" w:ascii="Times New Roman" w:hAnsi="Times New Roman" w:cs="Times New Roman" w:eastAsiaTheme="minorEastAsia"/>
          <w:color w:val="auto"/>
          <w:kern w:val="0"/>
          <w:szCs w:val="24"/>
          <w:highlight w:val="none"/>
          <w:lang w:val="en-US" w:eastAsia="zh-CN"/>
        </w:rPr>
        <w:t>河湖生态保护规划</w:t>
      </w:r>
      <w:r>
        <w:rPr>
          <w:rFonts w:hint="default" w:ascii="Times New Roman" w:hAnsi="Times New Roman" w:cs="Times New Roman" w:eastAsiaTheme="minorEastAsia"/>
          <w:color w:val="auto"/>
          <w:kern w:val="0"/>
          <w:szCs w:val="24"/>
          <w:highlight w:val="none"/>
        </w:rPr>
        <w:t>的实施，将进一步改善区域水体，水质趋势向好。支流部分年调节和完全年调节水库水体体积增大，水体稀释净化能力增强，库区水质有所改善。干流水质主要受灌溉</w:t>
      </w:r>
      <w:r>
        <w:rPr>
          <w:rFonts w:hint="default" w:ascii="Times New Roman" w:hAnsi="Times New Roman" w:cs="Times New Roman" w:eastAsiaTheme="minorEastAsia"/>
          <w:color w:val="auto"/>
          <w:kern w:val="0"/>
          <w:szCs w:val="24"/>
          <w:highlight w:val="none"/>
          <w:lang w:val="en-US" w:eastAsia="zh-CN"/>
        </w:rPr>
        <w:t>退水的</w:t>
      </w:r>
      <w:r>
        <w:rPr>
          <w:rFonts w:hint="default" w:ascii="Times New Roman" w:hAnsi="Times New Roman" w:cs="Times New Roman" w:eastAsiaTheme="minorEastAsia"/>
          <w:color w:val="auto"/>
          <w:kern w:val="0"/>
          <w:szCs w:val="24"/>
          <w:highlight w:val="none"/>
        </w:rPr>
        <w:t>影响，灌溉中后期水体污染物浓度略高于年内其他时段，水体污染物浓度略高于现状，但</w:t>
      </w:r>
      <w:r>
        <w:rPr>
          <w:rFonts w:hint="default" w:ascii="Times New Roman" w:hAnsi="Times New Roman" w:cs="Times New Roman" w:eastAsiaTheme="minorEastAsia"/>
          <w:color w:val="auto"/>
          <w:kern w:val="0"/>
          <w:szCs w:val="24"/>
          <w:highlight w:val="none"/>
          <w:lang w:val="en-US" w:eastAsia="zh-CN"/>
        </w:rPr>
        <w:t>高效节水灌溉及推广及规划区治污规划的逐项落实，有利于水质向善发展</w:t>
      </w:r>
      <w:r>
        <w:rPr>
          <w:rFonts w:hint="default" w:ascii="Times New Roman" w:hAnsi="Times New Roman" w:cs="Times New Roman" w:eastAsiaTheme="minorEastAsia"/>
          <w:color w:val="auto"/>
          <w:kern w:val="0"/>
          <w:szCs w:val="24"/>
          <w:highlight w:val="none"/>
        </w:rPr>
        <w:t>。</w:t>
      </w:r>
    </w:p>
    <w:p w14:paraId="4EE9614D">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水利工程建设对水文水资源的影响主要表现为库区形成后，库内水深增加、流速减缓、泥沙淤积、水域面积增大，另外，水库蓄水削峰、调节调度后，能提高区域防洪标准，合理利用水资源，有利于改善区域城市和农灌缺水状况；大中型水利工程建设会带来水温稳定分层的情况，但是在经过沿程复温等后，对灌区农作物不会产生低温影响；</w:t>
      </w:r>
      <w:r>
        <w:rPr>
          <w:rFonts w:hint="default" w:ascii="Times New Roman" w:hAnsi="Times New Roman" w:cs="Times New Roman" w:eastAsiaTheme="minorEastAsia"/>
          <w:color w:val="auto"/>
          <w:kern w:val="0"/>
          <w:szCs w:val="24"/>
          <w:highlight w:val="none"/>
          <w:lang w:val="en-US" w:eastAsia="zh-CN"/>
        </w:rPr>
        <w:t>本次</w:t>
      </w:r>
      <w:r>
        <w:rPr>
          <w:rFonts w:hint="default" w:ascii="Times New Roman" w:hAnsi="Times New Roman" w:cs="Times New Roman" w:eastAsiaTheme="minorEastAsia"/>
          <w:color w:val="auto"/>
          <w:kern w:val="0"/>
          <w:szCs w:val="24"/>
          <w:highlight w:val="none"/>
        </w:rPr>
        <w:t>规划</w:t>
      </w:r>
      <w:r>
        <w:rPr>
          <w:rFonts w:hint="default" w:ascii="Times New Roman" w:hAnsi="Times New Roman" w:cs="Times New Roman" w:eastAsiaTheme="minorEastAsia"/>
          <w:color w:val="auto"/>
          <w:kern w:val="0"/>
          <w:szCs w:val="24"/>
          <w:highlight w:val="none"/>
          <w:lang w:val="en-US" w:eastAsia="zh-CN"/>
        </w:rPr>
        <w:t>的</w:t>
      </w:r>
      <w:r>
        <w:rPr>
          <w:rFonts w:hint="default" w:ascii="Times New Roman" w:hAnsi="Times New Roman" w:cs="Times New Roman" w:eastAsiaTheme="minorEastAsia"/>
          <w:color w:val="auto"/>
          <w:kern w:val="0"/>
          <w:szCs w:val="24"/>
          <w:highlight w:val="none"/>
        </w:rPr>
        <w:t>水库工程均有生态流量下泄</w:t>
      </w:r>
      <w:r>
        <w:rPr>
          <w:rFonts w:hint="default" w:ascii="Times New Roman" w:hAnsi="Times New Roman" w:cs="Times New Roman" w:eastAsiaTheme="minorEastAsia"/>
          <w:color w:val="auto"/>
          <w:kern w:val="0"/>
          <w:szCs w:val="24"/>
          <w:highlight w:val="none"/>
          <w:lang w:val="en-US" w:eastAsia="zh-CN"/>
        </w:rPr>
        <w:t>及低温水下泄防治措施，对流域</w:t>
      </w:r>
      <w:r>
        <w:rPr>
          <w:rFonts w:hint="default" w:ascii="Times New Roman" w:hAnsi="Times New Roman" w:cs="Times New Roman" w:eastAsiaTheme="minorEastAsia"/>
          <w:color w:val="auto"/>
          <w:kern w:val="0"/>
          <w:szCs w:val="24"/>
          <w:highlight w:val="none"/>
        </w:rPr>
        <w:t>水文水资源</w:t>
      </w:r>
      <w:r>
        <w:rPr>
          <w:rFonts w:hint="default" w:ascii="Times New Roman" w:hAnsi="Times New Roman" w:cs="Times New Roman" w:eastAsiaTheme="minorEastAsia"/>
          <w:color w:val="auto"/>
          <w:kern w:val="0"/>
          <w:szCs w:val="24"/>
          <w:highlight w:val="none"/>
          <w:lang w:val="en-US" w:eastAsia="zh-CN"/>
        </w:rPr>
        <w:t>不会造成持续不利影响</w:t>
      </w:r>
      <w:r>
        <w:rPr>
          <w:rFonts w:hint="default" w:ascii="Times New Roman" w:hAnsi="Times New Roman" w:cs="Times New Roman" w:eastAsiaTheme="minorEastAsia"/>
          <w:color w:val="auto"/>
          <w:kern w:val="0"/>
          <w:szCs w:val="24"/>
          <w:highlight w:val="none"/>
        </w:rPr>
        <w:t>。</w:t>
      </w:r>
    </w:p>
    <w:p w14:paraId="6A46A11C">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生态环境</w:t>
      </w:r>
    </w:p>
    <w:p w14:paraId="329F9CB8">
      <w:pPr>
        <w:pStyle w:val="37"/>
        <w:rPr>
          <w:rFonts w:hint="default" w:ascii="Times New Roman" w:hAnsi="Times New Roman" w:cs="Times New Roman"/>
          <w:color w:val="auto"/>
          <w:highlight w:val="none"/>
        </w:rPr>
      </w:pPr>
      <w:r>
        <w:rPr>
          <w:rFonts w:hint="default" w:ascii="Times New Roman" w:hAnsi="Times New Roman" w:cs="Times New Roman"/>
          <w:color w:val="auto"/>
          <w:highlight w:val="none"/>
        </w:rPr>
        <w:t>（1）陆生生态</w:t>
      </w:r>
    </w:p>
    <w:p w14:paraId="304C07C0">
      <w:pPr>
        <w:pStyle w:val="37"/>
        <w:rPr>
          <w:rFonts w:hint="default" w:ascii="Times New Roman" w:hAnsi="Times New Roman" w:cs="Times New Roman" w:eastAsiaTheme="minorEastAsia"/>
          <w:color w:val="auto"/>
          <w:kern w:val="0"/>
          <w:szCs w:val="24"/>
          <w:highlight w:val="none"/>
          <w:lang w:val="en-US" w:eastAsia="zh-CN"/>
        </w:rPr>
      </w:pPr>
      <w:r>
        <w:rPr>
          <w:rFonts w:hint="default" w:ascii="Times New Roman" w:hAnsi="Times New Roman" w:cs="Times New Roman" w:eastAsiaTheme="minorEastAsia"/>
          <w:color w:val="auto"/>
          <w:kern w:val="0"/>
          <w:szCs w:val="24"/>
          <w:highlight w:val="none"/>
        </w:rPr>
        <w:t>本规划实施后，规划工程所在局部区域的森林、草地、农田等陆生生态系统转化为水域生态系统和建筑用地，但由于规划工程占地面积</w:t>
      </w:r>
      <w:r>
        <w:rPr>
          <w:rFonts w:hint="default" w:ascii="Times New Roman" w:hAnsi="Times New Roman" w:cs="Times New Roman" w:eastAsiaTheme="minorEastAsia"/>
          <w:color w:val="auto"/>
          <w:kern w:val="0"/>
          <w:szCs w:val="24"/>
          <w:highlight w:val="none"/>
          <w:lang w:val="en-US" w:eastAsia="zh-CN"/>
        </w:rPr>
        <w:t>有限</w:t>
      </w:r>
      <w:r>
        <w:rPr>
          <w:rFonts w:hint="default" w:ascii="Times New Roman" w:hAnsi="Times New Roman" w:cs="Times New Roman" w:eastAsiaTheme="minorEastAsia"/>
          <w:color w:val="auto"/>
          <w:kern w:val="0"/>
          <w:szCs w:val="24"/>
          <w:highlight w:val="none"/>
        </w:rPr>
        <w:t>，因此规划区生态系统结构不会发生较大变化，抵抗力稳定性没有</w:t>
      </w:r>
      <w:r>
        <w:rPr>
          <w:rFonts w:hint="default" w:ascii="Times New Roman" w:hAnsi="Times New Roman" w:cs="Times New Roman" w:eastAsiaTheme="minorEastAsia"/>
          <w:color w:val="auto"/>
          <w:kern w:val="0"/>
          <w:szCs w:val="24"/>
          <w:highlight w:val="none"/>
          <w:lang w:val="en-US" w:eastAsia="zh-CN"/>
        </w:rPr>
        <w:t>明显</w:t>
      </w:r>
      <w:r>
        <w:rPr>
          <w:rFonts w:hint="default" w:ascii="Times New Roman" w:hAnsi="Times New Roman" w:cs="Times New Roman" w:eastAsiaTheme="minorEastAsia"/>
          <w:color w:val="auto"/>
          <w:kern w:val="0"/>
          <w:szCs w:val="24"/>
          <w:highlight w:val="none"/>
        </w:rPr>
        <w:t>发生变化。而流域内水资源空间分布不均，工程性缺水较为突出。在无规划方案的前提下，农业耕作对土地开发的需求与流域生态保护之间的矛盾可能日益凸显。本次流域规划较大程度上解决了流域内水资源配置问题，虽然会造成一定的生态影响，但水利工程建设解决流域内耕地灌溉缺水矛盾，增加单位面积农作物产量，进而减轻对耕地总量的需求，长远来看有利于流域生态保护。</w:t>
      </w:r>
      <w:r>
        <w:rPr>
          <w:rFonts w:hint="default" w:ascii="Times New Roman" w:hAnsi="Times New Roman" w:cs="Times New Roman" w:eastAsiaTheme="minorEastAsia"/>
          <w:color w:val="auto"/>
          <w:kern w:val="0"/>
          <w:szCs w:val="24"/>
          <w:highlight w:val="none"/>
          <w:lang w:val="en-US" w:eastAsia="zh-CN"/>
        </w:rPr>
        <w:t>同时，防洪减灾、水土保持、河湖生态保护规划的实施，对解决流域水土流失、石漠化等主要环境问题起到积极作用。</w:t>
      </w:r>
    </w:p>
    <w:p w14:paraId="6FD22079">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规划实施后，随着流域内农林业和生活用水得到满足，农田、园地、经济林等人工生态系统的耕作效益得以提升。在当地坚持绿水青山就是金山银山的理念，筑牢生态安全屏障，深入贯彻实施山水林田湖草综合治理的背景下，可避免出现对流域内现存自然生态系统和天然植被的无序开发和破坏，流域自然生态系统和人工生态系统的衔接将会更加协调，有利于提升流域内生态系统的稳定性和多样性，天然植被将得到进一步的正向演替发育，野生动植物资源也将会逐步向好发展。</w:t>
      </w:r>
    </w:p>
    <w:p w14:paraId="6B34A5FC">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（2）水生生态</w:t>
      </w:r>
    </w:p>
    <w:p w14:paraId="5DD0A144">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至规划水平年，随着供水灌溉水库的建设，对水生生物产生阻隔影响，水库蓄水形成的静水、缓流区域对广布性鱼类的种群增长有利，但缩小了上游适应急流环境的特有鱼类的生长及繁殖的适应生境，对产漂流性卵的鱼类亦造成不利影响。大坝建设在一定程度上干扰了鱼类的洄游、摄食、栖息等行为，并改变了产卵场下垫面及水力条件，影响鱼类产卵繁殖。浮游动植物和底栖动物组成和分布形成新的平衡状态，随着水资源保护和水生态保护与修复规划以及水土保持措施的实施，避免对流域水资源的过度开发利用，有利于减少人类活动对流域水生境的破坏，外源性营养物质的输入得到控制，对于流域水生态健康的维持具有促进作用。</w:t>
      </w:r>
    </w:p>
    <w:p w14:paraId="27C79D20">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社会环境</w:t>
      </w:r>
    </w:p>
    <w:p w14:paraId="2FE38BEC">
      <w:pPr>
        <w:pStyle w:val="37"/>
        <w:rPr>
          <w:rFonts w:hint="default" w:ascii="Times New Roman" w:hAnsi="Times New Roman" w:cs="Times New Roman" w:eastAsiaTheme="minorEastAsia"/>
          <w:color w:val="auto"/>
          <w:kern w:val="0"/>
          <w:szCs w:val="24"/>
          <w:highlight w:val="none"/>
        </w:rPr>
      </w:pPr>
      <w:r>
        <w:rPr>
          <w:rFonts w:hint="default" w:ascii="Times New Roman" w:hAnsi="Times New Roman" w:cs="Times New Roman" w:eastAsiaTheme="minorEastAsia"/>
          <w:color w:val="auto"/>
          <w:kern w:val="0"/>
          <w:szCs w:val="24"/>
          <w:highlight w:val="none"/>
        </w:rPr>
        <w:t>规划工程建成后当地政府可利用水利条件的改善，因地制宜发展种植业、旅游业等并根据实际情况，加强新技术推广，调整种植结构；同时进行生产技能培训，提高农民的科学种田水平，整治农田水利设施，改造中低产田，积极发展二、三产业等生产发展。规划实施后，将对农灌用水进行合理的调控分配，受水区农户生产用水在时间上和数量上都将得到保证，因此，当地农户的灌溉条件将得到改善。开发利用水资源可促进</w:t>
      </w:r>
      <w:r>
        <w:rPr>
          <w:rFonts w:hint="eastAsia" w:ascii="Times New Roman" w:hAnsi="Times New Roman" w:cs="Times New Roman" w:eastAsiaTheme="minorEastAsia"/>
          <w:color w:val="auto"/>
          <w:kern w:val="0"/>
          <w:szCs w:val="24"/>
          <w:highlight w:val="none"/>
          <w:lang w:val="en-US" w:eastAsia="zh-CN"/>
        </w:rPr>
        <w:t>7县（区）</w:t>
      </w:r>
      <w:r>
        <w:rPr>
          <w:rFonts w:hint="default" w:ascii="Times New Roman" w:hAnsi="Times New Roman" w:cs="Times New Roman" w:eastAsiaTheme="minorEastAsia"/>
          <w:color w:val="auto"/>
          <w:kern w:val="0"/>
          <w:szCs w:val="24"/>
          <w:highlight w:val="none"/>
        </w:rPr>
        <w:t>的社会和经济发展，拉动建材、建筑等相关产业的蓬勃发展，缓解水资源短缺的局面，为当地剩余劳动力创造就业机会，改善供水保证率提高了居民的生活水平。</w:t>
      </w:r>
    </w:p>
    <w:p w14:paraId="5DA21A3A">
      <w:pPr>
        <w:rPr>
          <w:rFonts w:hint="default" w:ascii="Times New Roman" w:hAnsi="Times New Roman" w:cs="Times New Roman"/>
          <w:color w:val="auto"/>
          <w:highlight w:val="none"/>
        </w:rPr>
      </w:pPr>
    </w:p>
    <w:p w14:paraId="1E2AE1C8">
      <w:pPr>
        <w:rPr>
          <w:rFonts w:hint="default" w:ascii="Times New Roman" w:hAnsi="Times New Roman" w:eastAsia="宋体" w:cs="Times New Roman"/>
          <w:color w:val="auto"/>
          <w:highlight w:val="none"/>
        </w:rPr>
      </w:pPr>
    </w:p>
    <w:p w14:paraId="7FFDD8D9">
      <w:pPr>
        <w:rPr>
          <w:rFonts w:hint="default" w:ascii="Times New Roman" w:hAnsi="Times New Roman" w:eastAsia="宋体" w:cs="Times New Roman"/>
          <w:color w:val="auto"/>
          <w:highlight w:val="none"/>
        </w:rPr>
        <w:sectPr>
          <w:pgSz w:w="11906" w:h="16838"/>
          <w:pgMar w:top="1440" w:right="1800" w:bottom="1440" w:left="1800" w:header="851" w:footer="992" w:gutter="0"/>
          <w:pgNumType w:fmt="decimal"/>
          <w:cols w:space="425" w:num="1"/>
          <w:docGrid w:type="lines" w:linePitch="312" w:charSpace="0"/>
        </w:sectPr>
      </w:pPr>
    </w:p>
    <w:p w14:paraId="2BDF57A2">
      <w:pPr>
        <w:rPr>
          <w:rFonts w:hint="default" w:ascii="Times New Roman" w:hAnsi="Times New Roman" w:eastAsia="宋体" w:cs="Times New Roman"/>
          <w:color w:val="auto"/>
          <w:highlight w:val="none"/>
        </w:rPr>
      </w:pPr>
    </w:p>
    <w:p w14:paraId="7D806D39">
      <w:pPr>
        <w:pStyle w:val="2"/>
        <w:numPr>
          <w:ilvl w:val="0"/>
          <w:numId w:val="3"/>
        </w:numPr>
        <w:spacing w:after="249"/>
        <w:rPr>
          <w:rFonts w:hint="default" w:ascii="Times New Roman" w:hAnsi="Times New Roman" w:eastAsia="宋体" w:cs="Times New Roman"/>
          <w:color w:val="auto"/>
          <w:highlight w:val="none"/>
        </w:rPr>
      </w:pPr>
      <w:bookmarkStart w:id="126" w:name="_Toc30002"/>
      <w:r>
        <w:rPr>
          <w:rFonts w:hint="default" w:ascii="Times New Roman" w:hAnsi="Times New Roman" w:eastAsia="宋体" w:cs="Times New Roman"/>
          <w:color w:val="auto"/>
          <w:highlight w:val="none"/>
        </w:rPr>
        <w:t>规划方案环境合理性论证和优化调整建议</w:t>
      </w:r>
      <w:bookmarkEnd w:id="126"/>
    </w:p>
    <w:p w14:paraId="623CE26C">
      <w:pPr>
        <w:pStyle w:val="31"/>
        <w:keepNext/>
        <w:keepLines/>
        <w:numPr>
          <w:ilvl w:val="0"/>
          <w:numId w:val="4"/>
        </w:numPr>
        <w:spacing w:before="374" w:beforeLines="120" w:after="249" w:afterLines="80" w:line="288" w:lineRule="auto"/>
        <w:ind w:firstLineChars="0"/>
        <w:outlineLvl w:val="1"/>
        <w:rPr>
          <w:rFonts w:hint="default" w:ascii="Times New Roman" w:hAnsi="Times New Roman" w:eastAsia="宋体" w:cs="Times New Roman"/>
          <w:b/>
          <w:bCs/>
          <w:vanish/>
          <w:color w:val="auto"/>
          <w:sz w:val="32"/>
          <w:szCs w:val="32"/>
          <w:highlight w:val="none"/>
        </w:rPr>
      </w:pPr>
    </w:p>
    <w:p w14:paraId="30057627">
      <w:pPr>
        <w:pStyle w:val="3"/>
        <w:numPr>
          <w:ilvl w:val="1"/>
          <w:numId w:val="4"/>
        </w:numPr>
        <w:spacing w:before="374" w:after="249"/>
        <w:rPr>
          <w:rFonts w:hint="default" w:ascii="Times New Roman" w:hAnsi="Times New Roman" w:eastAsia="宋体" w:cs="Times New Roman"/>
          <w:color w:val="auto"/>
          <w:highlight w:val="none"/>
        </w:rPr>
      </w:pPr>
      <w:bookmarkStart w:id="127" w:name="_Toc29661"/>
      <w:r>
        <w:rPr>
          <w:rFonts w:hint="default" w:ascii="Times New Roman" w:hAnsi="Times New Roman" w:eastAsia="宋体" w:cs="Times New Roman"/>
          <w:color w:val="auto"/>
          <w:highlight w:val="none"/>
        </w:rPr>
        <w:t>规划方案的环境合理性论证</w:t>
      </w:r>
      <w:bookmarkEnd w:id="127"/>
    </w:p>
    <w:p w14:paraId="28F38E39">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规划目标和发展定位的环境合理性</w:t>
      </w:r>
    </w:p>
    <w:p w14:paraId="19538FD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治理开发要以习近平新时代中国特色社会主义思想为指导，以维护河流健康、促进人水和谐为宗旨，统筹开发与保护，协调生态与经济，根据流域水资源与水环境承载能力，加快资源优势向产业优势转化，不断促进流域内的社会经济发展。规划以建立和完善流域防洪减灾、水资源节约集约利用、水资源保护规划、河湖生态保护规划、重大水利工程和流域综合管理体系，加强水灾害防控体系、工程性缺水、农村水利、农田水利和中小河流治理等薄弱环节建设，统筹协调水资源保护、开发、利用与防治水害的关系，保障防洪安全、供水安全和水生态安全，推进流域水治理体系和治理能力现代化为总体规划目标，根据南盘江（曲靖市境内）流域水资源环境承载能力，合理开发利用流域优势资源，促进当地经济社会的快速发展，保护河流自然生态功能，维护流域健康发展，实现人与河流和谐发展的目标。南盘江（曲靖市境内）流域综合规划目标中充分体现保护优先的原则，规划总体目标充分吸收了资源与环境可持续发展的理念，拟定水资源开发利用需在保护当地生态与环境，不损害河流自然功能的前提下进行有序的开发利用，南盘江（曲靖市境内）流域及其周边地区水资源配置规划在发展方向上和相关规划及国家产业政策上对该地区的定位是一致的，在坚持保护的原则实现水系流域的有序开发。</w:t>
      </w:r>
    </w:p>
    <w:p w14:paraId="092325F1">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"_Toc4792"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水资源配置和水资源利用的合理性</w:t>
      </w:r>
      <w:r>
        <w:rPr>
          <w:rFonts w:hint="default" w:ascii="Times New Roman" w:hAnsi="Times New Roman" w:eastAsia="宋体" w:cs="Times New Roman"/>
          <w:color w:val="auto"/>
          <w:highlight w:val="none"/>
        </w:rPr>
        <w:fldChar w:fldCharType="end"/>
      </w:r>
    </w:p>
    <w:p w14:paraId="3F7D0BD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水资源配置严格遵循“节水优先、空间均衡、系统治理”核心理念，以“节水为先导、开发为补充、治污为前提”为基本原则，构建“先节水后开源、先本区后外调、先治污后利用”的分级配置路径。基于流域社会经济发展水平、水资源禀赋特征及开发利用现状，统筹地表水与地下水、当地水与外调水的时空匹配关系，强化水资源刚性约束下的节约保护与高效利用，系统协调生活、生产、生态用水的关系。</w:t>
      </w:r>
    </w:p>
    <w:p w14:paraId="14B54A7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次规划以流域区水资源三次供需平衡分析为核心框架，一次水资源供需水平衡分析以现状供需水平衡为基础，识别规划区现状缺口，逐步优化配置方案，实现规划水平年供需动态平衡；随着罗师、富源等灌区工程的建设，同时加入陆良县引水入陆工程及南盘江新建引提水工程等，根据灌区工程的新建配套渠系加大原有部分水库的农业供水，调整种植结构，提高灌溉水利用系数，适度调整现状供水水源的供水结构等方式进行规划水平年的第二次平衡分析；加入曲靖市牛栏江德泽水库引水济曲工程进行第三次供需平衡分析。</w:t>
      </w:r>
    </w:p>
    <w:p w14:paraId="7E0CBCA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（1）用水总量方面</w:t>
      </w:r>
    </w:p>
    <w:p w14:paraId="4F55127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规划2035年流域多年平均配置总用水量17.10亿m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，其中再生水0.74亿m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不占用用水总量指标，扣除后实际取用原生水量16.36亿m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，低于流域用水总量控制指标17.25亿m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，满足最严格水资源管理制度“三条红线”管控要求。较现状年8.54亿m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增加7.82亿m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，增量主要用于保障城乡生活供水安全、支撑工业产业转型升级和提升农业灌溉保证率，与流域经济社会发展需求相匹配，未突破水资源承载能力。</w:t>
      </w:r>
    </w:p>
    <w:p w14:paraId="5D6FCA8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（2）供水结构方面（水源）</w:t>
      </w:r>
    </w:p>
    <w:p w14:paraId="201DB55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2035年P=75%频率下，蓄水、引提水、调水、再生水及其他工程供水量分别占供水总量的59.1%、18.0%、16.5%、4.4%和2.1%，形成“以蓄为主、蓄引提调结合、非常规水补充”的多源供水格局。蓄水工程占比近六成，充分发挥了流域水库群的调蓄功能；跨流域调水占比16.5%，有效缓解了流域上段资源性缺水矛盾；再生水利用率提升至4.4%，体现了污水资源化利用的节水导向。供水结构由现状单一依赖本地水源向多源互补、丰枯互济转变，供水韧性和保障能力显著增强。</w:t>
      </w:r>
    </w:p>
    <w:p w14:paraId="034D247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（3）用水结构方面（行业）</w:t>
      </w:r>
    </w:p>
    <w:p w14:paraId="2EC18AD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2035年多年平均情况下，城镇生活、农村生活、工业、农业灌溉用水量分别占用水总量的15.1%、7.1%、21.4%、56.5%。与现状年相比，农业灌溉占比由63.8%降至56.5%，工业由18.6%升至21.4%，城镇生活由9.8%升至15.1%，整体呈现"农业降、工业和生活升"的优化趋势。农业比重下降主要得益于灌区续建配套与节水改造及新建灌区高效节水灌溉技术推广，在灌溉面积扩大的同时实现了用水效率提升；工业和生活比重上升反映了流域工业化、城镇化进程加快的客观需求，且工业用水增长以万元增加值用水量较2024年降低35%为前提，体现了“以水定产、节水增效”的配置原则。用水结构变化与流域产业布局和城镇化发展方向相协调。</w:t>
      </w:r>
    </w:p>
    <w:p w14:paraId="73CB4EC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（4）开发利用率方面</w:t>
      </w:r>
    </w:p>
    <w:p w14:paraId="51F9211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流域多年平均水资源总量77.2亿m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，现状年用水总量8.54亿m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，水资源开发利用率约11.1%；2035年扣除再生水后用水总量16.36亿m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开发利用率约21.2%，较现状提高约10个百分点，但仍远低于40%的国际公认水资源开发利用警戒线，流域整体水资源开发仍处于合理区间，尚有进一步挖潜空间。分区域看，现状麒麟区开发利用率已达39.2%，接近40%上限，规划通过外流域调水和再生水利用控制本地水资源开发强度，避免过度开发；沾益区、陆良县分别为29.6%、27.9%，其余县区均低于10%，仍有合理开发余地。整体开发利用程度与流域水资源禀赋相适应，不会对河流生态系统造成不可逆影响。</w:t>
      </w:r>
    </w:p>
    <w:p w14:paraId="1CF3368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规划在保障重点河湖基本生态流量达标率90%以上的前提下配置河道外用水，统筹了河道内外用水需求；通过车马碧、黑滩河、德泽等跨流域调水工程实现牛栏江与南盘江丰枯调剂，缓解了上段资源性缺水与下段工程性缺水并存的空间矛盾，配置方案与曲靖市水网建设规划、国土空间规划等上位规划相衔接，可有效支撑流域经济社会高质量发展，水资源配置总体合理。</w:t>
      </w:r>
    </w:p>
    <w:p w14:paraId="4024DB99">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"_Toc22364"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总体布局的环境合理性</w:t>
      </w:r>
      <w:r>
        <w:rPr>
          <w:rFonts w:hint="default" w:ascii="Times New Roman" w:hAnsi="Times New Roman" w:eastAsia="宋体" w:cs="Times New Roman"/>
          <w:color w:val="auto"/>
          <w:highlight w:val="none"/>
        </w:rPr>
        <w:fldChar w:fldCharType="end"/>
      </w:r>
    </w:p>
    <w:p w14:paraId="14E91206">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（1）空间布局合理性</w:t>
      </w:r>
    </w:p>
    <w:p w14:paraId="4C6536E9">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根据南盘江（曲靖市境内）流域的自然地理、生态环境现状，结合流域经济社会发展的需要，南盘江（曲靖市境内）流域综合规划的主要任务是防洪、供水、灌溉、水资源保护与水生态保护、水土保持、水力发电等，要加快完善流域防洪工程体系，建立流域水资源节约保护与高效利用体系，构建流域水生态环境保护体系，加强流域综合管理，规划以建立和完善流域防洪减灾、水资源节约集约利用、水资源保护规划、河湖生态保护规划、重大水利工程和流域综合管理体系的建设和完善，加强水灾害防控体系、工程性缺水、农村水利、农田水利和中小河流治理等薄弱环节建设，统筹协调水资源保护、开发、利用与防治水害的关系，保障防洪安全、供水安全和水生态安全，推进流域水治理体系和治理能力现代化。</w:t>
      </w:r>
    </w:p>
    <w:p w14:paraId="61F87477">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水资源保护规划、水生态保护与修复规划是以流域所在水功能区划分的基础上，分析流域水资源质量，开展污染现状调查和纳污能力分析，科学制定入河排污总量控制方案，根据流域环境特点及敏感环境保护目标，有针对性的进行了布局，为发展当地经济、改善贫苦面貌、更好地保护生态提供保障。水资源保护规划实施后，可提高流域水环境质量，保障重点城镇饮用水安全。</w:t>
      </w:r>
    </w:p>
    <w:p w14:paraId="1398E1AF">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经初步复核，云南省南盘江（珠江源头）生态保护修复工程约36.63hm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涉及珠江源省级自然保护区实验区、36.13hm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涉及珠江源省级风景名胜区一般控制区、约38.08hm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涉及云南珠江源国家森林公园，规划沾马灌区工程约5.4km涉及</w:t>
      </w:r>
      <w:r>
        <w:rPr>
          <w:rFonts w:hint="default" w:ascii="Times New Roman" w:hAnsi="Times New Roman" w:cs="Times New Roman"/>
          <w:color w:val="auto"/>
          <w:highlight w:val="none"/>
          <w:lang w:eastAsia="zh-CN"/>
        </w:rPr>
        <w:t>马龙马过河</w:t>
      </w:r>
      <w:r>
        <w:rPr>
          <w:rFonts w:hint="default" w:ascii="Times New Roman" w:hAnsi="Times New Roman" w:cs="Times New Roman"/>
          <w:color w:val="auto"/>
          <w:highlight w:val="none"/>
        </w:rPr>
        <w:t>风景名胜区一般控制区；自然保护地优化整合后，规划重点工程不再涉及自然保护区，但涉及风景名胜区、森林公园和饮用水源保护区，存在一定的空间布局不合理性。受当前规划深度制约，工程占地及输水管线尚未明确涉及敏感区及生态保护红线的具体关系，规划工程在设计阶段，应重点复核工程占地与敏感区及生态保护红线的位置关系，调整工程布局，优化线路布设，尽量避让敏感区及生态红线。</w:t>
      </w:r>
    </w:p>
    <w:p w14:paraId="6B16B1FD">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（2）实施内容和时序合理性</w:t>
      </w:r>
    </w:p>
    <w:p w14:paraId="60B738AF">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根据流域范围内2035年前建成的水利工程、各行业节水投入的情况以及流域社会发展指标预测结果，定量确定区域水资源在2035年时的供需情况，摸清南盘江（曲靖市境内）流域在发展过程中存在的水资源供需矛盾，识别各种开源和节流措施对缩减供需缺口的贡献率，通过措施的比选，利用最小的社会投入来最大限度地削减供需缺口。将2035年以后的规划重点工程按建成运行的年代顺序，安排建设投入使用，增加可利用水量，充分发挥当地水资源承载能力。适度调整现状供水水源的供水结构，供水量在现有水利工程的基础上，加上当地区域内有条件进行灌区工程建设，进行优化配置调度。</w:t>
      </w:r>
    </w:p>
    <w:p w14:paraId="26C32B3D">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rPr>
        <w:t>规划实施时序总体按照轻重缓急的要求，逐步解决流域内工程性缺水为主的局面，体现规划在实施时序上的侧重。从规划时序上看总体上是合理的。</w:t>
      </w:r>
    </w:p>
    <w:p w14:paraId="37551C93">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"_Toc5173"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规划规模的环境合理性</w:t>
      </w:r>
      <w:r>
        <w:rPr>
          <w:rFonts w:hint="default" w:ascii="Times New Roman" w:hAnsi="Times New Roman" w:eastAsia="宋体" w:cs="Times New Roman"/>
          <w:color w:val="auto"/>
          <w:highlight w:val="none"/>
        </w:rPr>
        <w:fldChar w:fldCharType="end"/>
      </w:r>
    </w:p>
    <w:p w14:paraId="66560751">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从水资源开发利用率、供水总量、用水定额、灌溉水利用系数等指标来进行总量红线符合性分析。</w:t>
      </w:r>
    </w:p>
    <w:p w14:paraId="0D638D83">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南盘江（曲靖市境内）流域水资源总量为778476万m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，人均占有水资源2196m</w:t>
      </w:r>
      <w:r>
        <w:rPr>
          <w:rFonts w:hint="default" w:ascii="Times New Roman" w:hAnsi="Times New Roman" w:cs="Times New Roman"/>
          <w:color w:val="auto"/>
          <w:highlight w:val="none"/>
          <w:vertAlign w:val="superscript"/>
        </w:rPr>
        <w:t>3</w:t>
      </w:r>
      <w:r>
        <w:rPr>
          <w:rFonts w:hint="default" w:ascii="Times New Roman" w:hAnsi="Times New Roman" w:cs="Times New Roman"/>
          <w:color w:val="auto"/>
          <w:highlight w:val="none"/>
        </w:rPr>
        <w:t xml:space="preserve">，流域内水资源开发程度为11.0%，高于云南省平均水平7.3%，但水资源开发存在时空分布不均，汛枯期降水差异较大，每年的12月至次年3月，降水稀少，降水量仅占全年降水量的8%左右。当前南盘江（曲靖市境内）流域现状多年平均需水量为140557万m³，总供水量91411万m³，缺水总量为49145万m³，缺水率为35.0%，随着社会经济的发展和规划工程的建设，经合理一次、二次、三次配置后，至2035年，南盘江（曲靖市境内）内配置的多年平均需水量为181323万m³，可供水量为170970万m³，缺水量为10353万m³，缺水率为5.7%，供需基本平衡。 </w:t>
      </w:r>
    </w:p>
    <w:p w14:paraId="4B718AE5">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到2035年曲靖大型灌区陆良坝部分的农业灌溉用水仍将存在一定缺口。究其原因，一是陆良坝子作为全省第一大高原平坝，水田连片，复种指数高，加之蔬菜、蚕桑等特色产业加快发展，用水高度集中，水资源消耗量大；二是陆良县处于曲靖中心城市区域下游，南盘江干流进入县境的来水量受上游拦蓄和生产生活取用影响较大，上下游用水矛盾客观存在。建议曲靖大型灌区内适度压减高耗水作物播种面积，大力发展喷灌、微灌、滴灌等高效节水灌溉模式，实现灌区内农灌“少用水、高利用、低排放”，最大限度挖掘灌区内部节水潜力，积极探索其他补水途径，逐步缩小农业灌溉供需缺口。</w:t>
      </w:r>
    </w:p>
    <w:p w14:paraId="131997D2">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综上所述，规划实施后，规划区南盘江（曲靖市境内）流域水资源供需达到平衡，用水总量没有超过总量控制，规划区的水资源开发利用率未达到国际认同的河流开发利用率上限，工农业供水的效率也明显提升，因此，本规划在考虑节水规划、加强农业节水的前提下，水资源开发利用规模是合理的。</w:t>
      </w:r>
    </w:p>
    <w:p w14:paraId="21250B6B">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"_Toc16461"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规划方案的环境目标可达性分析</w:t>
      </w:r>
      <w:r>
        <w:rPr>
          <w:rFonts w:hint="default" w:ascii="Times New Roman" w:hAnsi="Times New Roman" w:eastAsia="宋体" w:cs="Times New Roman"/>
          <w:color w:val="auto"/>
          <w:highlight w:val="none"/>
        </w:rPr>
        <w:fldChar w:fldCharType="end"/>
      </w:r>
    </w:p>
    <w:p w14:paraId="0BECF033">
      <w:pPr>
        <w:pStyle w:val="4"/>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对各规划项目进行合理布局，确定了合理规模，并在采取本规划环评报告提出的环境保护措施前提下，规划主要环境保护目标是可以实现的。各环境要素目标可达性分析详见表6.1.5-1。</w:t>
      </w:r>
    </w:p>
    <w:p w14:paraId="752387E3">
      <w:pPr>
        <w:pStyle w:val="4"/>
        <w:rPr>
          <w:rFonts w:hint="default" w:ascii="Times New Roman" w:hAnsi="Times New Roman" w:cs="Times New Roman"/>
          <w:color w:val="auto"/>
          <w:highlight w:val="none"/>
        </w:rPr>
        <w:sectPr>
          <w:pgSz w:w="11906" w:h="16838"/>
          <w:pgMar w:top="1440" w:right="1800" w:bottom="1440" w:left="1800" w:header="851" w:footer="992" w:gutter="0"/>
          <w:pgNumType w:fmt="decimal"/>
          <w:cols w:space="425" w:num="1"/>
          <w:docGrid w:type="lines" w:linePitch="312" w:charSpace="0"/>
        </w:sectPr>
      </w:pPr>
    </w:p>
    <w:p w14:paraId="3A0702F5">
      <w:pPr>
        <w:pStyle w:val="29"/>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表6.1.5-1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规划环境目标可达性分析表</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600"/>
        <w:gridCol w:w="1238"/>
        <w:gridCol w:w="2977"/>
        <w:gridCol w:w="9133"/>
      </w:tblGrid>
      <w:tr w14:paraId="03A39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0" w:hRule="atLeast"/>
          <w:jc w:val="center"/>
        </w:trPr>
        <w:tc>
          <w:tcPr>
            <w:tcW w:w="1838" w:type="dxa"/>
            <w:gridSpan w:val="2"/>
            <w:vAlign w:val="center"/>
          </w:tcPr>
          <w:p w14:paraId="3A0947C6">
            <w:pPr>
              <w:pStyle w:val="30"/>
              <w:bidi w:val="0"/>
              <w:rPr>
                <w:rFonts w:hint="default"/>
                <w:color w:val="auto"/>
              </w:rPr>
            </w:pPr>
            <w:bookmarkStart w:id="128" w:name="OLE_LINK318"/>
            <w:r>
              <w:rPr>
                <w:rFonts w:hint="default"/>
                <w:color w:val="auto"/>
              </w:rPr>
              <w:t>环境要素</w:t>
            </w:r>
            <w:bookmarkEnd w:id="128"/>
          </w:p>
        </w:tc>
        <w:tc>
          <w:tcPr>
            <w:tcW w:w="2977" w:type="dxa"/>
            <w:vAlign w:val="center"/>
          </w:tcPr>
          <w:p w14:paraId="11133772">
            <w:pPr>
              <w:pStyle w:val="30"/>
              <w:bidi w:val="0"/>
              <w:rPr>
                <w:rFonts w:hint="default"/>
                <w:color w:val="auto"/>
              </w:rPr>
            </w:pPr>
            <w:r>
              <w:rPr>
                <w:rFonts w:hint="default"/>
                <w:color w:val="auto"/>
              </w:rPr>
              <w:t>环境目标</w:t>
            </w:r>
          </w:p>
        </w:tc>
        <w:tc>
          <w:tcPr>
            <w:tcW w:w="9133" w:type="dxa"/>
            <w:vAlign w:val="center"/>
          </w:tcPr>
          <w:p w14:paraId="2942D2F4">
            <w:pPr>
              <w:pStyle w:val="30"/>
              <w:bidi w:val="0"/>
              <w:rPr>
                <w:rFonts w:hint="default"/>
                <w:color w:val="auto"/>
              </w:rPr>
            </w:pPr>
            <w:r>
              <w:rPr>
                <w:rFonts w:hint="default"/>
                <w:color w:val="auto"/>
              </w:rPr>
              <w:t>可达性分析</w:t>
            </w:r>
          </w:p>
        </w:tc>
      </w:tr>
      <w:tr w14:paraId="0B40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0" w:hRule="atLeast"/>
          <w:jc w:val="center"/>
        </w:trPr>
        <w:tc>
          <w:tcPr>
            <w:tcW w:w="600" w:type="dxa"/>
            <w:vMerge w:val="restart"/>
            <w:noWrap/>
            <w:vAlign w:val="center"/>
          </w:tcPr>
          <w:p w14:paraId="3644D2EA">
            <w:pPr>
              <w:pStyle w:val="30"/>
              <w:bidi w:val="0"/>
              <w:rPr>
                <w:rFonts w:hint="default"/>
                <w:color w:val="auto"/>
              </w:rPr>
            </w:pPr>
            <w:r>
              <w:rPr>
                <w:rFonts w:hint="default"/>
                <w:color w:val="auto"/>
              </w:rPr>
              <w:t>水文水资源</w:t>
            </w:r>
          </w:p>
        </w:tc>
        <w:tc>
          <w:tcPr>
            <w:tcW w:w="1238" w:type="dxa"/>
            <w:vAlign w:val="center"/>
          </w:tcPr>
          <w:p w14:paraId="095C27D0">
            <w:pPr>
              <w:pStyle w:val="30"/>
              <w:bidi w:val="0"/>
              <w:rPr>
                <w:rFonts w:hint="default"/>
                <w:color w:val="auto"/>
              </w:rPr>
            </w:pPr>
            <w:r>
              <w:rPr>
                <w:rFonts w:hint="default"/>
                <w:color w:val="auto"/>
              </w:rPr>
              <w:t>水资源</w:t>
            </w:r>
          </w:p>
        </w:tc>
        <w:tc>
          <w:tcPr>
            <w:tcW w:w="2977" w:type="dxa"/>
            <w:vAlign w:val="center"/>
          </w:tcPr>
          <w:p w14:paraId="2F701102">
            <w:pPr>
              <w:pStyle w:val="30"/>
              <w:bidi w:val="0"/>
              <w:rPr>
                <w:rFonts w:hint="default"/>
                <w:color w:val="auto"/>
              </w:rPr>
            </w:pPr>
            <w:r>
              <w:rPr>
                <w:rFonts w:hint="default"/>
                <w:color w:val="auto"/>
              </w:rPr>
              <w:t>水资源开发利用率≤40%</w:t>
            </w:r>
          </w:p>
        </w:tc>
        <w:tc>
          <w:tcPr>
            <w:tcW w:w="9133" w:type="dxa"/>
            <w:vAlign w:val="center"/>
          </w:tcPr>
          <w:p w14:paraId="79494746">
            <w:pPr>
              <w:pStyle w:val="30"/>
              <w:bidi w:val="0"/>
              <w:rPr>
                <w:rFonts w:hint="default"/>
                <w:color w:val="auto"/>
              </w:rPr>
            </w:pPr>
            <w:r>
              <w:rPr>
                <w:rFonts w:hint="default"/>
                <w:color w:val="auto"/>
              </w:rPr>
              <w:t>现状年南盘江（曲靖市境内）流域水资源开发利用率为11.1%，至规划水平年，水资源开发利用率达到21.2%，规划实施水资源开发利用率有所提高，区域内水资源供需基本平衡，水资源开发利用率远低于40%。</w:t>
            </w:r>
          </w:p>
        </w:tc>
      </w:tr>
      <w:tr w14:paraId="422D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0" w:hRule="atLeast"/>
          <w:jc w:val="center"/>
        </w:trPr>
        <w:tc>
          <w:tcPr>
            <w:tcW w:w="600" w:type="dxa"/>
            <w:vMerge w:val="continue"/>
            <w:vAlign w:val="center"/>
          </w:tcPr>
          <w:p w14:paraId="3C2C60CE">
            <w:pPr>
              <w:pStyle w:val="30"/>
              <w:bidi w:val="0"/>
              <w:rPr>
                <w:rFonts w:hint="default"/>
                <w:color w:val="auto"/>
              </w:rPr>
            </w:pPr>
          </w:p>
        </w:tc>
        <w:tc>
          <w:tcPr>
            <w:tcW w:w="1238" w:type="dxa"/>
            <w:vMerge w:val="restart"/>
            <w:vAlign w:val="center"/>
          </w:tcPr>
          <w:p w14:paraId="0D8A83EC">
            <w:pPr>
              <w:pStyle w:val="30"/>
              <w:bidi w:val="0"/>
              <w:rPr>
                <w:rFonts w:hint="default"/>
                <w:color w:val="auto"/>
              </w:rPr>
            </w:pPr>
            <w:r>
              <w:rPr>
                <w:rFonts w:hint="default"/>
                <w:color w:val="auto"/>
              </w:rPr>
              <w:t>水文情势</w:t>
            </w:r>
          </w:p>
        </w:tc>
        <w:tc>
          <w:tcPr>
            <w:tcW w:w="2977" w:type="dxa"/>
            <w:vAlign w:val="center"/>
          </w:tcPr>
          <w:p w14:paraId="15F3BA58">
            <w:pPr>
              <w:pStyle w:val="30"/>
              <w:bidi w:val="0"/>
              <w:rPr>
                <w:rFonts w:hint="default"/>
                <w:color w:val="auto"/>
              </w:rPr>
            </w:pPr>
            <w:r>
              <w:rPr>
                <w:rFonts w:hint="default"/>
                <w:color w:val="auto"/>
              </w:rPr>
              <w:t>保护流域水资源量，促进水资源可持续利用</w:t>
            </w:r>
          </w:p>
        </w:tc>
        <w:tc>
          <w:tcPr>
            <w:tcW w:w="9133" w:type="dxa"/>
            <w:vAlign w:val="center"/>
          </w:tcPr>
          <w:p w14:paraId="424091FE">
            <w:pPr>
              <w:pStyle w:val="30"/>
              <w:bidi w:val="0"/>
              <w:rPr>
                <w:rFonts w:hint="default"/>
                <w:color w:val="auto"/>
              </w:rPr>
            </w:pPr>
            <w:r>
              <w:rPr>
                <w:rFonts w:hint="default"/>
                <w:color w:val="auto"/>
              </w:rPr>
              <w:t>流域范围内水资源丰富，南盘江（曲靖市境内）流域水资源总量为77.2亿m³，规划实施后流域内在P=75%保证率下，缺水率3.2%，水资源供需平衡；多年平均保证率下缺水率5.7%，主要为农业灌溉缺水，缺水量在合理范围内。水资源配置按照相关要求退减预留生态水量，水资源开发利用统筹了河道内、河道外用水以及生产、生活、生态环境用水，以满足水资源可持续利用要求。</w:t>
            </w:r>
          </w:p>
        </w:tc>
      </w:tr>
      <w:tr w14:paraId="5ECC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0" w:hRule="atLeast"/>
          <w:jc w:val="center"/>
        </w:trPr>
        <w:tc>
          <w:tcPr>
            <w:tcW w:w="600" w:type="dxa"/>
            <w:vMerge w:val="continue"/>
            <w:vAlign w:val="center"/>
          </w:tcPr>
          <w:p w14:paraId="69FF85B9">
            <w:pPr>
              <w:pStyle w:val="30"/>
              <w:bidi w:val="0"/>
              <w:rPr>
                <w:rFonts w:hint="default"/>
                <w:color w:val="auto"/>
              </w:rPr>
            </w:pPr>
          </w:p>
        </w:tc>
        <w:tc>
          <w:tcPr>
            <w:tcW w:w="1238" w:type="dxa"/>
            <w:vMerge w:val="continue"/>
            <w:vAlign w:val="center"/>
          </w:tcPr>
          <w:p w14:paraId="0AB9F416">
            <w:pPr>
              <w:pStyle w:val="30"/>
              <w:bidi w:val="0"/>
              <w:rPr>
                <w:rFonts w:hint="default"/>
                <w:color w:val="auto"/>
              </w:rPr>
            </w:pPr>
          </w:p>
        </w:tc>
        <w:tc>
          <w:tcPr>
            <w:tcW w:w="2977" w:type="dxa"/>
            <w:vAlign w:val="center"/>
          </w:tcPr>
          <w:p w14:paraId="1AD5965C">
            <w:pPr>
              <w:pStyle w:val="30"/>
              <w:bidi w:val="0"/>
              <w:rPr>
                <w:rFonts w:hint="default"/>
                <w:color w:val="auto"/>
              </w:rPr>
            </w:pPr>
            <w:r>
              <w:rPr>
                <w:rFonts w:hint="default"/>
                <w:color w:val="auto"/>
              </w:rPr>
              <w:t>控制断面生态流量保障目标90%</w:t>
            </w:r>
          </w:p>
        </w:tc>
        <w:tc>
          <w:tcPr>
            <w:tcW w:w="9133" w:type="dxa"/>
            <w:vAlign w:val="center"/>
          </w:tcPr>
          <w:p w14:paraId="0DA71B3B">
            <w:pPr>
              <w:pStyle w:val="30"/>
              <w:bidi w:val="0"/>
              <w:rPr>
                <w:rFonts w:hint="default"/>
                <w:color w:val="auto"/>
              </w:rPr>
            </w:pPr>
            <w:r>
              <w:rPr>
                <w:rFonts w:hint="default"/>
                <w:color w:val="auto"/>
              </w:rPr>
              <w:t>对于纳入生态流量保障重要河湖名录的主要控制断面，重点河湖基本生态流量达标率达到90%以上。</w:t>
            </w:r>
          </w:p>
        </w:tc>
      </w:tr>
      <w:tr w14:paraId="458A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0" w:hRule="atLeast"/>
          <w:jc w:val="center"/>
        </w:trPr>
        <w:tc>
          <w:tcPr>
            <w:tcW w:w="600" w:type="dxa"/>
            <w:vMerge w:val="restart"/>
            <w:vAlign w:val="center"/>
          </w:tcPr>
          <w:p w14:paraId="6090D217">
            <w:pPr>
              <w:pStyle w:val="30"/>
              <w:bidi w:val="0"/>
              <w:rPr>
                <w:rFonts w:hint="default"/>
                <w:color w:val="auto"/>
              </w:rPr>
            </w:pPr>
            <w:r>
              <w:rPr>
                <w:rFonts w:hint="default"/>
                <w:color w:val="auto"/>
              </w:rPr>
              <w:t>水环境</w:t>
            </w:r>
          </w:p>
        </w:tc>
        <w:tc>
          <w:tcPr>
            <w:tcW w:w="1238" w:type="dxa"/>
            <w:vAlign w:val="center"/>
          </w:tcPr>
          <w:p w14:paraId="2ED8AE79">
            <w:pPr>
              <w:pStyle w:val="30"/>
              <w:bidi w:val="0"/>
              <w:rPr>
                <w:rFonts w:hint="default"/>
                <w:color w:val="auto"/>
              </w:rPr>
            </w:pPr>
            <w:r>
              <w:rPr>
                <w:rFonts w:hint="default"/>
                <w:color w:val="auto"/>
              </w:rPr>
              <w:t>水温</w:t>
            </w:r>
          </w:p>
        </w:tc>
        <w:tc>
          <w:tcPr>
            <w:tcW w:w="2977" w:type="dxa"/>
            <w:vAlign w:val="center"/>
          </w:tcPr>
          <w:p w14:paraId="49AA23EF">
            <w:pPr>
              <w:pStyle w:val="30"/>
              <w:bidi w:val="0"/>
              <w:rPr>
                <w:rFonts w:hint="default"/>
                <w:color w:val="auto"/>
              </w:rPr>
            </w:pPr>
            <w:r>
              <w:rPr>
                <w:rFonts w:hint="default"/>
                <w:color w:val="auto"/>
              </w:rPr>
              <w:t>减缓低温水下泄的影响，满足鱼类及水生生物生存要求，满足灌溉用水要求</w:t>
            </w:r>
          </w:p>
        </w:tc>
        <w:tc>
          <w:tcPr>
            <w:tcW w:w="9133" w:type="dxa"/>
            <w:vAlign w:val="center"/>
          </w:tcPr>
          <w:p w14:paraId="1F3168B5">
            <w:pPr>
              <w:pStyle w:val="30"/>
              <w:bidi w:val="0"/>
              <w:rPr>
                <w:rFonts w:hint="default"/>
                <w:color w:val="auto"/>
              </w:rPr>
            </w:pPr>
            <w:r>
              <w:rPr>
                <w:rFonts w:hint="default"/>
                <w:color w:val="auto"/>
              </w:rPr>
              <w:t>结合水温预测结果，规划范围内水源为分层型水库，罗师灌区水源工程小务龙水库提了分层取水减缓措施，合理利用水库洪水调度运行方式，根据汛期来水流大，紊动较强特点，利用放空洞排出库底低温水体，可以较大程度改善水温的垂向结构，通过放空洞下泄的水体通过挑流消能，将水流散射到空中，产生水流的撞击作用，增加水体与空气的接触面积，吸收太阳辐射，可有效促使泄流水体升温。</w:t>
            </w:r>
          </w:p>
        </w:tc>
      </w:tr>
      <w:tr w14:paraId="1A7D1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593" w:hRule="atLeast"/>
          <w:jc w:val="center"/>
        </w:trPr>
        <w:tc>
          <w:tcPr>
            <w:tcW w:w="600" w:type="dxa"/>
            <w:vMerge w:val="continue"/>
            <w:vAlign w:val="center"/>
          </w:tcPr>
          <w:p w14:paraId="76659F12">
            <w:pPr>
              <w:pStyle w:val="30"/>
              <w:bidi w:val="0"/>
              <w:rPr>
                <w:rFonts w:hint="default"/>
                <w:color w:val="auto"/>
              </w:rPr>
            </w:pPr>
          </w:p>
        </w:tc>
        <w:tc>
          <w:tcPr>
            <w:tcW w:w="1238" w:type="dxa"/>
            <w:vMerge w:val="restart"/>
            <w:vAlign w:val="center"/>
          </w:tcPr>
          <w:p w14:paraId="339466FB">
            <w:pPr>
              <w:pStyle w:val="30"/>
              <w:bidi w:val="0"/>
              <w:rPr>
                <w:rFonts w:hint="default"/>
                <w:color w:val="auto"/>
              </w:rPr>
            </w:pPr>
            <w:r>
              <w:rPr>
                <w:rFonts w:hint="default"/>
                <w:color w:val="auto"/>
              </w:rPr>
              <w:t>水质</w:t>
            </w:r>
          </w:p>
        </w:tc>
        <w:tc>
          <w:tcPr>
            <w:tcW w:w="2977" w:type="dxa"/>
            <w:vAlign w:val="center"/>
          </w:tcPr>
          <w:p w14:paraId="5F3F8552">
            <w:pPr>
              <w:pStyle w:val="30"/>
              <w:bidi w:val="0"/>
              <w:rPr>
                <w:rFonts w:hint="default"/>
                <w:color w:val="auto"/>
              </w:rPr>
            </w:pPr>
            <w:r>
              <w:rPr>
                <w:rFonts w:hint="default"/>
                <w:color w:val="auto"/>
              </w:rPr>
              <w:t>饮用水水源地水质达标率100%</w:t>
            </w:r>
          </w:p>
        </w:tc>
        <w:tc>
          <w:tcPr>
            <w:tcW w:w="9133" w:type="dxa"/>
            <w:vMerge w:val="restart"/>
            <w:vAlign w:val="center"/>
          </w:tcPr>
          <w:p w14:paraId="22EA8856">
            <w:pPr>
              <w:pStyle w:val="30"/>
              <w:bidi w:val="0"/>
              <w:rPr>
                <w:rFonts w:hint="default"/>
                <w:color w:val="auto"/>
              </w:rPr>
            </w:pPr>
            <w:r>
              <w:rPr>
                <w:rFonts w:hint="default"/>
                <w:color w:val="auto"/>
              </w:rPr>
              <w:t>规划范围涉及25个国控、省控断面（国控5个、省控20个）。根据曲靖市2022—2025年环境质量年报，25个国控、省控断面中，20个断面近4年水质均达标，5个断面出现超标。其中，冯家圩、西河水库坝中2个省控断面近4年均未达标；潇湘水库坝中省控断面近3年（2023—2025年）未达标，2022年达标；沾益铁路桥、响水河水库2个省控断面2022年未达标，近3年（2023—2025年）达标。规划中水资源保护工程的实施系统治理南盘江（曲靖市境内）流域水生态，恢复南盘江（曲靖市境内）流域水质，在此基础上，提升周边村镇人居环境。</w:t>
            </w:r>
          </w:p>
        </w:tc>
      </w:tr>
      <w:tr w14:paraId="6971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26" w:hRule="atLeast"/>
          <w:jc w:val="center"/>
        </w:trPr>
        <w:tc>
          <w:tcPr>
            <w:tcW w:w="600" w:type="dxa"/>
            <w:vMerge w:val="continue"/>
            <w:vAlign w:val="center"/>
          </w:tcPr>
          <w:p w14:paraId="4B7AC587">
            <w:pPr>
              <w:pStyle w:val="30"/>
              <w:bidi w:val="0"/>
              <w:rPr>
                <w:rFonts w:hint="default"/>
                <w:color w:val="auto"/>
              </w:rPr>
            </w:pPr>
          </w:p>
        </w:tc>
        <w:tc>
          <w:tcPr>
            <w:tcW w:w="1238" w:type="dxa"/>
            <w:vMerge w:val="continue"/>
            <w:vAlign w:val="center"/>
          </w:tcPr>
          <w:p w14:paraId="3FF8B013">
            <w:pPr>
              <w:pStyle w:val="30"/>
              <w:bidi w:val="0"/>
              <w:rPr>
                <w:rFonts w:hint="default"/>
                <w:color w:val="auto"/>
              </w:rPr>
            </w:pPr>
          </w:p>
        </w:tc>
        <w:tc>
          <w:tcPr>
            <w:tcW w:w="2977" w:type="dxa"/>
            <w:vAlign w:val="center"/>
          </w:tcPr>
          <w:p w14:paraId="42878F2F">
            <w:pPr>
              <w:pStyle w:val="30"/>
              <w:bidi w:val="0"/>
              <w:rPr>
                <w:rFonts w:hint="default"/>
                <w:color w:val="auto"/>
              </w:rPr>
            </w:pPr>
            <w:r>
              <w:rPr>
                <w:rFonts w:hint="default"/>
                <w:color w:val="auto"/>
              </w:rPr>
              <w:t>控制断面水质达标率100%</w:t>
            </w:r>
          </w:p>
        </w:tc>
        <w:tc>
          <w:tcPr>
            <w:tcW w:w="9133" w:type="dxa"/>
            <w:vMerge w:val="continue"/>
            <w:vAlign w:val="center"/>
          </w:tcPr>
          <w:p w14:paraId="658CE673">
            <w:pPr>
              <w:pStyle w:val="30"/>
              <w:bidi w:val="0"/>
              <w:rPr>
                <w:rFonts w:hint="default"/>
                <w:color w:val="auto"/>
              </w:rPr>
            </w:pPr>
          </w:p>
        </w:tc>
      </w:tr>
      <w:tr w14:paraId="704DD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0" w:hRule="atLeast"/>
          <w:jc w:val="center"/>
        </w:trPr>
        <w:tc>
          <w:tcPr>
            <w:tcW w:w="600" w:type="dxa"/>
            <w:vMerge w:val="continue"/>
            <w:vAlign w:val="center"/>
          </w:tcPr>
          <w:p w14:paraId="47C41464">
            <w:pPr>
              <w:pStyle w:val="30"/>
              <w:bidi w:val="0"/>
              <w:rPr>
                <w:rFonts w:hint="default"/>
                <w:color w:val="auto"/>
              </w:rPr>
            </w:pPr>
          </w:p>
        </w:tc>
        <w:tc>
          <w:tcPr>
            <w:tcW w:w="1238" w:type="dxa"/>
            <w:vMerge w:val="continue"/>
            <w:vAlign w:val="center"/>
          </w:tcPr>
          <w:p w14:paraId="484F0A82">
            <w:pPr>
              <w:pStyle w:val="30"/>
              <w:bidi w:val="0"/>
              <w:rPr>
                <w:rFonts w:hint="default"/>
                <w:color w:val="auto"/>
              </w:rPr>
            </w:pPr>
          </w:p>
        </w:tc>
        <w:tc>
          <w:tcPr>
            <w:tcW w:w="2977" w:type="dxa"/>
            <w:vAlign w:val="center"/>
          </w:tcPr>
          <w:p w14:paraId="1B52F053">
            <w:pPr>
              <w:pStyle w:val="30"/>
              <w:bidi w:val="0"/>
              <w:rPr>
                <w:rFonts w:hint="default"/>
                <w:color w:val="auto"/>
              </w:rPr>
            </w:pPr>
            <w:r>
              <w:rPr>
                <w:rFonts w:hint="default"/>
                <w:color w:val="auto"/>
              </w:rPr>
              <w:t>水功能区达标率100%</w:t>
            </w:r>
          </w:p>
        </w:tc>
        <w:tc>
          <w:tcPr>
            <w:tcW w:w="9133" w:type="dxa"/>
            <w:vMerge w:val="continue"/>
            <w:vAlign w:val="center"/>
          </w:tcPr>
          <w:p w14:paraId="57DA647C">
            <w:pPr>
              <w:pStyle w:val="30"/>
              <w:bidi w:val="0"/>
              <w:rPr>
                <w:rFonts w:hint="default"/>
                <w:color w:val="auto"/>
              </w:rPr>
            </w:pPr>
          </w:p>
        </w:tc>
      </w:tr>
      <w:tr w14:paraId="04DB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467" w:hRule="atLeast"/>
          <w:jc w:val="center"/>
        </w:trPr>
        <w:tc>
          <w:tcPr>
            <w:tcW w:w="600" w:type="dxa"/>
            <w:vMerge w:val="restart"/>
            <w:vAlign w:val="center"/>
          </w:tcPr>
          <w:p w14:paraId="760024AE">
            <w:pPr>
              <w:pStyle w:val="30"/>
              <w:bidi w:val="0"/>
              <w:rPr>
                <w:rFonts w:hint="default"/>
                <w:color w:val="auto"/>
              </w:rPr>
            </w:pPr>
            <w:r>
              <w:rPr>
                <w:rFonts w:hint="default"/>
                <w:color w:val="auto"/>
              </w:rPr>
              <w:t>生态环境</w:t>
            </w:r>
          </w:p>
        </w:tc>
        <w:tc>
          <w:tcPr>
            <w:tcW w:w="1238" w:type="dxa"/>
            <w:vMerge w:val="restart"/>
            <w:vAlign w:val="center"/>
          </w:tcPr>
          <w:p w14:paraId="7E8C2383">
            <w:pPr>
              <w:pStyle w:val="30"/>
              <w:bidi w:val="0"/>
              <w:rPr>
                <w:rFonts w:hint="default"/>
                <w:color w:val="auto"/>
              </w:rPr>
            </w:pPr>
            <w:r>
              <w:rPr>
                <w:rFonts w:hint="default"/>
                <w:color w:val="auto"/>
              </w:rPr>
              <w:t>生态环境</w:t>
            </w:r>
          </w:p>
        </w:tc>
        <w:tc>
          <w:tcPr>
            <w:tcW w:w="2977" w:type="dxa"/>
            <w:vAlign w:val="center"/>
          </w:tcPr>
          <w:p w14:paraId="613B65FA">
            <w:pPr>
              <w:pStyle w:val="30"/>
              <w:bidi w:val="0"/>
              <w:rPr>
                <w:rFonts w:hint="default"/>
                <w:color w:val="auto"/>
              </w:rPr>
            </w:pPr>
            <w:r>
              <w:rPr>
                <w:rFonts w:hint="default"/>
                <w:color w:val="auto"/>
              </w:rPr>
              <w:t>生态完整性</w:t>
            </w:r>
          </w:p>
        </w:tc>
        <w:tc>
          <w:tcPr>
            <w:tcW w:w="9133" w:type="dxa"/>
            <w:vAlign w:val="center"/>
          </w:tcPr>
          <w:p w14:paraId="3EC41EBB">
            <w:pPr>
              <w:pStyle w:val="30"/>
              <w:bidi w:val="0"/>
              <w:rPr>
                <w:rFonts w:hint="eastAsia" w:eastAsia="宋体"/>
                <w:color w:val="auto"/>
                <w:lang w:eastAsia="zh-CN"/>
              </w:rPr>
            </w:pPr>
            <w:r>
              <w:rPr>
                <w:rFonts w:hint="default"/>
                <w:color w:val="auto"/>
              </w:rPr>
              <w:t>保护区域生物多样性，保护区域生态系统稳定性，维护生物栖息地的地貌特征，河流连通性</w:t>
            </w:r>
            <w:r>
              <w:rPr>
                <w:rFonts w:hint="eastAsia"/>
                <w:color w:val="auto"/>
                <w:lang w:eastAsia="zh-CN"/>
              </w:rPr>
              <w:t>。</w:t>
            </w:r>
          </w:p>
        </w:tc>
      </w:tr>
      <w:tr w14:paraId="22939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6" w:hRule="atLeast"/>
          <w:jc w:val="center"/>
        </w:trPr>
        <w:tc>
          <w:tcPr>
            <w:tcW w:w="600" w:type="dxa"/>
            <w:vMerge w:val="continue"/>
            <w:vAlign w:val="center"/>
          </w:tcPr>
          <w:p w14:paraId="7FC31D24">
            <w:pPr>
              <w:pStyle w:val="30"/>
              <w:bidi w:val="0"/>
              <w:rPr>
                <w:rFonts w:hint="default"/>
                <w:color w:val="auto"/>
              </w:rPr>
            </w:pPr>
          </w:p>
        </w:tc>
        <w:tc>
          <w:tcPr>
            <w:tcW w:w="1238" w:type="dxa"/>
            <w:vMerge w:val="continue"/>
            <w:vAlign w:val="center"/>
          </w:tcPr>
          <w:p w14:paraId="7B41DA92">
            <w:pPr>
              <w:pStyle w:val="30"/>
              <w:bidi w:val="0"/>
              <w:rPr>
                <w:rFonts w:hint="default"/>
                <w:color w:val="auto"/>
              </w:rPr>
            </w:pPr>
          </w:p>
        </w:tc>
        <w:tc>
          <w:tcPr>
            <w:tcW w:w="2977" w:type="dxa"/>
            <w:vAlign w:val="center"/>
          </w:tcPr>
          <w:p w14:paraId="286B13D8">
            <w:pPr>
              <w:pStyle w:val="30"/>
              <w:bidi w:val="0"/>
              <w:rPr>
                <w:rFonts w:hint="default"/>
                <w:color w:val="auto"/>
              </w:rPr>
            </w:pPr>
            <w:r>
              <w:rPr>
                <w:rFonts w:hint="default"/>
                <w:color w:val="auto"/>
              </w:rPr>
              <w:t>陆生生态</w:t>
            </w:r>
          </w:p>
        </w:tc>
        <w:tc>
          <w:tcPr>
            <w:tcW w:w="9133" w:type="dxa"/>
            <w:vAlign w:val="center"/>
          </w:tcPr>
          <w:p w14:paraId="2EE5023D">
            <w:pPr>
              <w:pStyle w:val="30"/>
              <w:bidi w:val="0"/>
              <w:rPr>
                <w:rFonts w:hint="eastAsia" w:eastAsia="宋体"/>
                <w:color w:val="auto"/>
                <w:lang w:eastAsia="zh-CN"/>
              </w:rPr>
            </w:pPr>
            <w:r>
              <w:rPr>
                <w:rFonts w:hint="default"/>
                <w:color w:val="auto"/>
              </w:rPr>
              <w:t>维护流域生态系统的完整性、稳定性和多样性，珍稀、濒危、特有生物以及具有重要经济价值的动植物及栖息地得到有效保护</w:t>
            </w:r>
            <w:r>
              <w:rPr>
                <w:rFonts w:hint="eastAsia"/>
                <w:color w:val="auto"/>
                <w:lang w:eastAsia="zh-CN"/>
              </w:rPr>
              <w:t>。</w:t>
            </w:r>
          </w:p>
        </w:tc>
      </w:tr>
      <w:tr w14:paraId="163B0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426" w:hRule="atLeast"/>
          <w:jc w:val="center"/>
        </w:trPr>
        <w:tc>
          <w:tcPr>
            <w:tcW w:w="600" w:type="dxa"/>
            <w:vMerge w:val="continue"/>
            <w:vAlign w:val="center"/>
          </w:tcPr>
          <w:p w14:paraId="140FF754">
            <w:pPr>
              <w:pStyle w:val="30"/>
              <w:bidi w:val="0"/>
              <w:rPr>
                <w:rFonts w:hint="default"/>
                <w:color w:val="auto"/>
              </w:rPr>
            </w:pPr>
          </w:p>
        </w:tc>
        <w:tc>
          <w:tcPr>
            <w:tcW w:w="1238" w:type="dxa"/>
            <w:vMerge w:val="continue"/>
            <w:vAlign w:val="center"/>
          </w:tcPr>
          <w:p w14:paraId="43900178">
            <w:pPr>
              <w:pStyle w:val="30"/>
              <w:bidi w:val="0"/>
              <w:rPr>
                <w:rFonts w:hint="default"/>
                <w:color w:val="auto"/>
              </w:rPr>
            </w:pPr>
          </w:p>
        </w:tc>
        <w:tc>
          <w:tcPr>
            <w:tcW w:w="2977" w:type="dxa"/>
            <w:vAlign w:val="center"/>
          </w:tcPr>
          <w:p w14:paraId="06953C07">
            <w:pPr>
              <w:pStyle w:val="30"/>
              <w:bidi w:val="0"/>
              <w:rPr>
                <w:rFonts w:hint="default"/>
                <w:color w:val="auto"/>
              </w:rPr>
            </w:pPr>
            <w:r>
              <w:rPr>
                <w:rFonts w:hint="default"/>
                <w:color w:val="auto"/>
              </w:rPr>
              <w:t>水生生态</w:t>
            </w:r>
          </w:p>
        </w:tc>
        <w:tc>
          <w:tcPr>
            <w:tcW w:w="9133" w:type="dxa"/>
            <w:vAlign w:val="center"/>
          </w:tcPr>
          <w:p w14:paraId="262C8D72">
            <w:pPr>
              <w:pStyle w:val="30"/>
              <w:bidi w:val="0"/>
              <w:rPr>
                <w:rFonts w:hint="eastAsia" w:eastAsia="宋体"/>
                <w:color w:val="auto"/>
                <w:lang w:eastAsia="zh-CN"/>
              </w:rPr>
            </w:pPr>
            <w:r>
              <w:rPr>
                <w:rFonts w:hint="default"/>
                <w:color w:val="auto"/>
              </w:rPr>
              <w:t>保护水生生物物种及多样性，保护珍稀水生动物及其生境，保护重要鱼类生物洄游通道、产卵场、越冬场与索饵场</w:t>
            </w:r>
            <w:r>
              <w:rPr>
                <w:rFonts w:hint="eastAsia"/>
                <w:color w:val="auto"/>
                <w:lang w:eastAsia="zh-CN"/>
              </w:rPr>
              <w:t>。</w:t>
            </w:r>
          </w:p>
        </w:tc>
      </w:tr>
      <w:tr w14:paraId="635A7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0" w:hRule="atLeast"/>
          <w:jc w:val="center"/>
        </w:trPr>
        <w:tc>
          <w:tcPr>
            <w:tcW w:w="600" w:type="dxa"/>
            <w:vMerge w:val="continue"/>
            <w:vAlign w:val="center"/>
          </w:tcPr>
          <w:p w14:paraId="722309B8">
            <w:pPr>
              <w:pStyle w:val="30"/>
              <w:bidi w:val="0"/>
              <w:rPr>
                <w:rFonts w:hint="default"/>
                <w:color w:val="auto"/>
              </w:rPr>
            </w:pPr>
          </w:p>
        </w:tc>
        <w:tc>
          <w:tcPr>
            <w:tcW w:w="1238" w:type="dxa"/>
            <w:vMerge w:val="continue"/>
            <w:vAlign w:val="center"/>
          </w:tcPr>
          <w:p w14:paraId="4538D38D">
            <w:pPr>
              <w:pStyle w:val="30"/>
              <w:bidi w:val="0"/>
              <w:rPr>
                <w:rFonts w:hint="default"/>
                <w:color w:val="auto"/>
              </w:rPr>
            </w:pPr>
          </w:p>
        </w:tc>
        <w:tc>
          <w:tcPr>
            <w:tcW w:w="2977" w:type="dxa"/>
            <w:vAlign w:val="center"/>
          </w:tcPr>
          <w:p w14:paraId="30189DDE">
            <w:pPr>
              <w:pStyle w:val="30"/>
              <w:bidi w:val="0"/>
              <w:rPr>
                <w:rFonts w:hint="default"/>
                <w:color w:val="auto"/>
              </w:rPr>
            </w:pPr>
            <w:r>
              <w:rPr>
                <w:rFonts w:hint="default"/>
                <w:color w:val="auto"/>
              </w:rPr>
              <w:t>水土流失</w:t>
            </w:r>
          </w:p>
        </w:tc>
        <w:tc>
          <w:tcPr>
            <w:tcW w:w="9133" w:type="dxa"/>
            <w:vAlign w:val="center"/>
          </w:tcPr>
          <w:p w14:paraId="3B6D18BA">
            <w:pPr>
              <w:pStyle w:val="30"/>
              <w:bidi w:val="0"/>
              <w:rPr>
                <w:rFonts w:hint="eastAsia" w:eastAsia="宋体"/>
                <w:color w:val="auto"/>
                <w:lang w:eastAsia="zh-CN"/>
              </w:rPr>
            </w:pPr>
            <w:r>
              <w:rPr>
                <w:rFonts w:hint="default"/>
                <w:color w:val="auto"/>
              </w:rPr>
              <w:t>防治和治理区域水土流失</w:t>
            </w:r>
            <w:r>
              <w:rPr>
                <w:rFonts w:hint="eastAsia"/>
                <w:color w:val="auto"/>
                <w:lang w:eastAsia="zh-CN"/>
              </w:rPr>
              <w:t>。</w:t>
            </w:r>
          </w:p>
        </w:tc>
      </w:tr>
      <w:tr w14:paraId="128A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54" w:hRule="atLeast"/>
          <w:jc w:val="center"/>
        </w:trPr>
        <w:tc>
          <w:tcPr>
            <w:tcW w:w="600" w:type="dxa"/>
            <w:vMerge w:val="restart"/>
            <w:vAlign w:val="center"/>
          </w:tcPr>
          <w:p w14:paraId="1FC35A8F">
            <w:pPr>
              <w:pStyle w:val="30"/>
              <w:bidi w:val="0"/>
              <w:rPr>
                <w:rFonts w:hint="default"/>
                <w:color w:val="auto"/>
              </w:rPr>
            </w:pPr>
            <w:r>
              <w:rPr>
                <w:rFonts w:hint="default"/>
                <w:color w:val="auto"/>
              </w:rPr>
              <w:t>土地资源</w:t>
            </w:r>
          </w:p>
        </w:tc>
        <w:tc>
          <w:tcPr>
            <w:tcW w:w="1238" w:type="dxa"/>
            <w:vMerge w:val="restart"/>
            <w:vAlign w:val="center"/>
          </w:tcPr>
          <w:p w14:paraId="2475F119">
            <w:pPr>
              <w:pStyle w:val="30"/>
              <w:bidi w:val="0"/>
              <w:rPr>
                <w:rFonts w:hint="default"/>
                <w:color w:val="auto"/>
              </w:rPr>
            </w:pPr>
            <w:r>
              <w:rPr>
                <w:rFonts w:hint="default"/>
                <w:color w:val="auto"/>
              </w:rPr>
              <w:t>土地资源</w:t>
            </w:r>
          </w:p>
        </w:tc>
        <w:tc>
          <w:tcPr>
            <w:tcW w:w="2977" w:type="dxa"/>
            <w:vAlign w:val="center"/>
          </w:tcPr>
          <w:p w14:paraId="5BAF1B0E">
            <w:pPr>
              <w:pStyle w:val="30"/>
              <w:bidi w:val="0"/>
              <w:rPr>
                <w:rFonts w:hint="default"/>
                <w:color w:val="auto"/>
              </w:rPr>
            </w:pPr>
            <w:r>
              <w:rPr>
                <w:rFonts w:hint="default"/>
                <w:color w:val="auto"/>
              </w:rPr>
              <w:t>土地利用</w:t>
            </w:r>
          </w:p>
        </w:tc>
        <w:tc>
          <w:tcPr>
            <w:tcW w:w="9133" w:type="dxa"/>
            <w:vAlign w:val="center"/>
          </w:tcPr>
          <w:p w14:paraId="67ADD328">
            <w:pPr>
              <w:pStyle w:val="30"/>
              <w:bidi w:val="0"/>
              <w:rPr>
                <w:rFonts w:hint="eastAsia" w:eastAsia="宋体"/>
                <w:color w:val="auto"/>
                <w:lang w:eastAsia="zh-CN"/>
              </w:rPr>
            </w:pPr>
            <w:r>
              <w:rPr>
                <w:rFonts w:hint="default"/>
                <w:color w:val="auto"/>
              </w:rPr>
              <w:t>保持土地资源可持续利用，保护耕地、林地，保持农业生产可持续发展</w:t>
            </w:r>
            <w:r>
              <w:rPr>
                <w:rFonts w:hint="eastAsia"/>
                <w:color w:val="auto"/>
                <w:lang w:eastAsia="zh-CN"/>
              </w:rPr>
              <w:t>。</w:t>
            </w:r>
          </w:p>
        </w:tc>
      </w:tr>
      <w:tr w14:paraId="2A212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0" w:hRule="atLeast"/>
          <w:jc w:val="center"/>
        </w:trPr>
        <w:tc>
          <w:tcPr>
            <w:tcW w:w="600" w:type="dxa"/>
            <w:vMerge w:val="continue"/>
            <w:vAlign w:val="center"/>
          </w:tcPr>
          <w:p w14:paraId="6983EBCE">
            <w:pPr>
              <w:pStyle w:val="30"/>
              <w:bidi w:val="0"/>
              <w:rPr>
                <w:rFonts w:hint="default"/>
                <w:color w:val="auto"/>
              </w:rPr>
            </w:pPr>
          </w:p>
        </w:tc>
        <w:tc>
          <w:tcPr>
            <w:tcW w:w="1238" w:type="dxa"/>
            <w:vMerge w:val="continue"/>
            <w:vAlign w:val="center"/>
          </w:tcPr>
          <w:p w14:paraId="04FA3BDF">
            <w:pPr>
              <w:pStyle w:val="30"/>
              <w:bidi w:val="0"/>
              <w:rPr>
                <w:rFonts w:hint="default"/>
                <w:color w:val="auto"/>
              </w:rPr>
            </w:pPr>
          </w:p>
        </w:tc>
        <w:tc>
          <w:tcPr>
            <w:tcW w:w="2977" w:type="dxa"/>
            <w:vAlign w:val="center"/>
          </w:tcPr>
          <w:p w14:paraId="0ED77B0F">
            <w:pPr>
              <w:pStyle w:val="30"/>
              <w:bidi w:val="0"/>
              <w:rPr>
                <w:rFonts w:hint="default"/>
                <w:color w:val="auto"/>
              </w:rPr>
            </w:pPr>
            <w:r>
              <w:rPr>
                <w:rFonts w:hint="default"/>
                <w:color w:val="auto"/>
              </w:rPr>
              <w:t>土壤</w:t>
            </w:r>
          </w:p>
        </w:tc>
        <w:tc>
          <w:tcPr>
            <w:tcW w:w="9133" w:type="dxa"/>
            <w:vAlign w:val="center"/>
          </w:tcPr>
          <w:p w14:paraId="7B98A5E5">
            <w:pPr>
              <w:pStyle w:val="30"/>
              <w:bidi w:val="0"/>
              <w:rPr>
                <w:rFonts w:hint="eastAsia" w:eastAsia="宋体"/>
                <w:color w:val="auto"/>
                <w:lang w:eastAsia="zh-CN"/>
              </w:rPr>
            </w:pPr>
            <w:r>
              <w:rPr>
                <w:rFonts w:hint="default"/>
                <w:color w:val="auto"/>
              </w:rPr>
              <w:t>保护区域土壤理化性质、盐渍化、潜育化</w:t>
            </w:r>
            <w:r>
              <w:rPr>
                <w:rFonts w:hint="eastAsia"/>
                <w:color w:val="auto"/>
                <w:lang w:eastAsia="zh-CN"/>
              </w:rPr>
              <w:t>。</w:t>
            </w:r>
          </w:p>
        </w:tc>
      </w:tr>
      <w:tr w14:paraId="3F590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361" w:hRule="atLeast"/>
          <w:jc w:val="center"/>
        </w:trPr>
        <w:tc>
          <w:tcPr>
            <w:tcW w:w="600" w:type="dxa"/>
            <w:vAlign w:val="center"/>
          </w:tcPr>
          <w:p w14:paraId="559E953C">
            <w:pPr>
              <w:pStyle w:val="30"/>
              <w:bidi w:val="0"/>
              <w:rPr>
                <w:rFonts w:hint="default"/>
                <w:color w:val="auto"/>
              </w:rPr>
            </w:pPr>
            <w:r>
              <w:rPr>
                <w:rFonts w:hint="default"/>
                <w:color w:val="auto"/>
              </w:rPr>
              <w:t>社会环境</w:t>
            </w:r>
          </w:p>
        </w:tc>
        <w:tc>
          <w:tcPr>
            <w:tcW w:w="1238" w:type="dxa"/>
            <w:vAlign w:val="center"/>
          </w:tcPr>
          <w:p w14:paraId="3FD007D9">
            <w:pPr>
              <w:pStyle w:val="30"/>
              <w:bidi w:val="0"/>
              <w:rPr>
                <w:rFonts w:hint="default"/>
                <w:color w:val="auto"/>
              </w:rPr>
            </w:pPr>
            <w:r>
              <w:rPr>
                <w:rFonts w:hint="default"/>
                <w:color w:val="auto"/>
              </w:rPr>
              <w:t>社会经济</w:t>
            </w:r>
          </w:p>
        </w:tc>
        <w:tc>
          <w:tcPr>
            <w:tcW w:w="2977" w:type="dxa"/>
            <w:vAlign w:val="center"/>
          </w:tcPr>
          <w:p w14:paraId="2AC9DCA3">
            <w:pPr>
              <w:pStyle w:val="30"/>
              <w:bidi w:val="0"/>
              <w:rPr>
                <w:rFonts w:hint="default"/>
                <w:color w:val="auto"/>
              </w:rPr>
            </w:pPr>
            <w:r>
              <w:rPr>
                <w:rFonts w:hint="default"/>
                <w:color w:val="auto"/>
              </w:rPr>
              <w:t>保障区域生态用水，统筹农业灌溉、工业用水和生活用水需求，逐步满足曲靖市三区四县人民群众生活水平提高、经济社会发展、粮食安全保障的用水需求。</w:t>
            </w:r>
          </w:p>
        </w:tc>
        <w:tc>
          <w:tcPr>
            <w:tcW w:w="9133" w:type="dxa"/>
            <w:vAlign w:val="center"/>
          </w:tcPr>
          <w:p w14:paraId="1D2213A9">
            <w:pPr>
              <w:pStyle w:val="30"/>
              <w:bidi w:val="0"/>
              <w:rPr>
                <w:rFonts w:hint="default"/>
                <w:color w:val="auto"/>
              </w:rPr>
            </w:pPr>
            <w:r>
              <w:rPr>
                <w:rFonts w:hint="default"/>
                <w:color w:val="auto"/>
              </w:rPr>
              <w:t>水资源利用规划实施，将提高地区供水保证率，不断改善农业基础设施，增加有效灌溉面积，促进地区工、农业的发展，促进社会稳定；节约用水规划、水资源保护规划、水生态环境保护及修复规划提高了水资源的利用率，改善水功能区水环境，保证区域水资源可持续利用。</w:t>
            </w:r>
          </w:p>
        </w:tc>
      </w:tr>
      <w:tr w14:paraId="08F4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490" w:hRule="atLeast"/>
          <w:jc w:val="center"/>
        </w:trPr>
        <w:tc>
          <w:tcPr>
            <w:tcW w:w="600" w:type="dxa"/>
            <w:vMerge w:val="restart"/>
            <w:vAlign w:val="center"/>
          </w:tcPr>
          <w:p w14:paraId="5592A8AD">
            <w:pPr>
              <w:pStyle w:val="30"/>
              <w:bidi w:val="0"/>
              <w:rPr>
                <w:rFonts w:hint="default"/>
                <w:color w:val="auto"/>
              </w:rPr>
            </w:pPr>
            <w:r>
              <w:rPr>
                <w:rFonts w:hint="default"/>
                <w:color w:val="auto"/>
              </w:rPr>
              <w:t>环境敏感区</w:t>
            </w:r>
          </w:p>
        </w:tc>
        <w:tc>
          <w:tcPr>
            <w:tcW w:w="1238" w:type="dxa"/>
            <w:vAlign w:val="center"/>
          </w:tcPr>
          <w:p w14:paraId="765DE5E9">
            <w:pPr>
              <w:pStyle w:val="30"/>
              <w:bidi w:val="0"/>
              <w:rPr>
                <w:rFonts w:hint="default"/>
                <w:color w:val="auto"/>
              </w:rPr>
            </w:pPr>
            <w:r>
              <w:rPr>
                <w:rFonts w:hint="default"/>
                <w:color w:val="auto"/>
              </w:rPr>
              <w:t>自然保护区</w:t>
            </w:r>
          </w:p>
        </w:tc>
        <w:tc>
          <w:tcPr>
            <w:tcW w:w="2977" w:type="dxa"/>
            <w:vMerge w:val="restart"/>
            <w:vAlign w:val="center"/>
          </w:tcPr>
          <w:p w14:paraId="0B4A1F86">
            <w:pPr>
              <w:pStyle w:val="30"/>
              <w:bidi w:val="0"/>
              <w:rPr>
                <w:rFonts w:hint="default"/>
                <w:color w:val="auto"/>
              </w:rPr>
            </w:pPr>
            <w:r>
              <w:rPr>
                <w:rFonts w:hint="default"/>
                <w:color w:val="auto"/>
              </w:rPr>
              <w:t>符合规划相关的自然保护区、风景名胜区、森林公园、湿地公园、饮用水源保护区、生态保护红线等生态敏感区的保护要求、总体规划，保护少数民族，保护流域生态与环境，使流域开发与环境建设协调发展</w:t>
            </w:r>
          </w:p>
        </w:tc>
        <w:tc>
          <w:tcPr>
            <w:tcW w:w="9133" w:type="dxa"/>
            <w:vMerge w:val="restart"/>
            <w:vAlign w:val="center"/>
          </w:tcPr>
          <w:p w14:paraId="1D66BCB4">
            <w:pPr>
              <w:pStyle w:val="30"/>
              <w:bidi w:val="0"/>
              <w:rPr>
                <w:rFonts w:hint="default"/>
                <w:color w:val="auto"/>
              </w:rPr>
            </w:pPr>
            <w:r>
              <w:rPr>
                <w:rFonts w:hint="default"/>
                <w:color w:val="auto"/>
              </w:rPr>
              <w:t>规划重大水利工程，云南省南盘江（珠江源头）生态保护修复工程约36.63hm</w:t>
            </w:r>
            <w:r>
              <w:rPr>
                <w:rFonts w:hint="eastAsia"/>
                <w:color w:val="auto"/>
                <w:lang w:val="en-US" w:eastAsia="zh-CN"/>
              </w:rPr>
              <w:t>²</w:t>
            </w:r>
            <w:r>
              <w:rPr>
                <w:rFonts w:hint="default"/>
                <w:color w:val="auto"/>
              </w:rPr>
              <w:t>涉及珠江源省级自然保护区实验区、36.13hm</w:t>
            </w:r>
            <w:r>
              <w:rPr>
                <w:rFonts w:hint="eastAsia"/>
                <w:color w:val="auto"/>
                <w:lang w:val="en-US" w:eastAsia="zh-CN"/>
              </w:rPr>
              <w:t>²</w:t>
            </w:r>
            <w:r>
              <w:rPr>
                <w:rFonts w:hint="default"/>
                <w:color w:val="auto"/>
              </w:rPr>
              <w:t>涉及珠江源省级风景名胜区一般控制区、约38.08hm</w:t>
            </w:r>
            <w:r>
              <w:rPr>
                <w:rFonts w:hint="eastAsia"/>
                <w:color w:val="auto"/>
                <w:lang w:val="en-US" w:eastAsia="zh-CN"/>
              </w:rPr>
              <w:t>²</w:t>
            </w:r>
            <w:r>
              <w:rPr>
                <w:rFonts w:hint="default"/>
                <w:color w:val="auto"/>
              </w:rPr>
              <w:t>涉及云南珠江源国家森林公园，规划沾马灌区工程约5.4km涉及</w:t>
            </w:r>
            <w:r>
              <w:rPr>
                <w:rFonts w:hint="default"/>
                <w:color w:val="auto"/>
                <w:lang w:eastAsia="zh-CN"/>
              </w:rPr>
              <w:t>马龙马过河</w:t>
            </w:r>
            <w:r>
              <w:rPr>
                <w:rFonts w:hint="default"/>
                <w:color w:val="auto"/>
              </w:rPr>
              <w:t>风景名胜区一般控制区；自然保护地优化整合后，规划重点工程不再涉及自然保护区，但有涉及风景名胜区、森林公园、</w:t>
            </w:r>
            <w:r>
              <w:rPr>
                <w:rFonts w:hint="eastAsia"/>
                <w:color w:val="auto"/>
                <w:lang w:val="en-US" w:eastAsia="zh-CN"/>
              </w:rPr>
              <w:t>湿地</w:t>
            </w:r>
            <w:r>
              <w:rPr>
                <w:rFonts w:hint="default"/>
                <w:color w:val="auto"/>
              </w:rPr>
              <w:t>公园和饮用水源保护区。</w:t>
            </w:r>
          </w:p>
          <w:p w14:paraId="35A7FF2B">
            <w:pPr>
              <w:pStyle w:val="30"/>
              <w:bidi w:val="0"/>
              <w:rPr>
                <w:rFonts w:hint="default"/>
                <w:color w:val="auto"/>
              </w:rPr>
            </w:pPr>
            <w:r>
              <w:rPr>
                <w:rFonts w:hint="default"/>
                <w:color w:val="auto"/>
              </w:rPr>
              <w:t>严格控制施工占地范围，禁止渣场、生产生活区等临时施工布置布设在敏感区、生态保护红线、水源保护区内，生产生活废水通过采取废水处理措施后全部回用，对占地区采取严格水土保持等环保、水保措施的前提下，规划工程的实施对水源保护区的影响是暂时的、可以接受的。</w:t>
            </w:r>
          </w:p>
        </w:tc>
      </w:tr>
      <w:tr w14:paraId="311C8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490" w:hRule="atLeast"/>
          <w:jc w:val="center"/>
        </w:trPr>
        <w:tc>
          <w:tcPr>
            <w:tcW w:w="600" w:type="dxa"/>
            <w:vMerge w:val="continue"/>
            <w:vAlign w:val="center"/>
          </w:tcPr>
          <w:p w14:paraId="35D7A8C6">
            <w:pPr>
              <w:pStyle w:val="30"/>
              <w:bidi w:val="0"/>
              <w:rPr>
                <w:rFonts w:hint="default"/>
                <w:color w:val="auto"/>
              </w:rPr>
            </w:pPr>
          </w:p>
        </w:tc>
        <w:tc>
          <w:tcPr>
            <w:tcW w:w="1238" w:type="dxa"/>
            <w:vAlign w:val="center"/>
          </w:tcPr>
          <w:p w14:paraId="2D7292F1">
            <w:pPr>
              <w:pStyle w:val="30"/>
              <w:bidi w:val="0"/>
              <w:rPr>
                <w:rFonts w:hint="default"/>
                <w:color w:val="auto"/>
              </w:rPr>
            </w:pPr>
            <w:r>
              <w:rPr>
                <w:rFonts w:hint="default"/>
                <w:color w:val="auto"/>
              </w:rPr>
              <w:t>风景名胜区</w:t>
            </w:r>
          </w:p>
        </w:tc>
        <w:tc>
          <w:tcPr>
            <w:tcW w:w="2977" w:type="dxa"/>
            <w:vMerge w:val="continue"/>
            <w:vAlign w:val="center"/>
          </w:tcPr>
          <w:p w14:paraId="1F7BE751">
            <w:pPr>
              <w:pStyle w:val="30"/>
              <w:bidi w:val="0"/>
              <w:rPr>
                <w:rFonts w:hint="default"/>
                <w:color w:val="auto"/>
              </w:rPr>
            </w:pPr>
          </w:p>
        </w:tc>
        <w:tc>
          <w:tcPr>
            <w:tcW w:w="9133" w:type="dxa"/>
            <w:vMerge w:val="continue"/>
            <w:vAlign w:val="center"/>
          </w:tcPr>
          <w:p w14:paraId="6F65D801">
            <w:pPr>
              <w:pStyle w:val="30"/>
              <w:bidi w:val="0"/>
              <w:rPr>
                <w:rFonts w:hint="default"/>
                <w:color w:val="auto"/>
              </w:rPr>
            </w:pPr>
          </w:p>
        </w:tc>
      </w:tr>
      <w:tr w14:paraId="7E3E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490" w:hRule="atLeast"/>
          <w:jc w:val="center"/>
        </w:trPr>
        <w:tc>
          <w:tcPr>
            <w:tcW w:w="600" w:type="dxa"/>
            <w:vMerge w:val="continue"/>
            <w:vAlign w:val="center"/>
          </w:tcPr>
          <w:p w14:paraId="03566C32">
            <w:pPr>
              <w:pStyle w:val="30"/>
              <w:bidi w:val="0"/>
              <w:rPr>
                <w:rFonts w:hint="default"/>
                <w:color w:val="auto"/>
              </w:rPr>
            </w:pPr>
          </w:p>
        </w:tc>
        <w:tc>
          <w:tcPr>
            <w:tcW w:w="1238" w:type="dxa"/>
            <w:vAlign w:val="center"/>
          </w:tcPr>
          <w:p w14:paraId="2581694C">
            <w:pPr>
              <w:pStyle w:val="30"/>
              <w:bidi w:val="0"/>
              <w:rPr>
                <w:rFonts w:hint="default"/>
                <w:color w:val="auto"/>
              </w:rPr>
            </w:pPr>
            <w:r>
              <w:rPr>
                <w:rFonts w:hint="default"/>
                <w:color w:val="auto"/>
              </w:rPr>
              <w:t>森林公园</w:t>
            </w:r>
          </w:p>
        </w:tc>
        <w:tc>
          <w:tcPr>
            <w:tcW w:w="2977" w:type="dxa"/>
            <w:vMerge w:val="continue"/>
            <w:vAlign w:val="center"/>
          </w:tcPr>
          <w:p w14:paraId="70B145C0">
            <w:pPr>
              <w:pStyle w:val="30"/>
              <w:bidi w:val="0"/>
              <w:rPr>
                <w:rFonts w:hint="default"/>
                <w:color w:val="auto"/>
              </w:rPr>
            </w:pPr>
          </w:p>
        </w:tc>
        <w:tc>
          <w:tcPr>
            <w:tcW w:w="9133" w:type="dxa"/>
            <w:vMerge w:val="continue"/>
            <w:vAlign w:val="center"/>
          </w:tcPr>
          <w:p w14:paraId="5BCDB8FB">
            <w:pPr>
              <w:pStyle w:val="30"/>
              <w:bidi w:val="0"/>
              <w:rPr>
                <w:rFonts w:hint="default"/>
                <w:color w:val="auto"/>
              </w:rPr>
            </w:pPr>
          </w:p>
        </w:tc>
      </w:tr>
      <w:tr w14:paraId="77C3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490" w:hRule="atLeast"/>
          <w:jc w:val="center"/>
        </w:trPr>
        <w:tc>
          <w:tcPr>
            <w:tcW w:w="600" w:type="dxa"/>
            <w:vMerge w:val="continue"/>
            <w:vAlign w:val="center"/>
          </w:tcPr>
          <w:p w14:paraId="22615E72">
            <w:pPr>
              <w:pStyle w:val="30"/>
              <w:bidi w:val="0"/>
              <w:rPr>
                <w:rFonts w:hint="default"/>
                <w:color w:val="auto"/>
              </w:rPr>
            </w:pPr>
          </w:p>
        </w:tc>
        <w:tc>
          <w:tcPr>
            <w:tcW w:w="1238" w:type="dxa"/>
            <w:vAlign w:val="center"/>
          </w:tcPr>
          <w:p w14:paraId="0C71097E">
            <w:pPr>
              <w:pStyle w:val="30"/>
              <w:bidi w:val="0"/>
              <w:rPr>
                <w:rFonts w:hint="default"/>
                <w:color w:val="auto"/>
              </w:rPr>
            </w:pPr>
            <w:r>
              <w:rPr>
                <w:rFonts w:hint="default"/>
                <w:color w:val="auto"/>
              </w:rPr>
              <w:t>湿地公园</w:t>
            </w:r>
          </w:p>
        </w:tc>
        <w:tc>
          <w:tcPr>
            <w:tcW w:w="2977" w:type="dxa"/>
            <w:vMerge w:val="continue"/>
            <w:vAlign w:val="center"/>
          </w:tcPr>
          <w:p w14:paraId="6785E496">
            <w:pPr>
              <w:pStyle w:val="30"/>
              <w:bidi w:val="0"/>
              <w:rPr>
                <w:rFonts w:hint="default"/>
                <w:color w:val="auto"/>
              </w:rPr>
            </w:pPr>
          </w:p>
        </w:tc>
        <w:tc>
          <w:tcPr>
            <w:tcW w:w="9133" w:type="dxa"/>
            <w:vMerge w:val="continue"/>
            <w:vAlign w:val="center"/>
          </w:tcPr>
          <w:p w14:paraId="169F4914">
            <w:pPr>
              <w:pStyle w:val="30"/>
              <w:bidi w:val="0"/>
              <w:rPr>
                <w:rFonts w:hint="default"/>
                <w:color w:val="auto"/>
              </w:rPr>
            </w:pPr>
          </w:p>
        </w:tc>
      </w:tr>
      <w:tr w14:paraId="66DE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490" w:hRule="atLeast"/>
          <w:jc w:val="center"/>
        </w:trPr>
        <w:tc>
          <w:tcPr>
            <w:tcW w:w="600" w:type="dxa"/>
            <w:vMerge w:val="continue"/>
            <w:vAlign w:val="center"/>
          </w:tcPr>
          <w:p w14:paraId="2E5E5C11">
            <w:pPr>
              <w:pStyle w:val="30"/>
              <w:bidi w:val="0"/>
              <w:rPr>
                <w:rFonts w:hint="default"/>
                <w:color w:val="auto"/>
              </w:rPr>
            </w:pPr>
          </w:p>
        </w:tc>
        <w:tc>
          <w:tcPr>
            <w:tcW w:w="1238" w:type="dxa"/>
            <w:vAlign w:val="center"/>
          </w:tcPr>
          <w:p w14:paraId="74FEC8CC">
            <w:pPr>
              <w:pStyle w:val="30"/>
              <w:bidi w:val="0"/>
              <w:rPr>
                <w:rFonts w:hint="default"/>
                <w:color w:val="auto"/>
              </w:rPr>
            </w:pPr>
            <w:r>
              <w:rPr>
                <w:rFonts w:hint="default"/>
                <w:color w:val="auto"/>
              </w:rPr>
              <w:t>饮用水源保护区</w:t>
            </w:r>
          </w:p>
        </w:tc>
        <w:tc>
          <w:tcPr>
            <w:tcW w:w="2977" w:type="dxa"/>
            <w:vMerge w:val="continue"/>
            <w:vAlign w:val="center"/>
          </w:tcPr>
          <w:p w14:paraId="6D6A2508">
            <w:pPr>
              <w:pStyle w:val="30"/>
              <w:bidi w:val="0"/>
              <w:rPr>
                <w:rFonts w:hint="default"/>
                <w:color w:val="auto"/>
              </w:rPr>
            </w:pPr>
          </w:p>
        </w:tc>
        <w:tc>
          <w:tcPr>
            <w:tcW w:w="9133" w:type="dxa"/>
            <w:vMerge w:val="continue"/>
            <w:vAlign w:val="center"/>
          </w:tcPr>
          <w:p w14:paraId="1C1B858A">
            <w:pPr>
              <w:pStyle w:val="30"/>
              <w:bidi w:val="0"/>
              <w:rPr>
                <w:rFonts w:hint="default"/>
                <w:color w:val="auto"/>
              </w:rPr>
            </w:pPr>
          </w:p>
        </w:tc>
      </w:tr>
      <w:tr w14:paraId="11BCD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490" w:hRule="atLeast"/>
          <w:jc w:val="center"/>
        </w:trPr>
        <w:tc>
          <w:tcPr>
            <w:tcW w:w="600" w:type="dxa"/>
            <w:vMerge w:val="continue"/>
            <w:vAlign w:val="center"/>
          </w:tcPr>
          <w:p w14:paraId="0C5F2F57">
            <w:pPr>
              <w:pStyle w:val="30"/>
              <w:bidi w:val="0"/>
              <w:rPr>
                <w:rFonts w:hint="default"/>
                <w:color w:val="auto"/>
              </w:rPr>
            </w:pPr>
          </w:p>
        </w:tc>
        <w:tc>
          <w:tcPr>
            <w:tcW w:w="1238" w:type="dxa"/>
            <w:vAlign w:val="center"/>
          </w:tcPr>
          <w:p w14:paraId="3AA7E74F">
            <w:pPr>
              <w:pStyle w:val="30"/>
              <w:bidi w:val="0"/>
              <w:rPr>
                <w:rFonts w:hint="default"/>
                <w:color w:val="auto"/>
              </w:rPr>
            </w:pPr>
            <w:r>
              <w:rPr>
                <w:rFonts w:hint="default"/>
                <w:color w:val="auto"/>
              </w:rPr>
              <w:t>生态保护红线</w:t>
            </w:r>
          </w:p>
        </w:tc>
        <w:tc>
          <w:tcPr>
            <w:tcW w:w="2977" w:type="dxa"/>
            <w:vMerge w:val="continue"/>
            <w:vAlign w:val="center"/>
          </w:tcPr>
          <w:p w14:paraId="56619F35">
            <w:pPr>
              <w:pStyle w:val="30"/>
              <w:bidi w:val="0"/>
              <w:rPr>
                <w:rFonts w:hint="default"/>
                <w:color w:val="auto"/>
              </w:rPr>
            </w:pPr>
          </w:p>
        </w:tc>
        <w:tc>
          <w:tcPr>
            <w:tcW w:w="9133" w:type="dxa"/>
            <w:vMerge w:val="continue"/>
            <w:vAlign w:val="center"/>
          </w:tcPr>
          <w:p w14:paraId="7A25A877">
            <w:pPr>
              <w:pStyle w:val="30"/>
              <w:bidi w:val="0"/>
              <w:rPr>
                <w:rFonts w:hint="default"/>
                <w:color w:val="auto"/>
              </w:rPr>
            </w:pPr>
          </w:p>
        </w:tc>
      </w:tr>
    </w:tbl>
    <w:p w14:paraId="2038881F">
      <w:pPr>
        <w:ind w:firstLine="480"/>
        <w:rPr>
          <w:rFonts w:hint="default" w:ascii="Times New Roman" w:hAnsi="Times New Roman" w:cs="Times New Roman" w:eastAsiaTheme="minorEastAsia"/>
          <w:color w:val="auto"/>
          <w:highlight w:val="none"/>
        </w:rPr>
      </w:pPr>
    </w:p>
    <w:p w14:paraId="77792F22">
      <w:pPr>
        <w:pStyle w:val="4"/>
        <w:rPr>
          <w:rFonts w:hint="default" w:ascii="Times New Roman" w:hAnsi="Times New Roman" w:cs="Times New Roman"/>
          <w:color w:val="auto"/>
          <w:highlight w:val="none"/>
        </w:rPr>
      </w:pPr>
    </w:p>
    <w:p w14:paraId="0F05B070">
      <w:pPr>
        <w:pStyle w:val="4"/>
        <w:rPr>
          <w:rFonts w:hint="default" w:ascii="Times New Roman" w:hAnsi="Times New Roman" w:cs="Times New Roman"/>
          <w:color w:val="auto"/>
          <w:highlight w:val="none"/>
        </w:rPr>
      </w:pPr>
    </w:p>
    <w:p w14:paraId="222E293A">
      <w:pPr>
        <w:pStyle w:val="4"/>
        <w:rPr>
          <w:rFonts w:hint="default" w:ascii="Times New Roman" w:hAnsi="Times New Roman" w:cs="Times New Roman"/>
          <w:color w:val="auto"/>
          <w:highlight w:val="none"/>
        </w:rPr>
      </w:pPr>
    </w:p>
    <w:p w14:paraId="6581204F">
      <w:pPr>
        <w:pStyle w:val="4"/>
        <w:rPr>
          <w:rFonts w:hint="default" w:ascii="Times New Roman" w:hAnsi="Times New Roman" w:cs="Times New Roman"/>
          <w:color w:val="auto"/>
          <w:highlight w:val="none"/>
        </w:rPr>
        <w:sectPr>
          <w:pgSz w:w="16838" w:h="11906" w:orient="landscape"/>
          <w:pgMar w:top="1800" w:right="1440" w:bottom="1800" w:left="1440" w:header="851" w:footer="992" w:gutter="0"/>
          <w:pgNumType w:fmt="decimal"/>
          <w:cols w:space="425" w:num="1"/>
          <w:docGrid w:type="lines" w:linePitch="326" w:charSpace="0"/>
        </w:sectPr>
      </w:pPr>
    </w:p>
    <w:p w14:paraId="1327ECC8">
      <w:pPr>
        <w:pStyle w:val="3"/>
        <w:numPr>
          <w:ilvl w:val="1"/>
          <w:numId w:val="4"/>
        </w:numPr>
        <w:spacing w:before="374" w:after="249"/>
        <w:rPr>
          <w:rFonts w:hint="default" w:ascii="Times New Roman" w:hAnsi="Times New Roman" w:eastAsia="宋体" w:cs="Times New Roman"/>
          <w:color w:val="auto"/>
          <w:highlight w:val="none"/>
        </w:rPr>
      </w:pPr>
      <w:bookmarkStart w:id="129" w:name="_Toc17762"/>
      <w:bookmarkStart w:id="130" w:name="_Toc6996"/>
      <w:bookmarkStart w:id="131" w:name="_Toc30619"/>
      <w:bookmarkStart w:id="132" w:name="_Toc2526"/>
      <w:bookmarkStart w:id="133" w:name="_Toc11658"/>
      <w:bookmarkStart w:id="134" w:name="_Toc20716"/>
      <w:bookmarkStart w:id="135" w:name="_Toc31781"/>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_Toc19273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生态空间管控要求</w:t>
      </w:r>
      <w:r>
        <w:rPr>
          <w:rFonts w:hint="default" w:ascii="Times New Roman" w:hAnsi="Times New Roman" w:eastAsia="宋体" w:cs="Times New Roman"/>
          <w:color w:val="auto"/>
          <w:highlight w:val="none"/>
        </w:rPr>
        <w:fldChar w:fldCharType="end"/>
      </w:r>
      <w:bookmarkEnd w:id="129"/>
      <w:bookmarkEnd w:id="130"/>
      <w:bookmarkEnd w:id="131"/>
      <w:bookmarkEnd w:id="132"/>
      <w:bookmarkEnd w:id="133"/>
      <w:bookmarkEnd w:id="134"/>
      <w:bookmarkEnd w:id="135"/>
    </w:p>
    <w:p w14:paraId="7DB377D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南盘江（曲靖市境内）其生态空间的合理保护与严格管控直接关系到区域水生态安全和经济社会的高质量发展。针对南盘江流域及其支流部分断面部分月份水质超标、水电工程开发建设等现状，必须坚持“生态优先、绿色发展，分区管控、系统治理”的原则。具体要求如下：</w:t>
      </w:r>
    </w:p>
    <w:p w14:paraId="690A56D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（1）严格水源涵养与保护，筑牢生态安全基底 </w:t>
      </w:r>
    </w:p>
    <w:p w14:paraId="4CB3469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管控重点为源头保护区与水源地保护区，强化源头水源涵养，严格控制南盘江、黄泥河、甸溪河、清水江的人类活动干扰，加强森林植被保护与恢复，提升区域水源涵养能力。</w:t>
      </w:r>
    </w:p>
    <w:p w14:paraId="14A89ED9">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针对本规划中的重大水工程中新建大型灌区中水源小务龙水库、大河水库、龙潭水库等具有人饮功能的工程，严格划定饮用水水源保护区或管理范围。在水库消落带及周边区域，禁止从事可能破坏生态或污染水体的种养殖活动，推进消落带生态治理与湿地植被恢复，发挥其水质净化与生物多样性保育功能。</w:t>
      </w:r>
    </w:p>
    <w:p w14:paraId="23E2ABF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（2）实施岸线分区管控，优化水域岸线格局 </w:t>
      </w:r>
    </w:p>
    <w:p w14:paraId="49EB36D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管控重点为河流岸线保护区与保留区，全面界定南盘江（曲靖市境内）干支流岸线的管理与保护范围。严禁非法侵占水域和岸线，清退非法码头、砂场及违章建筑。</w:t>
      </w:r>
    </w:p>
    <w:p w14:paraId="5FA3740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实行岸线分类管制， 将南盘江（曲靖市境内）流域岸线划分为岸线保护区、保留区、控制利用区和开发利用区。在保护区和保留区内，除防洪护岸、河道治理及必要的公益性设施外，禁止一切商业性开发建设活动；在控制利用区，严格限制新增建设项目，确需建设的必须符合流域综合规划并进行严格的环境影响评价。</w:t>
      </w:r>
    </w:p>
    <w:p w14:paraId="1CA6100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（3）推进水生态修复与地下河保护，维护系统完整性 </w:t>
      </w:r>
    </w:p>
    <w:p w14:paraId="29C2735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管控重点为伏流段保护与生物栖息地修复。加强伏流（地下河）、地表入渗区（落水洞等）的保护，严禁向落水洞倾倒垃圾、排放污水，防止地表污染物直接通过伏流破坏下游出水口的生态环境。</w:t>
      </w:r>
    </w:p>
    <w:p w14:paraId="23D0191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构建良性水生生态，在南盘江（曲靖市境内）干流及其支流汇口及水利工程下游，实施水生生物栖息地保护与修复工程。严格落实重大水工程中新建水源工程、取水坝工等水利工程的生态流量下泄措施，保障南盘江（曲靖市境内）干流及减水河段的基本生态用水需求，维系河流健康生命。</w:t>
      </w:r>
    </w:p>
    <w:p w14:paraId="01604A1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（4）严控面源与点源污染，持续改善水环境质量 </w:t>
      </w:r>
    </w:p>
    <w:p w14:paraId="66067AE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管控重点为南盘江（曲靖市境内）流域内农业面源与村镇生活污水。攻坚农业面源治理，针对流域内三区四县的农业种植和畜禽养殖，大力推广生态农业，科学施用化肥农药，严格控制水产养殖规模与密度，减少氮磷入河总量。</w:t>
      </w:r>
    </w:p>
    <w:p w14:paraId="21A55B5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补齐污水处理短板，加快沿岸乡镇的城镇污水处理厂及配套管网建设，强化污水收集处理效能。加强对省控断面的监测预警与联动执法，确保流域水质稳定达标。</w:t>
      </w:r>
    </w:p>
    <w:p w14:paraId="5FACF33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（5）协调开发与保护关系，引领流域高质量发展 </w:t>
      </w:r>
    </w:p>
    <w:p w14:paraId="08FC499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管控重点是推进南盘江（曲靖市境内）流域绿色低碳发展与亲水空间营造。严格生态环境准入，制定南盘江（曲靖市境内）流域产业准入负面清单。从严审批高耗水、高污染项目，鼓励发展绿色低碳产业，推动经济结构转型升级。</w:t>
      </w:r>
    </w:p>
    <w:p w14:paraId="519F3AC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适度开发生态亲水空间，在不影响行洪安全和生态保护的前提下，依托南盘江（曲靖市境内）特有的自然风光与水利工程景观，因地制宜打造滨水生态廊道和亲水便民设施。挖掘南盘江（曲靖市境内）流域文化特色，促进“水-生态-文化-旅游”深度融合，实现生态效益向经济效益的转化。</w:t>
      </w:r>
    </w:p>
    <w:p w14:paraId="649EF534">
      <w:pPr>
        <w:pStyle w:val="3"/>
        <w:numPr>
          <w:ilvl w:val="1"/>
          <w:numId w:val="4"/>
        </w:numPr>
        <w:spacing w:before="374" w:after="249"/>
        <w:rPr>
          <w:rFonts w:hint="default" w:ascii="Times New Roman" w:hAnsi="Times New Roman" w:eastAsia="宋体" w:cs="Times New Roman"/>
          <w:color w:val="auto"/>
          <w:highlight w:val="none"/>
        </w:rPr>
      </w:pPr>
      <w:bookmarkStart w:id="136" w:name="_Toc24474"/>
      <w:bookmarkStart w:id="137" w:name="_Toc3787"/>
      <w:bookmarkStart w:id="138" w:name="_Toc22498"/>
      <w:bookmarkStart w:id="139" w:name="_Toc23483"/>
      <w:bookmarkStart w:id="140" w:name="_Toc8922"/>
      <w:bookmarkStart w:id="141" w:name="_Toc20240"/>
      <w:bookmarkStart w:id="142" w:name="_Toc9885"/>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_Toc5881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规划方案优化调整建议</w:t>
      </w:r>
      <w:r>
        <w:rPr>
          <w:rFonts w:hint="default" w:ascii="Times New Roman" w:hAnsi="Times New Roman" w:eastAsia="宋体" w:cs="Times New Roman"/>
          <w:color w:val="auto"/>
          <w:highlight w:val="none"/>
        </w:rPr>
        <w:fldChar w:fldCharType="end"/>
      </w:r>
      <w:bookmarkEnd w:id="136"/>
      <w:bookmarkEnd w:id="137"/>
      <w:bookmarkEnd w:id="138"/>
      <w:bookmarkEnd w:id="139"/>
      <w:bookmarkEnd w:id="140"/>
      <w:bookmarkEnd w:id="141"/>
      <w:bookmarkEnd w:id="142"/>
    </w:p>
    <w:p w14:paraId="4131B0F8">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优化调整建议主要根据对流域综合规划实施环境影响的分析结论提出。本次对流域综合规划的优化调整主要从规划方案的布局、规模、开发时序和对下阶段实施过程中的环境保护要求方面提出建议。</w:t>
      </w:r>
    </w:p>
    <w:p w14:paraId="2A5EF535">
      <w:pPr>
        <w:ind w:left="480"/>
        <w:rPr>
          <w:rFonts w:hint="default" w:ascii="Times New Roman" w:hAnsi="Times New Roman" w:cs="Times New Roman"/>
          <w:color w:val="auto"/>
          <w:highlight w:val="none"/>
        </w:rPr>
      </w:pPr>
      <w:r>
        <w:rPr>
          <w:rFonts w:hint="default" w:ascii="Times New Roman" w:hAnsi="Times New Roman" w:cs="Times New Roman"/>
          <w:color w:val="auto"/>
          <w:highlight w:val="none"/>
        </w:rPr>
        <w:t>（1）水资源配置方案的优化调整建议</w:t>
      </w:r>
    </w:p>
    <w:p w14:paraId="17F1C74D">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完善流域生态治理及恢复方案。加强干支流天然河段生境保护。构建流域生态调度体系，加快开展南盘江（曲靖市境内）流域生态调度研究，科学确定流域生态流量（水量）保障目标，建立基于生态响应的流域生态调度方案，为流域内主要河流制定差异化的生态用水配置策略。强化生态用水监管与保障，严格落实河流生态流量管控要求，健全流域水资源监测预警与调度管理机制，切实保障河湖基本生态用水需求，支撑河流水生生态系统及周边陆生生态的恢复与良性维持。健全流域生态保护长效机制，建立南盘江（曲靖市境内）流域上下游横向生态补偿机制，推进流域内产业结构优化升级。同时，全面推进工业节水减排与农业节水增效，通过工程、技术和管理措施挖掘节水潜力，以水资源的可持续利用支撑流域经济社会与生态环境协调发展。</w:t>
      </w:r>
    </w:p>
    <w:p w14:paraId="31778EAB">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（2）规划涉及自然保护区优化调整意见</w:t>
      </w:r>
    </w:p>
    <w:p w14:paraId="52A90AB7">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根据规划阶段设计成果分析，规划云南省南盘江（珠江源头）生态保护修复工程约36.63hm</w:t>
      </w:r>
      <w:r>
        <w:rPr>
          <w:rFonts w:hint="default" w:ascii="Times New Roman" w:hAnsi="Times New Roman" w:cs="Times New Roman" w:eastAsiaTheme="minorEastAsia"/>
          <w:color w:val="auto"/>
          <w:highlight w:val="none"/>
          <w:vertAlign w:val="superscript"/>
        </w:rPr>
        <w:t>2</w:t>
      </w:r>
      <w:r>
        <w:rPr>
          <w:rFonts w:hint="default" w:ascii="Times New Roman" w:hAnsi="Times New Roman" w:cs="Times New Roman" w:eastAsiaTheme="minorEastAsia"/>
          <w:color w:val="auto"/>
          <w:highlight w:val="none"/>
        </w:rPr>
        <w:t>涉及珠江源省级自然保护区实验区，优化整合后本规划重大水工程均不涉及自然保护区。</w:t>
      </w:r>
    </w:p>
    <w:p w14:paraId="3A0CEB18">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优化调整意见：下阶段工作中须进一步核实规划工程与自然保护区的位置关系，优先调整工程方案避让自然保护区，若难以避让，应及时委托具有相应资质的单位编制工程对自然保护区生物多样性影响评价专题报告，并经林草管理部门会同有关行政管理部门审核。</w:t>
      </w:r>
    </w:p>
    <w:p w14:paraId="5A7AF111">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（3）规划涉及的风景名胜区及优化调整意见</w:t>
      </w:r>
    </w:p>
    <w:p w14:paraId="0EF1DD58">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根据规划阶段设计成果分析，规划云南省南盘江（珠江源头）生态保护修复工程约36.13hm</w:t>
      </w:r>
      <w:r>
        <w:rPr>
          <w:rFonts w:hint="default" w:ascii="Times New Roman" w:hAnsi="Times New Roman" w:cs="Times New Roman" w:eastAsiaTheme="minorEastAsia"/>
          <w:color w:val="auto"/>
          <w:highlight w:val="none"/>
          <w:vertAlign w:val="superscript"/>
        </w:rPr>
        <w:t>2</w:t>
      </w:r>
      <w:r>
        <w:rPr>
          <w:rFonts w:hint="default" w:ascii="Times New Roman" w:hAnsi="Times New Roman" w:cs="Times New Roman" w:eastAsiaTheme="minorEastAsia"/>
          <w:color w:val="auto"/>
          <w:highlight w:val="none"/>
        </w:rPr>
        <w:t>涉及珠江源省级风景名胜区一般控制区、沾马灌区工程约5.4km涉及</w:t>
      </w:r>
      <w:r>
        <w:rPr>
          <w:rFonts w:hint="default" w:ascii="Times New Roman" w:hAnsi="Times New Roman" w:cs="Times New Roman" w:eastAsiaTheme="minorEastAsia"/>
          <w:color w:val="auto"/>
          <w:highlight w:val="none"/>
          <w:lang w:eastAsia="zh-CN"/>
        </w:rPr>
        <w:t>马龙马过河</w:t>
      </w:r>
      <w:r>
        <w:rPr>
          <w:rFonts w:hint="default" w:ascii="Times New Roman" w:hAnsi="Times New Roman" w:cs="Times New Roman" w:eastAsiaTheme="minorEastAsia"/>
          <w:color w:val="auto"/>
          <w:highlight w:val="none"/>
        </w:rPr>
        <w:t>风景名胜区一般控制区。自然保护地优化整合后，规划罗师灌区涉及云南师宗南丹山风景名胜区一般控制区、沾马灌区输水线路约5.4km涉及马龙马过河风景名胜区一般控制区、云南省南盘江（珠江源头）生态保护修复工程36.13hm</w:t>
      </w:r>
      <w:r>
        <w:rPr>
          <w:rFonts w:hint="default" w:ascii="Times New Roman" w:hAnsi="Times New Roman" w:cs="Times New Roman" w:eastAsiaTheme="minorEastAsia"/>
          <w:color w:val="auto"/>
          <w:highlight w:val="none"/>
          <w:vertAlign w:val="superscript"/>
        </w:rPr>
        <w:t>2</w:t>
      </w:r>
      <w:r>
        <w:rPr>
          <w:rFonts w:hint="default" w:ascii="Times New Roman" w:hAnsi="Times New Roman" w:cs="Times New Roman" w:eastAsiaTheme="minorEastAsia"/>
          <w:color w:val="auto"/>
          <w:highlight w:val="none"/>
        </w:rPr>
        <w:t>涉及云南沾益珠江源地方级风景名胜区一般控制区。自然保护地整合优化前、整合优化后规划工程均只涉及风景名胜区的一般控制区、不涉及核心景区，且不属于风景名胜区内禁止类项目。</w:t>
      </w:r>
    </w:p>
    <w:p w14:paraId="563AD241">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优化调整意见：下阶段工作中须进一步核实规划工程与风景名胜区的位置关系，优先调整工程方案避让风景名胜区，若难以避让，规划项目在实施前，工程涉及风景名胜区应按相关要求做好报审报批风景名胜区建设项目选址方案核准、许可等工作。在办理相关法定手续、取得行政主管部门批准并制定相关方案和采取有效措施的前提下，本工程满足《风景名胜区条例》、《云南省风景名胜区条例》和风景名胜区总体规划的管理要求。</w:t>
      </w:r>
    </w:p>
    <w:p w14:paraId="2048B9CD">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（4）规划涉及的森林公园及优化调整意见</w:t>
      </w:r>
    </w:p>
    <w:p w14:paraId="57DF7195">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根据规划阶段设计成果分析，规划云南省南盘江（珠江源头）生态保护修复工程约38.08hm</w:t>
      </w:r>
      <w:r>
        <w:rPr>
          <w:rFonts w:hint="default" w:ascii="Times New Roman" w:hAnsi="Times New Roman" w:cs="Times New Roman" w:eastAsiaTheme="minorEastAsia"/>
          <w:color w:val="auto"/>
          <w:highlight w:val="none"/>
          <w:vertAlign w:val="superscript"/>
        </w:rPr>
        <w:t>2</w:t>
      </w:r>
      <w:r>
        <w:rPr>
          <w:rFonts w:hint="default" w:ascii="Times New Roman" w:hAnsi="Times New Roman" w:cs="Times New Roman" w:eastAsiaTheme="minorEastAsia"/>
          <w:color w:val="auto"/>
          <w:highlight w:val="none"/>
        </w:rPr>
        <w:t>涉及云南珠江源国家森林公园一般控制区，自然保护地优化整合后，罗师灌区工程涉及云南师宗丹凤湿地公园、云南罗平九龙森林公园，沾马灌区约1km涉及云南马龙黄草坪地方级森林公园，但均不涉及核心景区。</w:t>
      </w:r>
    </w:p>
    <w:p w14:paraId="2129E219">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优化调整意见：下阶段工作中须进一步核实规划工程与森林公园的位置关系，优先调整工程方案避让森林公园，若难以避让，规划项目在实施前，工程涉及森林公园应按相关要求办理相关手续，取得行政主管部门的支撑性意见后方可占用。</w:t>
      </w:r>
    </w:p>
    <w:p w14:paraId="1CA3BEAE">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（5）规划涉及的生态保护红线及优化调整意见</w:t>
      </w:r>
    </w:p>
    <w:p w14:paraId="4FE7E63D">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根据规划阶段设计成果分析，规划规划云南省南盘江（珠江源头）生态保护修复工程约35.56hm</w:t>
      </w:r>
      <w:r>
        <w:rPr>
          <w:rFonts w:hint="default" w:ascii="Times New Roman" w:hAnsi="Times New Roman" w:cs="Times New Roman" w:eastAsiaTheme="minorEastAsia"/>
          <w:color w:val="auto"/>
          <w:highlight w:val="none"/>
          <w:vertAlign w:val="superscript"/>
        </w:rPr>
        <w:t>2</w:t>
      </w:r>
      <w:r>
        <w:rPr>
          <w:rFonts w:hint="default" w:ascii="Times New Roman" w:hAnsi="Times New Roman" w:cs="Times New Roman" w:eastAsiaTheme="minorEastAsia"/>
          <w:color w:val="auto"/>
          <w:highlight w:val="none"/>
        </w:rPr>
        <w:t>涉及生态保护红线，罗师灌区工程约20.02hm</w:t>
      </w:r>
      <w:r>
        <w:rPr>
          <w:rFonts w:hint="default" w:ascii="Times New Roman" w:hAnsi="Times New Roman" w:cs="Times New Roman" w:eastAsiaTheme="minorEastAsia"/>
          <w:color w:val="auto"/>
          <w:highlight w:val="none"/>
          <w:vertAlign w:val="superscript"/>
        </w:rPr>
        <w:t>2</w:t>
      </w:r>
      <w:r>
        <w:rPr>
          <w:rFonts w:hint="default" w:ascii="Times New Roman" w:hAnsi="Times New Roman" w:cs="Times New Roman" w:eastAsiaTheme="minorEastAsia"/>
          <w:color w:val="auto"/>
          <w:highlight w:val="none"/>
        </w:rPr>
        <w:t>涉及生态保护红线，沾马灌区工程约17.43km涉及生态保护红线，曲靖市牛栏江德泽水库引水济曲工程拟建线路约8.01km涉及生态保护红线。</w:t>
      </w:r>
    </w:p>
    <w:p w14:paraId="5B8B6CB4">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优化调整意见：下阶段工作中应优先考虑调整工程方案予以避让，如确实无法避让生态保护红线范围的，应在符合法律法规的前提下，充分论证工程的必要性和不可避让性，按规定办理相关手续，取得行政主管部门的支撑性意见后方可占用。</w:t>
      </w:r>
    </w:p>
    <w:p w14:paraId="0ED6184D">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（6）规划工程涉及水源保护区及优化调整意见</w:t>
      </w:r>
    </w:p>
    <w:p w14:paraId="3CCFC647">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根据规划阶段设计成果分析，规划罗师灌区工程涉及罗平县龙王庙水库集中式饮用水水源保护区、小务龙水库饮用水水源保护区、溜子田水库饮用水水源保护区、小撒卜龙水库饮用水水源保护区，富源灌区工程涉及富源县黄泥河镇海子头饮用水水源保护区，沾马灌区工程涉及曲靖市西河水库饮用水水源保护区，曲靖市牛栏江德泽水库引水济曲工程拟建线路涉及曲靖市西河水库饮用水水源保护区、麒麟区石灰窑水库饮用水水源保护区，云南省南盘江（珠江源头）生态保护修复工程涉及花山水库饮用水水源保护区、大坝冲水库饮用水水源保护区，陆良县引水入陆工程涉及大坝冲水库饮用水水源保护区。</w:t>
      </w:r>
    </w:p>
    <w:p w14:paraId="28721DF8">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优化调整意见：项目实施过程中，工程占地、施工活动可能会对水源保护区水质、供水功能造成一定影响。在严格控制施工占地范围，禁止渣场、生产生活区等临时施工布置布设在水源保护区内，生产生活废水通过采取废水处理措施后全部回用。</w:t>
      </w:r>
    </w:p>
    <w:p w14:paraId="3CF4884A">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（7）控制断面水质达标意见</w:t>
      </w:r>
    </w:p>
    <w:p w14:paraId="43AD89A5">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流域范围内省控5个断面出现超标情况，其中冯家圩、西河水库坝中2个省控断面近4年均未达标；潇湘水库坝中省控断面近3年（2023-2025年）未达标，2022年达标；沾益铁路桥、响水河水库2个省控断面2022年未达标，近3年（2023-2025年）达标。</w:t>
      </w:r>
    </w:p>
    <w:p w14:paraId="5A27024E">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优化调整意见：对南盘江（曲靖市境内）流域内开展流域污染治理，加大城镇基础设施建设，完善配套城镇生活污水及垃圾收集处理系统建设，提高管网覆盖率、污水收集和处理率。加强农村生活污染治理，推进农村环境综合整治。以控制农业面源污染为主，切实改善南盘江（曲靖市境内）水环境质量，全面提升优良水体比例。</w:t>
      </w:r>
    </w:p>
    <w:p w14:paraId="259047B3">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（8）生态环境保护措施优化调整建议</w:t>
      </w:r>
    </w:p>
    <w:p w14:paraId="2B1B5DF1">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南盘江（曲靖市境内）流域生物多样性丰富，分布有多种珍稀保护动植物，为此必须统筹流域生态系统完整性，科学制定保护措施。建议从流域整体层面进行顶层设计，协调好生态需水保障、农业灌溉规划及涉水工程布局之间的关系。通过制定严格的生态流量保障机制、推广高效农业节水技术、实施工程优化选址与生态避让等措施，构建流域综合防护体系。</w:t>
      </w:r>
    </w:p>
    <w:p w14:paraId="53EFBE11">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在此基础上，应着重强化流域生态空间的连通性，确保流域生态系统的结构与功能完整。通过提升生态系统内部的互补性与稳定性，增强其应对工程建设、人类活动及自然演变等多重扰动的整体韧性与自我调节能力。</w:t>
      </w:r>
    </w:p>
    <w:p w14:paraId="2F5B7203">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（9）重大水工程开发时序优化调整意见</w:t>
      </w:r>
    </w:p>
    <w:p w14:paraId="62319CC7">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本规划布局了3件大型灌区（</w:t>
      </w:r>
      <w:r>
        <w:rPr>
          <w:rFonts w:hint="default" w:ascii="Times New Roman" w:hAnsi="Times New Roman" w:cs="Times New Roman"/>
          <w:color w:val="auto"/>
          <w:highlight w:val="none"/>
        </w:rPr>
        <w:t>罗师灌区、富源灌区、沾马灌区</w:t>
      </w:r>
      <w:r>
        <w:rPr>
          <w:rFonts w:hint="default" w:ascii="Times New Roman" w:hAnsi="Times New Roman" w:cs="Times New Roman" w:eastAsiaTheme="minorEastAsia"/>
          <w:color w:val="auto"/>
          <w:highlight w:val="none"/>
        </w:rPr>
        <w:t>）、2件引调水工程（</w:t>
      </w:r>
      <w:r>
        <w:rPr>
          <w:rFonts w:hint="default" w:ascii="Times New Roman" w:hAnsi="Times New Roman" w:cs="Times New Roman"/>
          <w:color w:val="auto"/>
          <w:highlight w:val="none"/>
        </w:rPr>
        <w:t>曲靖市牛栏江德泽水库引水济曲工程、陆良县引水入陆工程</w:t>
      </w:r>
      <w:r>
        <w:rPr>
          <w:rFonts w:hint="default" w:ascii="Times New Roman" w:hAnsi="Times New Roman" w:cs="Times New Roman" w:eastAsiaTheme="minorEastAsia"/>
          <w:color w:val="auto"/>
          <w:highlight w:val="none"/>
        </w:rPr>
        <w:t>）、1件水生态保护和修复工程（云南省南盘江（珠江源头）生态保护修复工程）、1件水库扩建工程（</w:t>
      </w:r>
      <w:r>
        <w:rPr>
          <w:rFonts w:hint="default" w:ascii="Times New Roman" w:hAnsi="Times New Roman" w:cs="Times New Roman"/>
          <w:color w:val="auto"/>
          <w:highlight w:val="none"/>
        </w:rPr>
        <w:t>响水坝水库扩建工程</w:t>
      </w:r>
      <w:r>
        <w:rPr>
          <w:rFonts w:hint="default" w:ascii="Times New Roman" w:hAnsi="Times New Roman" w:cs="Times New Roman" w:eastAsiaTheme="minorEastAsia"/>
          <w:color w:val="auto"/>
          <w:highlight w:val="none"/>
        </w:rPr>
        <w:t>）。</w:t>
      </w:r>
    </w:p>
    <w:p w14:paraId="24586745">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遵循“强前期、优时序、动态调整”的原则，建议近期优先推进重大水利工程3件大型灌区、2件引调水工程、1件水生态保护与修复工程，目前已基本完成选址选线及勘察设计工作，前期工作基础扎实，建议纳入近期实施计划，优先保障要素供给，加快推进审批与建设进度。响水坝水库扩建工程，建议在完成可行性研究论证并落实水源配置方案、初步设计工作后同步推进建设。</w:t>
      </w:r>
    </w:p>
    <w:p w14:paraId="6E7E87E6">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所有规划项目在下阶段工作中，必须严格论证与所在县（区）国土空间总体规划的合规性，确保项目选址符合“三区三线”管控要求，依法依规推进。</w:t>
      </w:r>
    </w:p>
    <w:p w14:paraId="0730677D">
      <w:pPr>
        <w:pStyle w:val="3"/>
        <w:numPr>
          <w:ilvl w:val="1"/>
          <w:numId w:val="4"/>
        </w:numPr>
        <w:spacing w:before="374" w:after="249"/>
        <w:rPr>
          <w:rFonts w:hint="default" w:ascii="Times New Roman" w:hAnsi="Times New Roman" w:eastAsia="宋体" w:cs="Times New Roman"/>
          <w:color w:val="auto"/>
          <w:highlight w:val="none"/>
        </w:rPr>
      </w:pPr>
      <w:bookmarkStart w:id="143" w:name="_Toc6978"/>
      <w:bookmarkStart w:id="144" w:name="_Toc14252"/>
      <w:bookmarkStart w:id="145" w:name="_Toc24499"/>
      <w:bookmarkStart w:id="146" w:name="_Toc1519"/>
      <w:bookmarkStart w:id="147" w:name="_Toc26244"/>
      <w:bookmarkStart w:id="148" w:name="_Toc3821"/>
      <w:bookmarkStart w:id="149" w:name="_Toc21137"/>
      <w:r>
        <w:rPr>
          <w:rFonts w:hint="default" w:ascii="Times New Roman" w:hAnsi="Times New Roman" w:eastAsia="宋体" w:cs="Times New Roman"/>
          <w:color w:val="auto"/>
          <w:highlight w:val="none"/>
        </w:rPr>
        <w:fldChar w:fldCharType="begin"/>
      </w:r>
      <w:r>
        <w:rPr>
          <w:rFonts w:hint="default" w:ascii="Times New Roman" w:hAnsi="Times New Roman" w:eastAsia="宋体" w:cs="Times New Roman"/>
          <w:color w:val="auto"/>
          <w:highlight w:val="none"/>
        </w:rPr>
        <w:instrText xml:space="preserve"> HYPERLINK \l _Toc24236 </w:instrText>
      </w:r>
      <w:r>
        <w:rPr>
          <w:rFonts w:hint="default" w:ascii="Times New Roman" w:hAnsi="Times New Roman" w:eastAsia="宋体" w:cs="Times New Roman"/>
          <w:color w:val="auto"/>
          <w:highlight w:val="none"/>
        </w:rPr>
        <w:fldChar w:fldCharType="separate"/>
      </w:r>
      <w:r>
        <w:rPr>
          <w:rFonts w:hint="default" w:ascii="Times New Roman" w:hAnsi="Times New Roman" w:eastAsia="宋体" w:cs="Times New Roman"/>
          <w:color w:val="auto"/>
          <w:highlight w:val="none"/>
        </w:rPr>
        <w:t>对下阶段环评的指导意见</w:t>
      </w:r>
      <w:r>
        <w:rPr>
          <w:rFonts w:hint="default" w:ascii="Times New Roman" w:hAnsi="Times New Roman" w:eastAsia="宋体" w:cs="Times New Roman"/>
          <w:color w:val="auto"/>
          <w:highlight w:val="none"/>
        </w:rPr>
        <w:fldChar w:fldCharType="end"/>
      </w:r>
      <w:bookmarkEnd w:id="143"/>
      <w:bookmarkEnd w:id="144"/>
      <w:bookmarkEnd w:id="145"/>
      <w:bookmarkEnd w:id="146"/>
      <w:bookmarkEnd w:id="147"/>
      <w:bookmarkEnd w:id="148"/>
      <w:bookmarkEnd w:id="149"/>
    </w:p>
    <w:p w14:paraId="66FECD4C">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下阶段项目实施阶段，应遵循有关规划和规划环评要求，避让周边的环境敏感区，针对可能对各环境敏感区造成的不利影响，提出相关保护与恢复措施，加强环境保护事中、事后监管以及环境影响后评价管理，对实际产生不利影响以及生态保护和风险防范措施的有效性进行跟踪监测和评价，提出并完善环保对策措施。</w:t>
      </w:r>
    </w:p>
    <w:p w14:paraId="5816C0DD">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1）鉴于本规划项目多且分散，下阶段各建设项目应严格执行国家建设项目环境影响评价制度。对于本阶段因规划深度不足而未开展详细水环境、生态影响评价的项目，应在项目立项前，依据相关导则开展深入的预测评价，并制定针对性防治措施。</w:t>
      </w:r>
    </w:p>
    <w:p w14:paraId="7BF1B978">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2）项目前期选址应充分论证与生态空间、“三区三线”、《生态环境分区管控》的符合性。严禁占用法律法规明令禁止开发的区域，建立规划环评与项目环评的联动机制，将改善环境质量作为项目审批的核心前提。</w:t>
      </w:r>
    </w:p>
    <w:p w14:paraId="53576B84">
      <w:pPr>
        <w:ind w:firstLine="480" w:firstLineChars="200"/>
        <w:rPr>
          <w:rFonts w:hint="default" w:ascii="Times New Roman" w:hAnsi="Times New Roman" w:cs="Times New Roman"/>
          <w:color w:val="auto"/>
          <w:highlight w:val="none"/>
        </w:rPr>
      </w:pPr>
      <w:r>
        <w:rPr>
          <w:rFonts w:hint="default" w:ascii="Times New Roman" w:hAnsi="Times New Roman" w:cs="Times New Roman" w:eastAsiaTheme="minorEastAsia"/>
          <w:color w:val="auto"/>
          <w:highlight w:val="none"/>
        </w:rPr>
        <w:t>（3）规划新建</w:t>
      </w:r>
      <w:r>
        <w:rPr>
          <w:rFonts w:hint="default" w:ascii="Times New Roman" w:hAnsi="Times New Roman" w:cs="Times New Roman"/>
          <w:color w:val="auto"/>
          <w:highlight w:val="none"/>
        </w:rPr>
        <w:t>云南省南盘江（珠江源头）生态保护修复工程约36.63hm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涉及珠江源省级自然保护区实验区、36.13hm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涉及珠江源省级风景名胜区一般控制区、约38.08hm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涉及云南珠江源国家森林公园，规划沾马灌区工程约5.4km涉及</w:t>
      </w:r>
      <w:r>
        <w:rPr>
          <w:rFonts w:hint="default" w:ascii="Times New Roman" w:hAnsi="Times New Roman" w:cs="Times New Roman"/>
          <w:color w:val="auto"/>
          <w:highlight w:val="none"/>
          <w:lang w:eastAsia="zh-CN"/>
        </w:rPr>
        <w:t>马龙马过河</w:t>
      </w:r>
      <w:r>
        <w:rPr>
          <w:rFonts w:hint="default" w:ascii="Times New Roman" w:hAnsi="Times New Roman" w:cs="Times New Roman"/>
          <w:color w:val="auto"/>
          <w:highlight w:val="none"/>
        </w:rPr>
        <w:t>风景名胜区一般控制区；自然保护地优化整合后，规划重点工程不再涉及自然保护区，但有涉及风景名胜区、森林公园、</w:t>
      </w:r>
      <w:r>
        <w:rPr>
          <w:rFonts w:hint="eastAsia" w:ascii="Times New Roman" w:hAnsi="Times New Roman" w:cs="Times New Roman"/>
          <w:color w:val="auto"/>
          <w:highlight w:val="none"/>
          <w:lang w:val="en-US" w:eastAsia="zh-CN"/>
        </w:rPr>
        <w:t>湿地</w:t>
      </w:r>
      <w:r>
        <w:rPr>
          <w:rFonts w:hint="default" w:ascii="Times New Roman" w:hAnsi="Times New Roman" w:cs="Times New Roman"/>
          <w:color w:val="auto"/>
          <w:highlight w:val="none"/>
        </w:rPr>
        <w:t>公园和饮用水源保护区。云南省南盘江（珠江源头）生态保护修复工程约35.56hm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、罗师灌区工程约20.02 hm</w:t>
      </w:r>
      <w:r>
        <w:rPr>
          <w:rFonts w:hint="default" w:ascii="Times New Roman" w:hAnsi="Times New Roman" w:cs="Times New Roman"/>
          <w:color w:val="auto"/>
          <w:highlight w:val="none"/>
          <w:vertAlign w:val="superscript"/>
        </w:rPr>
        <w:t>2</w:t>
      </w:r>
      <w:r>
        <w:rPr>
          <w:rFonts w:hint="default" w:ascii="Times New Roman" w:hAnsi="Times New Roman" w:cs="Times New Roman"/>
          <w:color w:val="auto"/>
          <w:highlight w:val="none"/>
        </w:rPr>
        <w:t>、沾马灌区工程约17.43km、曲靖市牛栏江德泽水库引水济曲工程拟建线路约8.01km均涉及生态保护红线。</w:t>
      </w:r>
    </w:p>
    <w:p w14:paraId="5C613008">
      <w:pPr>
        <w:pStyle w:val="4"/>
        <w:ind w:firstLine="480"/>
        <w:rPr>
          <w:rFonts w:hint="default" w:ascii="Times New Roman" w:hAnsi="Times New Roman" w:cs="Times New Roman" w:eastAsiaTheme="minorEastAsia"/>
          <w:color w:val="auto"/>
          <w:highlight w:val="none"/>
        </w:rPr>
      </w:pPr>
      <w:bookmarkStart w:id="150" w:name="OLE_LINK149"/>
      <w:bookmarkStart w:id="151" w:name="OLE_LINK150"/>
      <w:r>
        <w:rPr>
          <w:rFonts w:hint="default" w:ascii="Times New Roman" w:hAnsi="Times New Roman" w:cs="Times New Roman" w:eastAsiaTheme="minorEastAsia"/>
          <w:color w:val="auto"/>
          <w:highlight w:val="none"/>
        </w:rPr>
        <w:t>规划项目实施前应进一步核实工程选址选线与各类环境敏感保护目标的位置关系，优先考虑调整方案予以避让。确实难以避让敏感保护目标的，应在符合其相关法律法规的前提下，充分论证工程的必要性和不可避让性，按规定办理相关手续，针对性地制定减缓影响和修复补偿等保护措施并认真落实。</w:t>
      </w:r>
      <w:bookmarkEnd w:id="150"/>
      <w:bookmarkEnd w:id="151"/>
      <w:r>
        <w:rPr>
          <w:rFonts w:hint="default" w:ascii="Times New Roman" w:hAnsi="Times New Roman" w:cs="Times New Roman" w:eastAsiaTheme="minorEastAsia"/>
          <w:color w:val="auto"/>
          <w:highlight w:val="none"/>
        </w:rPr>
        <w:t>涉及饮用水水源保护区的，必须严格控制施工占地范围，禁止渣场、生产生活区等临时施工布置布设在水源保护区内，生产生活废水通过采取废水处理措施后全部回用。灌区工程下阶段应注意对饮用水水源保护区提出先保障原有供水任务，保证人饮用水需求在进行生产的运行管理要求。</w:t>
      </w:r>
    </w:p>
    <w:p w14:paraId="177C77E1">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（4）本次灌区工程中小务龙水库为分层型，下阶段环评须开展水温分层结构及下泄水温预测。若预测存在低温水影响，应采取分层取水等工程措施，减轻对下游农业灌溉及水生生态的不利影响。</w:t>
      </w:r>
    </w:p>
    <w:p w14:paraId="1D0FA578">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（5）下阶段应进一步优化施工组织设计，科学布设渣场、料场及施工营地（“三场”），最大程度减少对生态空间的占用。</w:t>
      </w:r>
    </w:p>
    <w:p w14:paraId="7C4B9EF1">
      <w:pPr>
        <w:pStyle w:val="4"/>
        <w:ind w:firstLine="480"/>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6）项目环评阶段应深入调查流域水生生物现状，重点核查河段内国家重点保护野生鱼类和珍稀濒危特有鱼类的种类的资源量、产卵场、索饵场、越冬场及洄游通道分布情况，精准掌握区域水生生态本底条件。实施流域水库大坝建设工程时，应进一步深化工程建设对水生生态影响专项论证。科学论证并核定水库生态下泄流量，确保减水河段生态需水要求，维持河流连通性与生态系统完整性。同时高度重视流域生态调度，结合不同时段水生生物生长繁殖规律，尤其是重点保护鱼类繁殖洄游关键窗口期，科学制定水利工程生态调度方案和调度计划。</w:t>
      </w:r>
    </w:p>
    <w:p w14:paraId="7C1D8626">
      <w:pPr>
        <w:pStyle w:val="3"/>
        <w:numPr>
          <w:ilvl w:val="1"/>
          <w:numId w:val="4"/>
        </w:numPr>
        <w:spacing w:before="374" w:after="249"/>
        <w:rPr>
          <w:rFonts w:hint="default" w:ascii="Times New Roman" w:hAnsi="Times New Roman" w:eastAsia="宋体" w:cs="Times New Roman"/>
          <w:color w:val="auto"/>
          <w:highlight w:val="none"/>
        </w:rPr>
      </w:pPr>
      <w:bookmarkStart w:id="152" w:name="_Toc16643"/>
      <w:bookmarkStart w:id="153" w:name="_Toc31185"/>
      <w:bookmarkStart w:id="154" w:name="_Toc10992"/>
      <w:bookmarkStart w:id="155" w:name="_Toc28829"/>
      <w:bookmarkStart w:id="156" w:name="_Toc825"/>
      <w:bookmarkStart w:id="157" w:name="_Toc21182"/>
      <w:r>
        <w:rPr>
          <w:rFonts w:hint="default" w:ascii="Times New Roman" w:hAnsi="Times New Roman" w:eastAsia="宋体" w:cs="Times New Roman"/>
          <w:color w:val="auto"/>
          <w:highlight w:val="none"/>
        </w:rPr>
        <w:t>规划环评与规划互动</w:t>
      </w:r>
      <w:bookmarkEnd w:id="152"/>
      <w:bookmarkEnd w:id="153"/>
      <w:bookmarkEnd w:id="154"/>
      <w:bookmarkEnd w:id="155"/>
      <w:bookmarkEnd w:id="156"/>
      <w:bookmarkEnd w:id="157"/>
    </w:p>
    <w:p w14:paraId="13B050BA">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bidi="ar"/>
        </w:rPr>
        <w:t>为确保《南盘江（曲靖市境内）流域综合规划》（以下简称“规划”）与《南盘江（曲靖市境内）流域综合规划</w:t>
      </w:r>
      <w:r>
        <w:rPr>
          <w:rFonts w:hint="eastAsia" w:cs="Times New Roman"/>
          <w:color w:val="auto"/>
          <w:kern w:val="0"/>
          <w:highlight w:val="none"/>
          <w:lang w:val="en-US" w:eastAsia="zh-CN" w:bidi="ar"/>
        </w:rPr>
        <w:t>生态</w:t>
      </w:r>
      <w:r>
        <w:rPr>
          <w:rFonts w:hint="default" w:ascii="Times New Roman" w:hAnsi="Times New Roman" w:cs="Times New Roman"/>
          <w:color w:val="auto"/>
          <w:kern w:val="0"/>
          <w:highlight w:val="none"/>
          <w:lang w:bidi="ar"/>
        </w:rPr>
        <w:t>环境影响</w:t>
      </w:r>
      <w:r>
        <w:rPr>
          <w:rFonts w:hint="eastAsia" w:cs="Times New Roman"/>
          <w:color w:val="auto"/>
          <w:kern w:val="0"/>
          <w:highlight w:val="none"/>
          <w:lang w:val="en-US" w:eastAsia="zh-CN" w:bidi="ar"/>
        </w:rPr>
        <w:t>评价</w:t>
      </w:r>
      <w:r>
        <w:rPr>
          <w:rFonts w:hint="default" w:ascii="Times New Roman" w:hAnsi="Times New Roman" w:cs="Times New Roman"/>
          <w:color w:val="auto"/>
          <w:kern w:val="0"/>
          <w:highlight w:val="none"/>
          <w:lang w:bidi="ar"/>
        </w:rPr>
        <w:t>报告书》（以下简称“规划环评”）的深度耦合与协同推进，本规划确立全流程互动机制。通过规划与规划环评同步开展、早期介入、中期跟踪及后期优化，实现规划决策的科学性与环境可行性。</w:t>
      </w:r>
    </w:p>
    <w:p w14:paraId="6E1598DA">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在规划编制初期，强调了</w:t>
      </w:r>
      <w:r>
        <w:rPr>
          <w:rFonts w:hint="default" w:ascii="Times New Roman" w:hAnsi="Times New Roman" w:cs="Times New Roman"/>
          <w:color w:val="auto"/>
          <w:kern w:val="0"/>
          <w:highlight w:val="none"/>
          <w:lang w:bidi="ar"/>
        </w:rPr>
        <w:t>规划与规划环评</w:t>
      </w:r>
      <w:r>
        <w:rPr>
          <w:rFonts w:hint="default" w:ascii="Times New Roman" w:hAnsi="Times New Roman" w:cs="Times New Roman"/>
          <w:color w:val="auto"/>
          <w:highlight w:val="none"/>
        </w:rPr>
        <w:t>的联动，环评专业编制人员配合规划专业开展了多轮次现场踏勘，系统复核了流域内生态保护红线、饮用水水源保护区、自然保护地等环境敏感区分布。规划环评通过对已建项目的回顾性评价，结合流域环境现状调查，识别出流域存在的重大环境制约因素及生态问题。规划环评编制人员及时向规划编制人员反馈环境敏感点及制约因素，明确了整改方向与避让原则，有效避免了因环境冲突导致的规划方案重大调整，从源头上规避了环境风险。规划编制全过程充分吸纳了规划环评的环境要素识别结果，对规划总体布局、工程规模及开发任务进行了多轮优化，依据环评提出的生态空间管控要求，对重大水工程的选址选线进行了严格论证，确保项目布局符合“三区三线”管控要求。</w:t>
      </w:r>
      <w:r>
        <w:rPr>
          <w:rFonts w:hint="default" w:ascii="Times New Roman" w:hAnsi="Times New Roman" w:cs="Times New Roman"/>
          <w:color w:val="auto"/>
          <w:kern w:val="0"/>
          <w:highlight w:val="none"/>
          <w:lang w:bidi="ar"/>
        </w:rPr>
        <w:t>结合</w:t>
      </w:r>
      <w:r>
        <w:rPr>
          <w:rFonts w:hint="default" w:ascii="Times New Roman" w:hAnsi="Times New Roman" w:cs="Times New Roman"/>
          <w:color w:val="auto"/>
          <w:highlight w:val="none"/>
        </w:rPr>
        <w:t>环评对项目实施紧迫性及环境影响的预判。在规划编制过程中，规划环评全程参与，针对规划确定的工程布局，提出了切实可行的环境保护结论与对策措施。规划充分采纳了环评提出的生态流量保障、水生生态保护、水土流失防治等具体措施。建立规划与环评的动态响应机制，提出切实可行的环保结论，完善相应的环保对策措施，确保流域生态系统结构的完整性和功能的连续性。</w:t>
      </w:r>
    </w:p>
    <w:p w14:paraId="4D95E69E">
      <w:pPr>
        <w:ind w:firstLine="480"/>
        <w:rPr>
          <w:rFonts w:hint="default" w:ascii="Times New Roman" w:hAnsi="Times New Roman" w:cs="Times New Roman"/>
          <w:color w:val="auto"/>
          <w:highlight w:val="none"/>
        </w:rPr>
      </w:pPr>
    </w:p>
    <w:p w14:paraId="3E19366D">
      <w:pPr>
        <w:pStyle w:val="4"/>
        <w:rPr>
          <w:rFonts w:hint="default" w:ascii="Times New Roman" w:hAnsi="Times New Roman" w:eastAsia="宋体" w:cs="Times New Roman"/>
          <w:color w:val="auto"/>
          <w:highlight w:val="none"/>
        </w:rPr>
      </w:pPr>
    </w:p>
    <w:p w14:paraId="3742DEA1">
      <w:pPr>
        <w:pStyle w:val="4"/>
        <w:rPr>
          <w:rFonts w:hint="default" w:ascii="Times New Roman" w:hAnsi="Times New Roman" w:eastAsia="宋体" w:cs="Times New Roman"/>
          <w:color w:val="auto"/>
          <w:highlight w:val="none"/>
        </w:rPr>
        <w:sectPr>
          <w:pgSz w:w="11906" w:h="16838"/>
          <w:pgMar w:top="1440" w:right="1800" w:bottom="1440" w:left="1800" w:header="851" w:footer="992" w:gutter="0"/>
          <w:pgNumType w:fmt="decimal"/>
          <w:cols w:space="425" w:num="1"/>
          <w:docGrid w:type="lines" w:linePitch="312" w:charSpace="0"/>
        </w:sectPr>
      </w:pPr>
    </w:p>
    <w:p w14:paraId="2C6BA7D1">
      <w:pPr>
        <w:pStyle w:val="2"/>
        <w:numPr>
          <w:ilvl w:val="0"/>
          <w:numId w:val="3"/>
        </w:numPr>
        <w:spacing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 </w:t>
      </w:r>
      <w:bookmarkStart w:id="158" w:name="_Toc20156"/>
      <w:r>
        <w:rPr>
          <w:rFonts w:hint="default" w:ascii="Times New Roman" w:hAnsi="Times New Roman" w:eastAsia="宋体" w:cs="Times New Roman"/>
          <w:color w:val="auto"/>
          <w:highlight w:val="none"/>
        </w:rPr>
        <w:t>环境影响减缓对策和措施</w:t>
      </w:r>
      <w:bookmarkEnd w:id="158"/>
    </w:p>
    <w:p w14:paraId="0B3E5AF9">
      <w:pPr>
        <w:pStyle w:val="31"/>
        <w:keepNext/>
        <w:keepLines/>
        <w:numPr>
          <w:ilvl w:val="0"/>
          <w:numId w:val="4"/>
        </w:numPr>
        <w:spacing w:before="374" w:beforeLines="120" w:after="249" w:afterLines="80" w:line="288" w:lineRule="auto"/>
        <w:ind w:firstLineChars="0"/>
        <w:outlineLvl w:val="1"/>
        <w:rPr>
          <w:rFonts w:hint="default" w:ascii="Times New Roman" w:hAnsi="Times New Roman" w:eastAsia="宋体" w:cs="Times New Roman"/>
          <w:b/>
          <w:bCs/>
          <w:vanish/>
          <w:color w:val="auto"/>
          <w:sz w:val="32"/>
          <w:szCs w:val="32"/>
          <w:highlight w:val="none"/>
        </w:rPr>
      </w:pPr>
    </w:p>
    <w:p w14:paraId="508E0250">
      <w:pPr>
        <w:pStyle w:val="3"/>
        <w:numPr>
          <w:ilvl w:val="1"/>
          <w:numId w:val="4"/>
        </w:numPr>
        <w:spacing w:before="374" w:after="249"/>
        <w:rPr>
          <w:rFonts w:hint="default" w:ascii="Times New Roman" w:hAnsi="Times New Roman" w:eastAsia="宋体" w:cs="Times New Roman"/>
          <w:color w:val="auto"/>
          <w:highlight w:val="none"/>
        </w:rPr>
      </w:pPr>
      <w:bookmarkStart w:id="159" w:name="_Toc3016"/>
      <w:r>
        <w:rPr>
          <w:rFonts w:hint="default" w:ascii="Times New Roman" w:hAnsi="Times New Roman" w:eastAsia="宋体" w:cs="Times New Roman"/>
          <w:color w:val="auto"/>
          <w:highlight w:val="none"/>
        </w:rPr>
        <w:t>总体思路</w:t>
      </w:r>
      <w:bookmarkEnd w:id="159"/>
    </w:p>
    <w:p w14:paraId="704435AE">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通过流域规划工程环境影响预测和评价</w:t>
      </w:r>
      <w:r>
        <w:rPr>
          <w:rFonts w:hint="default" w:ascii="Times New Roman" w:hAnsi="Times New Roman" w:cs="Times New Roman"/>
          <w:color w:val="auto"/>
          <w:highlight w:val="green"/>
        </w:rPr>
        <w:t>，在新</w:t>
      </w:r>
      <w:r>
        <w:rPr>
          <w:rFonts w:hint="eastAsia" w:cs="Times New Roman"/>
          <w:color w:val="auto"/>
          <w:highlight w:val="green"/>
          <w:lang w:val="en-US" w:eastAsia="zh-CN"/>
        </w:rPr>
        <w:t>时代</w:t>
      </w:r>
      <w:r>
        <w:rPr>
          <w:rFonts w:hint="default" w:ascii="Times New Roman" w:hAnsi="Times New Roman" w:cs="Times New Roman"/>
          <w:color w:val="auto"/>
          <w:highlight w:val="green"/>
        </w:rPr>
        <w:t>生态文明建设和流域整体治理思路的指导下，</w:t>
      </w:r>
      <w:r>
        <w:rPr>
          <w:rFonts w:hint="default" w:ascii="Times New Roman" w:hAnsi="Times New Roman" w:cs="Times New Roman"/>
          <w:color w:val="auto"/>
          <w:highlight w:val="none"/>
        </w:rPr>
        <w:t>对单个项目难以解决的累积性影响，提出环境影响减缓措施或原则性要求，从流域层面提出预防措施，对已实施规划内容的影响提出修复或补救措施，对尚未实施的规划内容提出优化和减量化措施，为流域规划实施提供环境管理依据。</w:t>
      </w:r>
    </w:p>
    <w:p w14:paraId="7D9DE8DA">
      <w:pPr>
        <w:pStyle w:val="3"/>
        <w:numPr>
          <w:ilvl w:val="1"/>
          <w:numId w:val="4"/>
        </w:numPr>
        <w:spacing w:before="374" w:after="249"/>
        <w:rPr>
          <w:rFonts w:hint="default" w:ascii="Times New Roman" w:hAnsi="Times New Roman" w:eastAsia="宋体" w:cs="Times New Roman"/>
          <w:color w:val="auto"/>
          <w:highlight w:val="none"/>
        </w:rPr>
      </w:pPr>
      <w:bookmarkStart w:id="160" w:name="_Toc3546"/>
      <w:r>
        <w:rPr>
          <w:rFonts w:hint="default" w:ascii="Times New Roman" w:hAnsi="Times New Roman" w:eastAsia="宋体" w:cs="Times New Roman"/>
          <w:color w:val="auto"/>
          <w:highlight w:val="none"/>
        </w:rPr>
        <w:t>制定原则</w:t>
      </w:r>
      <w:bookmarkEnd w:id="160"/>
    </w:p>
    <w:p w14:paraId="29ED9C62">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（1）整体性治理原则</w:t>
      </w:r>
    </w:p>
    <w:p w14:paraId="3C7830D9">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通过调查研究结合流域生态环境存在的问题，并结合流域规划项目布置和方案，从流域生态环境整体性污染治理角度，以深化河长制改革为突破口，提出流域生态环境整体性污染治理、生态修复等环境保护方案，从流域管理角度提出明确流域分层治理的权责。</w:t>
      </w:r>
    </w:p>
    <w:p w14:paraId="4F0E8185">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（2）生态优先原则</w:t>
      </w:r>
    </w:p>
    <w:p w14:paraId="78A1F499">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维护区域生态多样性、生态系统结构和功能的稳定性，将生态影响作为规划方案选择的重要指标，优化规划总体布局，促进区域生态系统的良性发展。</w:t>
      </w:r>
    </w:p>
    <w:p w14:paraId="4FC6CAF6">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（3）以人为本原则</w:t>
      </w:r>
    </w:p>
    <w:p w14:paraId="50B8E712">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流域水资源利用规划在项目布置、方案设计时，进行多方案比较，开展广泛的公众参与调查，征求公众对规划的意见和建议，并对下阶段规划实施提出环境保护要求。</w:t>
      </w:r>
    </w:p>
    <w:p w14:paraId="2E6E1AF7">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（4）协调性原则</w:t>
      </w:r>
    </w:p>
    <w:p w14:paraId="08911AB5">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规划建设和运行是人类利用自然资源满足需求的行为，应协调好建设与维护生态完整性的关系，制定措施控制资源和环境影响在自然体系可以承受的范围内，为经济社会的发展服务。</w:t>
      </w:r>
    </w:p>
    <w:p w14:paraId="251D0CB7">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对策措施拟定时，充分考虑各个专项规划间的协调性，做到各单项对策措施相协调，共同发挥效率。</w:t>
      </w:r>
    </w:p>
    <w:p w14:paraId="05AD5052">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（5）最小、减量化原则</w:t>
      </w:r>
    </w:p>
    <w:p w14:paraId="4549D8A6">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拟定对策措施时应尽量避免综合规划的实施造成的环境破坏，通过行政措施、经济手段、技术方法等将不利环境影响降至最小，或者使不利影响得到有效减轻。</w:t>
      </w:r>
    </w:p>
    <w:p w14:paraId="42D0CB7E">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（6）预防为主原则</w:t>
      </w:r>
    </w:p>
    <w:p w14:paraId="4C789443">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对可能造成不良环境影响的工程因素，本着预防为主的原则，对规划方案进行调整，避免或减轻影响程度。</w:t>
      </w:r>
    </w:p>
    <w:p w14:paraId="3527D05A">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（7）修复补救原则</w:t>
      </w:r>
    </w:p>
    <w:p w14:paraId="269E0270">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对规划实施后可修复的生态环境，拟定相应的对策措施，尽量还原其原来面貌，对不可逆的影响，拟定相应的措施使生态环境良性循环。</w:t>
      </w:r>
    </w:p>
    <w:p w14:paraId="2A5B1AF3">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（8）重建原则</w:t>
      </w:r>
    </w:p>
    <w:p w14:paraId="237210A8">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对于已经退化或受到破坏的生态系统和脆弱生境，要按照生态学原理恢复重建。</w:t>
      </w:r>
    </w:p>
    <w:p w14:paraId="551D9CF5">
      <w:pPr>
        <w:pStyle w:val="3"/>
        <w:numPr>
          <w:ilvl w:val="1"/>
          <w:numId w:val="4"/>
        </w:numPr>
        <w:spacing w:before="374" w:after="249"/>
        <w:rPr>
          <w:rFonts w:hint="default" w:ascii="Times New Roman" w:hAnsi="Times New Roman" w:eastAsia="宋体" w:cs="Times New Roman"/>
          <w:color w:val="auto"/>
          <w:highlight w:val="none"/>
        </w:rPr>
      </w:pPr>
      <w:bookmarkStart w:id="161" w:name="_Toc23990"/>
      <w:r>
        <w:rPr>
          <w:rFonts w:hint="default" w:ascii="Times New Roman" w:hAnsi="Times New Roman" w:eastAsia="宋体" w:cs="Times New Roman"/>
          <w:color w:val="auto"/>
          <w:highlight w:val="none"/>
        </w:rPr>
        <w:t>水资源保护对策措施</w:t>
      </w:r>
      <w:bookmarkEnd w:id="161"/>
    </w:p>
    <w:p w14:paraId="746662D4">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预防措施</w:t>
      </w:r>
    </w:p>
    <w:p w14:paraId="3A8ACAB1">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全面贯彻</w:t>
      </w:r>
      <w:r>
        <w:rPr>
          <w:rFonts w:hint="eastAsia" w:cs="Times New Roman"/>
          <w:color w:val="auto"/>
          <w:highlight w:val="none"/>
          <w:lang w:eastAsia="zh-CN"/>
        </w:rPr>
        <w:t>“节水优先、空间均衡、系统治理、两手发力”</w:t>
      </w:r>
      <w:r>
        <w:rPr>
          <w:rFonts w:hint="default" w:ascii="Times New Roman" w:hAnsi="Times New Roman" w:cs="Times New Roman"/>
          <w:color w:val="auto"/>
          <w:highlight w:val="none"/>
        </w:rPr>
        <w:t>治水思路，深入落实最严格水资源管理制度。坚持以水定城、以水定地、以水定人、以水定产，强化流域取用水监管与水资源论证，抑制不合理用水需求。通过实施水资源消耗总量和强度双控，推进水资源集约节约利用，全面提升南盘江（曲靖市境内）流域的水治理能力与管理水平。</w:t>
      </w:r>
    </w:p>
    <w:p w14:paraId="798EA969">
      <w:pPr>
        <w:widowControl/>
        <w:ind w:firstLine="480"/>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坚持生态优先，正确处理经济社会发展与水资源、水环境承载能力的关系。依据生态学原理，实行“有限、适度、有序”开发，严格规避过度开发对河流自然功能的损害。重点保护河流生态系统的完整性，维持水生态系统的良性循环，确保开发活动总体上不削弱河流的生态服务功能，实现人与河流的和谐共生。</w:t>
      </w:r>
    </w:p>
    <w:p w14:paraId="30338BD4">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减缓措施</w:t>
      </w:r>
    </w:p>
    <w:p w14:paraId="2A10B91C">
      <w:pPr>
        <w:ind w:firstLine="480"/>
        <w:rPr>
          <w:rFonts w:hint="default" w:ascii="Times New Roman" w:hAnsi="Times New Roman" w:cs="Times New Roman"/>
          <w:color w:val="auto"/>
          <w:highlight w:val="none"/>
        </w:rPr>
      </w:pPr>
      <w:bookmarkStart w:id="162" w:name="_Toc226589781"/>
      <w:r>
        <w:rPr>
          <w:rFonts w:hint="default" w:ascii="Times New Roman" w:hAnsi="Times New Roman" w:cs="Times New Roman"/>
          <w:color w:val="auto"/>
          <w:highlight w:val="none"/>
        </w:rPr>
        <w:t>（1）入河排污口布局与整治</w:t>
      </w:r>
      <w:bookmarkEnd w:id="162"/>
    </w:p>
    <w:p w14:paraId="5E9A435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云南省加强入河排污口监督管理工作方案》（云环发（2022）27号）、《排查溯源城区入河排污口提升污水收集率的通知》，曲靖市及三区四县按照查清现状、分类整治的要求，在现有入河排污口工作成果上全面摸清入河排污口现状情况，清理整顿各类违法设置的入河排污口，不断规范监督管理，进一步提升监管能力，实现保护水资源、防治水污染、改善水环境、修复水生态的目标。通过实施入河排污口综合整治，对区域入河排污口进行统一规划，有效管控污染物排放，推动受纳河流水质持续改善，提升流域水生态环境。</w:t>
      </w:r>
    </w:p>
    <w:p w14:paraId="5F15FDC0">
      <w:pPr>
        <w:ind w:firstLine="480"/>
        <w:rPr>
          <w:rFonts w:hint="default" w:ascii="Times New Roman" w:hAnsi="Times New Roman" w:cs="Times New Roman"/>
          <w:color w:val="auto"/>
          <w:highlight w:val="none"/>
        </w:rPr>
      </w:pPr>
      <w:bookmarkStart w:id="163" w:name="_Toc226589782"/>
      <w:r>
        <w:rPr>
          <w:rFonts w:hint="default" w:ascii="Times New Roman" w:hAnsi="Times New Roman" w:cs="Times New Roman"/>
          <w:color w:val="auto"/>
          <w:highlight w:val="none"/>
        </w:rPr>
        <w:t>（2）水源涵养与水源地保护</w:t>
      </w:r>
      <w:bookmarkEnd w:id="163"/>
    </w:p>
    <w:p w14:paraId="69B4A1D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源涵养区结合区域自然条件，以封育自然修复和人工林、草建设相结合的保护措施为主，在水土流失严重的水源源头区，根据当地水土保持生态治理规划的有关要求，突出水土流失综合治理和自然修复措施。本次水源涵养工程将采取围栏封育、水源涵养林建设、天然林保护工程、水保林建设工程、退化草地治理等措施，恢复其生态功能。重点实施南盘江（曲靖市境内）干流及主要支流的源头涵养工程。加强南盘江（曲靖市境内）流域水源地保护，重点对流域具有饮功能的水源地进行保护，保护工程措施主要包括隔离防护与宣传警示工程、污染综合整治工程两大方面，污染综合治理主要包括面源控制和内源治理。</w:t>
      </w:r>
    </w:p>
    <w:p w14:paraId="51B18EF2">
      <w:pPr>
        <w:ind w:firstLine="480"/>
        <w:rPr>
          <w:rFonts w:hint="default" w:ascii="Times New Roman" w:hAnsi="Times New Roman" w:cs="Times New Roman"/>
          <w:color w:val="auto"/>
          <w:highlight w:val="none"/>
        </w:rPr>
      </w:pPr>
      <w:bookmarkStart w:id="164" w:name="_Toc226589783"/>
      <w:r>
        <w:rPr>
          <w:rFonts w:hint="default" w:ascii="Times New Roman" w:hAnsi="Times New Roman" w:cs="Times New Roman"/>
          <w:color w:val="auto"/>
          <w:highlight w:val="none"/>
        </w:rPr>
        <w:t>（3）面源控制与内源治理</w:t>
      </w:r>
      <w:bookmarkEnd w:id="164"/>
    </w:p>
    <w:p w14:paraId="23C5AB9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坚持“源头减排、过程阻断、末端治理”系统思路，统筹构建“一河一策”治理格局。规划形成集镇段实施“疏浚+截污+景观绿化”，重点攻坚生活污水与合流制溢流污染控制、农村段推进“拦截+处置+综合整治”，系统改善农村流域人居环境、湖库段落实“清淤+隔离+生态修复”，切实保障饮用水源地水质安全的三大工程布局。重点实施穿越集镇河段的生活污水管网建设与雨污分流改造，开展入河排口整治与深度截流工程，从源头削减入河污染负荷。农村区域以生态清洁小流域为建设单元，点线面结合，重点实施农业面源控制、生活污染控制、固废处置利用三大工程。对淤积严重的库区及河道实施生态清淤；规范水产养殖行为，控制投饵施肥；构建水生植被群落，恢复水体自净能力，消除内源释放风险。</w:t>
      </w:r>
    </w:p>
    <w:p w14:paraId="670BAEE2">
      <w:pPr>
        <w:pStyle w:val="3"/>
        <w:numPr>
          <w:ilvl w:val="1"/>
          <w:numId w:val="4"/>
        </w:numPr>
        <w:spacing w:before="374" w:after="249"/>
        <w:rPr>
          <w:rFonts w:hint="default" w:ascii="Times New Roman" w:hAnsi="Times New Roman" w:eastAsia="宋体" w:cs="Times New Roman"/>
          <w:color w:val="auto"/>
          <w:highlight w:val="none"/>
        </w:rPr>
      </w:pPr>
      <w:bookmarkStart w:id="165" w:name="_Toc9948"/>
      <w:r>
        <w:rPr>
          <w:rFonts w:hint="default" w:ascii="Times New Roman" w:hAnsi="Times New Roman" w:cs="Times New Roman"/>
          <w:color w:val="auto"/>
          <w:highlight w:val="none"/>
          <w:lang w:val="en-US" w:eastAsia="zh-CN"/>
        </w:rPr>
        <w:t>地表水</w:t>
      </w:r>
      <w:r>
        <w:rPr>
          <w:rFonts w:hint="default" w:ascii="Times New Roman" w:hAnsi="Times New Roman" w:eastAsia="宋体" w:cs="Times New Roman"/>
          <w:color w:val="auto"/>
          <w:highlight w:val="none"/>
        </w:rPr>
        <w:t>环境保护对策措施</w:t>
      </w:r>
      <w:bookmarkEnd w:id="165"/>
    </w:p>
    <w:p w14:paraId="3543E044">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预防措施</w:t>
      </w:r>
    </w:p>
    <w:p w14:paraId="0F5A7E0F">
      <w:pPr>
        <w:pStyle w:val="6"/>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严格空间管控</w:t>
      </w:r>
    </w:p>
    <w:p w14:paraId="2F469A69">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严格落实云南省、曲靖市“三线一单”流域水环境分区管控要求，南盘江干流，西河、潇湘江、九龙河等重点支流，优先保护河段禁止新增高耗水、重水污染类项目；水质超标河段实施污染物减量管控，规划开发项目以不加重流域水环境压力为前提。</w:t>
      </w:r>
    </w:p>
    <w:p w14:paraId="6596BF03">
      <w:pPr>
        <w:pStyle w:val="6"/>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水源地达标建设</w:t>
      </w:r>
    </w:p>
    <w:p w14:paraId="6BD6E48B">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流域内3个市级集中式饮用水源地及11个县级集中式饮用水源地均满足饮用水水质标准，但西河水库、白浪水库、北山水库、东堡龙潭、永清河水库、黄草坪水库6个水源地未稳定达到水功能区水质目标要求。针对不达水功能区水质目标要求的水源地，需严格遵守保护区的管控要求，落实精细化管理。水源地一级保护区应严格禁止农业种植，禁止施用农药，加快推进保护区内既有建设项目的拆除与生态修复。水源地二级保护区需强化非点源污染控制，规范二级保护区内规模以下畜禽养殖，要求粪污完全资源化利用；对水域内的生态养殖实行负面清单管理，禁止投饵并逐步推进养殖减量化。定期开展水源保护区及周边风险源排查工作，动态修编库区突发环境事件应急预案。</w:t>
      </w:r>
    </w:p>
    <w:p w14:paraId="07C2186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健全水源保护法规体系与标准化建设，结合流域实际，修订和完善饮用水源地保护相关法规与管理办法，细化水源保护区划定、调整及管理的法定程序。全面完成县级及以上集中式饮用水水源保护区的矢量定界工作，按照技术规范统一设立地理界碑、警示标志及隔离防护设施，建立“一源一档”管理制度，从源头上防范污染风险，确保供水水质安全。</w:t>
      </w:r>
    </w:p>
    <w:p w14:paraId="69B3B58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针对流域内重点城镇，制定中长期饮用水源保护规划，统筹考虑水源涵养、生态修复与城乡发展的关系。优化水资源配置，坚持“以水定城、以水定地、以水定人、以水定产”原则，科学布局水源地。通过实施跨流域调水、备用水源建设及管网互联互通工程，逐步解决单一水源风险，切实改善水源地水质状况，保障供水系统的韧性。建立水利、生态环境等部门联合执法机制，严厉打击违法取水、超标排污及破坏水源设施的行为，切实保障人民群众生命健康和用水安全。</w:t>
      </w:r>
    </w:p>
    <w:p w14:paraId="05F557DC">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减缓措施</w:t>
      </w:r>
    </w:p>
    <w:p w14:paraId="3C39578F">
      <w:pPr>
        <w:pStyle w:val="6"/>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持续加强水污染治理</w:t>
      </w:r>
    </w:p>
    <w:p w14:paraId="7EE0DF4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规划实施将提高流域内各城镇供水保证率及灌溉保证率；本规划不再规划新的水电站，在现有水电站经过保留类、整改类和退出类分类整改后，将有利于生态基流下泄和支流的水量改善，提高河流纳污能力。但规划水平年城市发展，人口增加，城镇生活污水可能对河流水质产生较大影响。</w:t>
      </w:r>
    </w:p>
    <w:p w14:paraId="13E2172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加强城镇污染源控制，建设和扩建城镇污水处理设施建设，提高污水处理水平。生活污水应处理达标后方能排放，污水处理设施建设应注意管网的配套建设，实施清污分流，提高设施利用效率。</w:t>
      </w:r>
    </w:p>
    <w:p w14:paraId="639E4EB0">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加强流域内农业污染源管控，测土配肥，减少农药施放量，强化节约用水，优化灌区作物种植结构，控制大水大肥作物播种面积。兴建新的灌区增加区域农药、化肥施用量，特别是罗师灌区、富源灌区等大型灌区，规模较大，应采取措施，逐步调整农业产业结构，积极发展节水灌溉农业，指导农民科学施用化肥农药，加强面污染源的治理。同时，在规划中应实行最严格的水资源管理制度，推广节水减污措施。</w:t>
      </w:r>
    </w:p>
    <w:p w14:paraId="4B3D9FE3">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加强工业污染控制，应加大产业结构调整力度，发展污染较轻的产业。应加强对各中小排污企业的整改，现有企业应通过技术改造、改革生产工艺、资源综合利用、节水等措施，逐步采用清洁生产工艺和技术，提高工业用水重复利用水平，减少污染物排放量。各县（区）应继续加大工业废水处理力度，做到工业废水全面达标排放。各级水利、环境保护等行政主管部门应加强取水许可管理和建设项目环境保护管理，从严控制新、扩建项目污染物排放。</w:t>
      </w:r>
    </w:p>
    <w:p w14:paraId="2CC97722">
      <w:pPr>
        <w:pStyle w:val="6"/>
        <w:numPr>
          <w:ilvl w:val="3"/>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减轻低温水下泄影响</w:t>
      </w:r>
    </w:p>
    <w:p w14:paraId="50483450">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本规划重大水利工程规划中的小务龙水库、大河水库为中型水库，龙潭水库为小（1）型水库，根据水温初步预测，3座水库均为分层型水库。</w:t>
      </w:r>
    </w:p>
    <w:p w14:paraId="2EA5757E">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通过合理利用水库洪水调度运行方式，根据汛期来水流大，紊动较强特点，利用放空洞排出库底低温水体，可以较大程度改善水温的垂向结构，通过放空洞下泄的水体通过挑流消能，将水流散射到空中，产生水流的撞击作用，增加水体与空气的接触面积，吸收太阳辐射，可有效促使泄流水体升温。在下一阶段，应进一步利用模型进行水温预测，必要时应提出分层取水设计。</w:t>
      </w:r>
    </w:p>
    <w:p w14:paraId="1232F494">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同时，为了减轻建坝取水对坝下水文情势、水生态的影响，新建水库工程需设置生态放流管，按枯期不低于坝址处多年平均径流的10%、汛期不低于30%的原则下泄生态流量。</w:t>
      </w:r>
    </w:p>
    <w:p w14:paraId="164E603B">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恢复措施</w:t>
      </w:r>
    </w:p>
    <w:p w14:paraId="6E7209C5">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（1）生态河道建设。河道治理工程优先采用生态护岸，减少硬质渠化；对淤积河段实施生态清淤，清理内源污染；不达标支流建设滨水湿地、河口人工湿地，强化汇口污染拦截净化。</w:t>
      </w:r>
    </w:p>
    <w:p w14:paraId="1C67B17D">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（2）水系连通与湿地保护。保护流域现有湖滨、河滨湿地；在条件适宜河段实施水系连通，恢复季节性湿地，提升水体自净能力。</w:t>
      </w:r>
    </w:p>
    <w:p w14:paraId="600561CE">
      <w:pPr>
        <w:pStyle w:val="1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（3）水土流失综合治理。以小流域为单元实施水土保持工程，坡耕地治理、林草植被恢复，减少泥沙与面源污染物入河；推进历史遗留矿山生态修复，控制矿山废弃地水土流失污染河道。</w:t>
      </w:r>
    </w:p>
    <w:p w14:paraId="0EEA89B1">
      <w:pPr>
        <w:pStyle w:val="3"/>
        <w:numPr>
          <w:ilvl w:val="1"/>
          <w:numId w:val="4"/>
        </w:numPr>
        <w:spacing w:before="374" w:after="249"/>
        <w:rPr>
          <w:rFonts w:hint="default" w:ascii="Times New Roman" w:hAnsi="Times New Roman" w:eastAsia="宋体" w:cs="Times New Roman"/>
          <w:color w:val="auto"/>
          <w:highlight w:val="none"/>
        </w:rPr>
      </w:pPr>
      <w:bookmarkStart w:id="166" w:name="_Toc12395"/>
      <w:r>
        <w:rPr>
          <w:rFonts w:hint="default" w:ascii="Times New Roman" w:hAnsi="Times New Roman" w:eastAsia="宋体" w:cs="Times New Roman"/>
          <w:color w:val="auto"/>
          <w:highlight w:val="none"/>
        </w:rPr>
        <w:t>地下水环境保护对策措施</w:t>
      </w:r>
      <w:bookmarkEnd w:id="166"/>
    </w:p>
    <w:p w14:paraId="556A0E64">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预防措施</w:t>
      </w:r>
    </w:p>
    <w:p w14:paraId="60B6F741">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严格控制受退水区的居民生活用水及工业用水的直接回灌，建立相应处理能力的污水处理厂，配套建设污水管网，使得污水处理后出水达到《城镇污水处理厂污染物排放标准》（GB18918-2002）中一级A标要求后一部分用作中水回用，部分排放。</w:t>
      </w:r>
    </w:p>
    <w:p w14:paraId="66386C27">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灌区生产源头控制措施。加强科学技术指导，大力发展生态农业，宣传科学施肥知识。通过提高化肥、农药的使用效率来减少其使用量；鼓励施用有机肥；通过采用平衡施肥、测土施肥、肥料深施等措施来改良施肥方法，避免在作物生长的早期大量使用氮肥。深入开展无公害农产品、绿色食品和有机食品生产基地建设，加强绿色、有机食品管理体系建设，组织绿色、有机食品认证。</w:t>
      </w:r>
    </w:p>
    <w:p w14:paraId="1D99F175">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实行农作物病虫害综合防治，积极控制和削减农药施用量，禁止高毒高残留农药的使用，大力推广高效低毒低残留的生物农药，有利于促进生态农业的快速发展，改善受水区生态环境，提高人民的生活质量。</w:t>
      </w:r>
    </w:p>
    <w:p w14:paraId="35D0CE73">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灌区退水向地表水迁移过程的生态工程措施。通过生态拦截和湿地自然净化系统建设对灌区农田退水污染进行控制。从过程阻截、多级净化的角度出发，利用生态排水渠道进行首次拦截，之后再利用湿地条件，形成稳定塘-植被-根系-土壤等多级复合湿地生态净化系统，对农田灌溉退水损失的氮磷和农药成分进行拦截净化，可将径流中污染物浓度进一步降低。</w:t>
      </w:r>
    </w:p>
    <w:p w14:paraId="268CED6B">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大力发展生态农业，合理施用农药、化肥。深入开展无公害农产品、绿色食品和有机食品生产基地建设工作，加强绿色、有机食品管理体系建设，组织绿色、有机食品认证工作。及时回收和贮存旧农膜，提高残留地膜回收及循环利用率，大力推广适期揭膜技术，减少白色污染，促进农业发展。同时大力推广测土配方施肥技术，注重氮、磷、钾之间的合理比例，改善肥料结构，做到平衡、科学施肥，提高化肥利用率，以减少农业面源污染。实行农作物病虫害综合防治，积极控制和削减农药施用量，禁止高毒高残留农药的使用，大力推广高效低毒低残留的生物农药，这样，有利于促进生态农业的快速发展，改善受水区生态环境，提高人民的生活质量。</w:t>
      </w:r>
    </w:p>
    <w:p w14:paraId="077CDAF8">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（5）提高对农村人居环境改造的资金投入。加大对农村生态环境保护基础设施建设的资金投入力度，加快农村由化肥、农药、畜禽导致的水污染处理设施的建设步伐。</w:t>
      </w:r>
    </w:p>
    <w:p w14:paraId="5BE91F4E">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6）提高基层组织、群众、农民的环保意识。在受退水区地下水环境保护过程中，提高基层组织、群众、农民的环境意识。首先，应通过广播、电视、报纸等新闻媒体向农民宣传环境保护知识，宣传获得经济、生态效益的典型事例，并让他们参观一些生态农业示范区，调动农民保护环境的积极性。其次，发挥农村社区、非政府组织的作用，提高农民的环境意识和参与环境保护的积极性。受退水区地下水环境保护，需要基层组织、农民的广泛参与，应建立健全农民的公众参与制度；发挥非政府组织在环境保护中的积极作用。</w:t>
      </w:r>
    </w:p>
    <w:p w14:paraId="1962CA8E">
      <w:pPr>
        <w:pStyle w:val="5"/>
        <w:numPr>
          <w:ilvl w:val="2"/>
          <w:numId w:val="4"/>
        </w:numPr>
        <w:spacing w:before="374" w:after="249"/>
        <w:rPr>
          <w:rFonts w:hint="default" w:ascii="Times New Roman" w:hAnsi="Times New Roman" w:cs="Times New Roman" w:eastAsiaTheme="minorEastAsia"/>
          <w:color w:val="auto"/>
          <w:highlight w:val="none"/>
        </w:rPr>
      </w:pPr>
      <w:r>
        <w:rPr>
          <w:rFonts w:hint="default" w:ascii="Times New Roman" w:hAnsi="Times New Roman" w:cs="Times New Roman" w:eastAsiaTheme="minorEastAsia"/>
          <w:color w:val="auto"/>
          <w:highlight w:val="none"/>
        </w:rPr>
        <w:t>减缓措施</w:t>
      </w:r>
    </w:p>
    <w:p w14:paraId="7E016D8B">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在规划项目实施过程中，采取衬砌支护、化学灌浆、排水等措施，减缓对地下水的影响。由于地下水具有不确定性，在地下工程施工过程中还应采取超前预报和预注浆等措施进行预防，同时加强地下水监测，一旦出现地下水位突降或漏水等情况，应及时采取措施治理隧洞涌水。地下工程施工若造成地下水水源水量降低或疏干，采取相应供水措施，保障影响区域居民生产生活用水。</w:t>
      </w:r>
    </w:p>
    <w:p w14:paraId="17D46409">
      <w:pPr>
        <w:pStyle w:val="4"/>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水库蓄水后，水面抬升，使地表水与地下水的交互能力增强，需掌握各规划水库周边污染型工业、企业污水排放去向及处理情况，严格控制污染物排放总量，保证库区水质良好。</w:t>
      </w:r>
    </w:p>
    <w:p w14:paraId="7283705C">
      <w:pPr>
        <w:pStyle w:val="3"/>
        <w:numPr>
          <w:ilvl w:val="1"/>
          <w:numId w:val="4"/>
        </w:numPr>
        <w:spacing w:before="374" w:after="249"/>
        <w:rPr>
          <w:rFonts w:hint="default" w:ascii="Times New Roman" w:hAnsi="Times New Roman" w:eastAsia="宋体" w:cs="Times New Roman"/>
          <w:color w:val="auto"/>
          <w:highlight w:val="none"/>
        </w:rPr>
      </w:pPr>
      <w:bookmarkStart w:id="167" w:name="_Toc30504"/>
      <w:r>
        <w:rPr>
          <w:rFonts w:hint="default" w:ascii="Times New Roman" w:hAnsi="Times New Roman" w:eastAsia="宋体" w:cs="Times New Roman"/>
          <w:color w:val="auto"/>
          <w:highlight w:val="none"/>
        </w:rPr>
        <w:t>陆生生态环境保护对策措施</w:t>
      </w:r>
      <w:bookmarkEnd w:id="167"/>
    </w:p>
    <w:p w14:paraId="5E76D2A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预防措施</w:t>
      </w:r>
    </w:p>
    <w:p w14:paraId="6BC77886">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预防措施重在方案比选、空间管控，在工程前期选址选线阶段规避高生态风险，最大限度从源头减少扰动。</w:t>
      </w:r>
    </w:p>
    <w:p w14:paraId="7CCCD2EE">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空间避让管控</w:t>
      </w:r>
    </w:p>
    <w:p w14:paraId="5690C172">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1）</w:t>
      </w:r>
      <w:r>
        <w:rPr>
          <w:rFonts w:hint="default" w:ascii="Times New Roman" w:hAnsi="Times New Roman" w:eastAsia="宋体" w:cs="Times New Roman"/>
          <w:color w:val="auto"/>
          <w:highlight w:val="none"/>
          <w:lang w:val="en-US" w:eastAsia="zh-CN"/>
        </w:rPr>
        <w:t>工程选址、选线开展多方案比选，优先避让生态保护红线核心功能区、自然保护区核心区与缓冲区、野生动物重要栖息地、古树名木集中分布区、连片原生林等高价值陆生生态斑块；严禁在自然保护区核心区、缓冲区布置本规划新建工程。</w:t>
      </w:r>
    </w:p>
    <w:p w14:paraId="6714BB1F">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2）</w:t>
      </w:r>
      <w:r>
        <w:rPr>
          <w:rFonts w:hint="default" w:ascii="Times New Roman" w:hAnsi="Times New Roman" w:eastAsia="宋体" w:cs="Times New Roman"/>
          <w:color w:val="auto"/>
          <w:highlight w:val="none"/>
          <w:lang w:val="en-US" w:eastAsia="zh-CN"/>
        </w:rPr>
        <w:t>涉及珠江源省级自然保护区等保护地实验区、生态保护红线的工程，必须在可研阶段深化多方案论证，最大限度压缩占地、扰动范围；确无法避让的，严格履行生态保护红线、自然保护地占用专题报批程序，未获批不得开工建设。</w:t>
      </w:r>
    </w:p>
    <w:p w14:paraId="72022B2F">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3）</w:t>
      </w:r>
      <w:r>
        <w:rPr>
          <w:rFonts w:hint="default" w:ascii="Times New Roman" w:hAnsi="Times New Roman" w:eastAsia="宋体" w:cs="Times New Roman"/>
          <w:color w:val="auto"/>
          <w:highlight w:val="none"/>
          <w:lang w:val="en-US" w:eastAsia="zh-CN"/>
        </w:rPr>
        <w:t>灌区、输水线路、施工便道布设，尽量避开喀斯特土层极薄、石漠化高风险片区，减少地表大面积开挖扰动。</w:t>
      </w:r>
    </w:p>
    <w:p w14:paraId="586D24F1">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（2）前期本底调查预防</w:t>
      </w:r>
    </w:p>
    <w:p w14:paraId="217181D8">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所有纳入本规划的水库、引调水、灌区、堤防工程，在项目可研阶段开展陆生生态专项本底调查，重点查清线路、库区、施工影响范围内国家及省级重点保护野生植物、古树名木、重点陆生野生动物分布点位，形成调查台账。</w:t>
      </w:r>
    </w:p>
    <w:p w14:paraId="6CDD0A3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2）根据调查成果优化工程布置、施工道路、料场渣场选址；料场、弃渣场禁止设置在生态保护红线、保护地、林地集中区，优先选用低生态价值区域。</w:t>
      </w:r>
    </w:p>
    <w:p w14:paraId="2738707C">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（3）施工时序预管控</w:t>
      </w:r>
    </w:p>
    <w:p w14:paraId="2B11AD6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前期方案阶段明确动物繁殖期（每年4‑8 月）管控要求，原则上不在野生动物繁殖关键窗口期开展大规模爆破、开挖等高扰动施工作业；确需施工的，必须制定专项降噪、隔离管控方案。</w:t>
      </w:r>
    </w:p>
    <w:p w14:paraId="31C46B1E">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（4）物种风险源头预防</w:t>
      </w:r>
    </w:p>
    <w:p w14:paraId="68978CEF">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生态修复、绿化工程方案审查阶段明确：全部生态重建优先选用本流域本土物种，禁止选用高风险外来绿化植物，防范陆生外来物种入侵。</w:t>
      </w:r>
    </w:p>
    <w:p w14:paraId="3BACDE47">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减缓措施</w:t>
      </w:r>
    </w:p>
    <w:p w14:paraId="1606B269">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在无法完全避让前提下，通过工程、管理措施，降低施工期对植被、野生动物、土壤的扰动程度。</w:t>
      </w:r>
    </w:p>
    <w:p w14:paraId="505B8B5F">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（1）施工范围严格管控</w:t>
      </w:r>
    </w:p>
    <w:p w14:paraId="7C7C9B0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划定工程永久占地、临时占地红线，设置实体围挡，严禁超范围开挖、碾压植被；工程区设置边坡防护、截排水系统，随挖随护，减少裸露地表的暴露时间，降低水土流失与石漠化复发风险。料场、渣场设置拦挡、截排水、临时苫盖措施。</w:t>
      </w:r>
    </w:p>
    <w:p w14:paraId="0D1C5B92">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（2）野生植物、古树名木现场保护</w:t>
      </w:r>
    </w:p>
    <w:p w14:paraId="3746833C">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①调查发现的零星重点保护野生植物、古树名木，位于施工边界附近的采取围挡隔离、挂牌保护；确实无法避让个体，按照林业主管部门要求开展移栽、迁地保护，严禁随意砍伐损毁。</w:t>
      </w:r>
    </w:p>
    <w:p w14:paraId="6B9C8081">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②施工人员进场开展生态保护宣教，禁止采伐林木、损毁保护植物。</w:t>
      </w:r>
    </w:p>
    <w:p w14:paraId="0CC801A9">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（3）陆生野生动物扰动减缓</w:t>
      </w:r>
    </w:p>
    <w:p w14:paraId="07F48C66">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①施工区设置噪声管控，高噪声作业尽量避开晨昏动物活动高峰；在两栖爬行类集中分布的洼地、裂隙周边，减少夜间爆破、机械作业。</w:t>
      </w:r>
    </w:p>
    <w:p w14:paraId="05717061">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②设置警示标识，严禁捕猎、惊扰野生动物；施工人员禁止进入周边保护地。</w:t>
      </w:r>
    </w:p>
    <w:p w14:paraId="6FCC93E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③对两栖爬行类重要迁徙通道，结合现场条件设置简易两栖动物通行通道，减少施工阻隔影响。</w:t>
      </w:r>
    </w:p>
    <w:p w14:paraId="5737556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④开展野生动物救助</w:t>
      </w:r>
    </w:p>
    <w:p w14:paraId="701EB821">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（4）占地与土石方管控</w:t>
      </w:r>
    </w:p>
    <w:p w14:paraId="3150D3F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优化土石方平衡，尽量做到项目内挖填平衡，减少弃渣外排；临时占地不随意扩大，施工便道尽量复用已有道路，减少新增地表破坏。</w:t>
      </w:r>
    </w:p>
    <w:p w14:paraId="23197400">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修复措施</w:t>
      </w:r>
    </w:p>
    <w:p w14:paraId="3A5CE5C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针对临时占地、渣场、料场、库周边坡、滨岸带等受扰动区域开展系统修复；区分喀斯特特殊立地条件，采取差异化修复技术。</w:t>
      </w:r>
    </w:p>
    <w:p w14:paraId="50128F55">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（1）临时占地生态修复</w:t>
      </w:r>
    </w:p>
    <w:p w14:paraId="32FC0202">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料场、渣场、施工营地、临时施工道路，施工结束后立即拆除施工设施，清理建筑垃圾；喀斯特薄土层区域优先采取客土改良，全部采用本土乔‑灌‑草物种组合复垦复绿，不使用单一外来速生树种，并植被演替进行跟踪监测。</w:t>
      </w:r>
    </w:p>
    <w:p w14:paraId="438B1AE6">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（2）库区及周边生态修复</w:t>
      </w:r>
    </w:p>
    <w:p w14:paraId="2D2F2C22">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水库库周实施水源涵养林修复；消落带按照水位变动规律配置耐淹本土灌草，构建库周缓冲带；对水库淹没线以上受开挖扰动边坡开展边坡生态修复，治理水土流失。</w:t>
      </w:r>
    </w:p>
    <w:p w14:paraId="44CEB368">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（3）廊道及栖息地修复</w:t>
      </w:r>
    </w:p>
    <w:p w14:paraId="18C372DD">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①输水干渠、堤防等线状工程沿线，有条件地段建设陆生生态缓冲带，缓解景观破碎化；局部阻断小型兽类、两栖爬行类迁移路径的区段，结合地形设置动物通行涵洞、生态通道，缓解栖息地阻隔。</w:t>
      </w:r>
    </w:p>
    <w:p w14:paraId="7D23D94A">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②结合规划 834 km² 水土保持治理任务，同步推进水源涵养林、封禁治理、石漠化综合治理，提升流域整体植被覆盖，补偿工程局部生物量损失。</w:t>
      </w:r>
    </w:p>
    <w:p w14:paraId="01A737F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（4）保护地及生态保护红线内修复</w:t>
      </w:r>
    </w:p>
    <w:p w14:paraId="632B0AA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涉及生态保护红线、保护地实验区的工程，施工扰动区域实施专项生态修复，修复目标不低于扰动前生态功能；优先恢复原生植被群落。</w:t>
      </w:r>
    </w:p>
    <w:p w14:paraId="4F6FACA9">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（5）修复成效监测</w:t>
      </w:r>
    </w:p>
    <w:p w14:paraId="6D579807">
      <w:pPr>
        <w:pStyle w:val="4"/>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生态修复区设置监测样地，跟踪群落物种组成、盖度，评估修复成效；出现退化、外来物种侵入及时开展人工干预清除。</w:t>
      </w:r>
    </w:p>
    <w:p w14:paraId="1F9FACCB">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补偿措施</w:t>
      </w:r>
    </w:p>
    <w:p w14:paraId="11E3899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（1）林地、森林生态补偿</w:t>
      </w:r>
    </w:p>
    <w:p w14:paraId="074AB576">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水库、枢纽、灌区工程永久占用林地，严格按照《中华人民共和国森林法》落实森林植被恢复费征收，落实占补平衡，异地补足同等数量、质量林地，补偿工程永久占地造成森林生物量、生态功能的不可逆损失；优先在同一流域、同一水系开展异地造林补偿。</w:t>
      </w:r>
    </w:p>
    <w:p w14:paraId="6C2DBB5B">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（2）生态保护红线占用补偿</w:t>
      </w:r>
    </w:p>
    <w:p w14:paraId="236028DB">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工程确需占用生态保护红线，严格按照现行管理规定履行占用审批，落实生态补偿，实施异地生态修复，确保占用区域生态功能得到等量补偿，做到 “功能不降低、面积不减少”。</w:t>
      </w:r>
    </w:p>
    <w:p w14:paraId="1481BF5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（3）自然保护地占用补偿</w:t>
      </w:r>
    </w:p>
    <w:p w14:paraId="59B550B4">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涉及自然保护地实验区的建设项目，按照主管部门批复专题报告要求落实保护地生态补偿，开展异地栖息地修复，弥补保护地内永久占地造成栖息地损失。</w:t>
      </w:r>
    </w:p>
    <w:p w14:paraId="176139C3">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（4）流域层面统筹补偿台账</w:t>
      </w:r>
    </w:p>
    <w:p w14:paraId="78137D90">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建立流域陆生生态占用‑补偿动态台账，跟踪各项目补偿落实情况；避免各个项目分散补偿造成 “占补失衡”。跟踪评价阶段核查生态补偿落地执行情况，补偿未到位的提出整改要求。</w:t>
      </w:r>
    </w:p>
    <w:p w14:paraId="219F1084">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陆生生态跟踪评价与监控要求</w:t>
      </w:r>
    </w:p>
    <w:p w14:paraId="716E2CF6">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（1）纳入规划跟踪评价重点监测内容：重点片区景观破碎度、植被盖度、水土流失、石漠化风险、保护动植物种群变化、生态修复区群落演替情况。</w:t>
      </w:r>
    </w:p>
    <w:p w14:paraId="3C91B45E">
      <w:pPr>
        <w:pStyle w:val="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（2）建设项目竣工环境保护验收阶段，核查现场保护植物防护、临时占地复绿、生态通道、生态补偿落实情况，未落实不得通过验收。</w:t>
      </w:r>
    </w:p>
    <w:p w14:paraId="6E665570">
      <w:pPr>
        <w:pStyle w:val="3"/>
        <w:numPr>
          <w:ilvl w:val="1"/>
          <w:numId w:val="4"/>
        </w:numPr>
        <w:spacing w:before="374" w:after="249"/>
        <w:rPr>
          <w:rFonts w:hint="default" w:ascii="Times New Roman" w:hAnsi="Times New Roman" w:eastAsia="宋体" w:cs="Times New Roman"/>
          <w:color w:val="auto"/>
          <w:highlight w:val="none"/>
        </w:rPr>
      </w:pPr>
      <w:bookmarkStart w:id="168" w:name="_Toc354"/>
      <w:r>
        <w:rPr>
          <w:rFonts w:hint="default" w:ascii="Times New Roman" w:hAnsi="Times New Roman" w:eastAsia="宋体" w:cs="Times New Roman"/>
          <w:color w:val="auto"/>
          <w:highlight w:val="none"/>
        </w:rPr>
        <w:t>水生生态环境保护对策措施</w:t>
      </w:r>
      <w:bookmarkEnd w:id="168"/>
    </w:p>
    <w:p w14:paraId="3B34A1DD">
      <w:pPr>
        <w:pStyle w:val="5"/>
        <w:numPr>
          <w:ilvl w:val="2"/>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预防措施</w:t>
      </w:r>
    </w:p>
    <w:p w14:paraId="37B95E5E">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优化工程</w:t>
      </w:r>
      <w:r>
        <w:rPr>
          <w:rFonts w:hint="default" w:ascii="Times New Roman" w:hAnsi="Times New Roman" w:eastAsia="宋体" w:cs="Times New Roman"/>
          <w:color w:val="auto"/>
          <w:highlight w:val="none"/>
          <w:lang w:val="en-US" w:eastAsia="zh-CN"/>
        </w:rPr>
        <w:t>布局</w:t>
      </w:r>
    </w:p>
    <w:p w14:paraId="6AF5D89A">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优化工程布局，优先避让涉水生态敏感区、生态保护红线、饮用水水源保护区等重点水生生态空间，避让鱼类产卵场、索饵场、越冬场及洄游通道等关键生境，缩减涉水作业范围与水域占用面积。同时优化工程建设规模与灌区工程输水线路，合理调整涉水构筑物、管线、岸线工程走向，尽量采用非涉水施工模式，减少水体开挖、填筑、围堰等扰动工序。优化涉水施工时序，避开水生生物繁殖、幼苗生长、越冬等敏感窗口期，规避汛期水域作业。进一步优化工程结构设计，采用生态友好型水工结构，替代硬质护坡护岸，保留水体连通性与水生生物栖息空间。</w:t>
      </w:r>
    </w:p>
    <w:p w14:paraId="751494AC">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施工避让特别保护期</w:t>
      </w:r>
    </w:p>
    <w:p w14:paraId="3888239F">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针对无法避让水生生态敏感区的工程项目，必须严格按照相关规定开展专项专题论证，深入研究工程方案与生态保护的协调性。在此基础上，需进一步优化施工组织设计，科学调整施工时段，确保施工活动完全避开区域特有鱼类、重要鱼类等主要保护对象的产卵繁盛期及幼苗集中索饵的关键阶段，最大限度减少对水生生物繁殖活动的直接干扰。</w:t>
      </w:r>
    </w:p>
    <w:p w14:paraId="75A85E5A">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减缓</w:t>
      </w:r>
      <w:r>
        <w:rPr>
          <w:rFonts w:hint="default" w:ascii="Times New Roman" w:hAnsi="Times New Roman" w:eastAsia="宋体" w:cs="Times New Roman"/>
          <w:color w:val="auto"/>
          <w:highlight w:val="none"/>
          <w:lang w:val="en-US" w:eastAsia="zh-CN"/>
        </w:rPr>
        <w:t>措施</w:t>
      </w:r>
    </w:p>
    <w:p w14:paraId="5738A1FF">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生态</w:t>
      </w:r>
      <w:r>
        <w:rPr>
          <w:rFonts w:hint="default" w:ascii="Times New Roman" w:hAnsi="Times New Roman" w:eastAsia="宋体" w:cs="Times New Roman"/>
          <w:color w:val="auto"/>
          <w:highlight w:val="none"/>
          <w:lang w:val="en-US" w:eastAsia="zh-CN"/>
        </w:rPr>
        <w:t>流量保障</w:t>
      </w:r>
    </w:p>
    <w:p w14:paraId="32ABA4D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利工程一定程度会造成河流减水或断流，河床萎缩或干涸，直接影响鱼类的繁衍和生存，造成鱼类数量和种群的急剧下降，因此，水库的调度运用对生态与环境造成的不利影响不可忽略。根据受水区用水需求，进一步优化不同水平年的引水过程和引水规模。制定科学合理的运行调度规程，根据受水区的降水及水资源需求情况，合理制定引水方案，尽量避免在鱼类繁殖季节大量引水；为了保护坝址下游河道水量水质和水生生态环境，按《水库生态流量泄放规程》（SL/T819-2023）及《水利水电工程生态流量计算与泄放设计规范》（SL/T820-2023），对生态流量进行论证分析，提出合理的生态流量下放要求。引水过程中避免大幅、剧烈调整引水量，避免水库下游水位大幅度涨落而导致的鱼卵、鱼苗搁浅死亡，因此，水库调度时，应充分考虑这些影响，尤其是产粘性卵鱼类繁殖季节，应尽量保持水位的稳定。3-10月份是鱼类重要的产卵、育幼、生长、育肥期，应根据受水区水资源量及需水量尽量减少引水规模。</w:t>
      </w:r>
    </w:p>
    <w:p w14:paraId="585E699E">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渔政管理</w:t>
      </w:r>
    </w:p>
    <w:p w14:paraId="78EF382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（1）加强渔政队伍建设</w:t>
      </w:r>
    </w:p>
    <w:p w14:paraId="0C499EC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做好资源保护宣传，禁止在禁渔区内任何渔业生产活动，特别是要禁止电鱼、炸鱼、毒鱼等违法行为。同时应加强水污染防治工作，杜绝水污染事件的发生，保证鱼类良好的生活环境，水库的渔业管理尤须加强。结合渔政执法工作实际情况，配齐配强执法人员，充实执法力量，保障执法管理经费。强化渔业法律法规宣传，加大培训力度，规范执法行为，提高执法能力，严格执法。落实渔业行政执法人员持证上岗制度，强化资格管理。</w:t>
      </w:r>
    </w:p>
    <w:p w14:paraId="7F5D708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（2）完善监管工作机制</w:t>
      </w:r>
    </w:p>
    <w:p w14:paraId="3EB3511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建立自然水域野生鱼类资源保护工作的议事协调制度，落实市、县政府属地管理主体责任，省、州级相关部门要做好督导推进。有关部门要按照职责分工，细化分解任务，落实责任。各地政府定期对本意见实施情况进行督查，发现问题及时督促整改。</w:t>
      </w:r>
    </w:p>
    <w:p w14:paraId="003A11F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（3）严格执行禁渔期与禁渔区制度</w:t>
      </w:r>
    </w:p>
    <w:p w14:paraId="4ECFA57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为了自然资源的稳定发展和可持续利用，须对相关水域制度禁渔期和禁渔区，在鱼类集群产卵容易捕捞的时段和河段禁止捕鱼，以维护库区正常的渔业秩序，禁渔期间水库及坝下水域均可设为禁渔区。</w:t>
      </w:r>
    </w:p>
    <w:p w14:paraId="0F0CA32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（4）加强环保宣传</w:t>
      </w:r>
    </w:p>
    <w:p w14:paraId="72DCB36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充分发挥新闻媒体作用，加大对自然水域野生鱼类资源保护相关知识、法律法规和政策的宣传力度。及时回应社会关切，引导全社会增强保护野生鱼类资源的意识，提高社会各界的关注度、认知度和参与度，营造珍稀野生鱼类、保护生态环境的良好氛围；增强施工人员的环保意识，严禁施工人员下河捕捞鱼类。</w:t>
      </w:r>
    </w:p>
    <w:p w14:paraId="17DAC618">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预防</w:t>
      </w:r>
      <w:r>
        <w:rPr>
          <w:rFonts w:hint="default" w:ascii="Times New Roman" w:hAnsi="Times New Roman" w:eastAsia="宋体" w:cs="Times New Roman"/>
          <w:color w:val="auto"/>
          <w:highlight w:val="none"/>
          <w:lang w:val="en-US" w:eastAsia="zh-CN"/>
        </w:rPr>
        <w:t>外来</w:t>
      </w:r>
      <w:r>
        <w:rPr>
          <w:rFonts w:hint="default" w:ascii="Times New Roman" w:hAnsi="Times New Roman" w:eastAsia="宋体" w:cs="Times New Roman"/>
          <w:color w:val="auto"/>
          <w:highlight w:val="none"/>
        </w:rPr>
        <w:t>物种</w:t>
      </w:r>
    </w:p>
    <w:p w14:paraId="3EEE343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由于水库环境有利于家鱼和野杂鱼的繁衍和生长，一些适应能力强的外来鱼类如鳙、鲢、鲤、棒花鱼、鰕虎鱼等，极其容易在库区迅速繁衍起来。鳙、鲢和鲤鱼适应能力强，极易成为库区优势物种。鰕虎鱼、麦穗鱼等鱼类虽然体型小，但会吞噬食土著鱼类产在砾石和水草上的卵子，极易导致土著鱼类的种群数量急剧下降。为了预防外来种入侵应增强当地渔业监管部门在该流域鱼类资源的保护意识和监管能力。从净化水体，保证水质角度，建议可以放养一定数量的花白鲢等产漂流性鱼卵在水库不能繁殖的种类。应加强宣传教育，普及外来入侵种的入侵会给人们的生活、生产带来的不利影响，杜绝因人无意识的携带或各种放生活动将外来种鱼类扩散到其它的地方。</w:t>
      </w:r>
    </w:p>
    <w:p w14:paraId="53556C2E">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拦鱼</w:t>
      </w:r>
      <w:r>
        <w:rPr>
          <w:rFonts w:hint="default" w:ascii="Times New Roman" w:hAnsi="Times New Roman" w:eastAsia="宋体" w:cs="Times New Roman"/>
          <w:color w:val="auto"/>
          <w:highlight w:val="none"/>
          <w:lang w:val="en-US" w:eastAsia="zh-CN"/>
        </w:rPr>
        <w:t>措施</w:t>
      </w:r>
    </w:p>
    <w:p w14:paraId="0F2410E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相关水库和引水工程建成运行后，条鳅科鱼类即使通过输水管线扩散到中下游，也不会造成外来种入侵问题，但由于输水管线相对封闭，这些鱼类基本没有机会通过退水进入河道，所以一旦鱼类成体、幼鱼或者卵苗进入输水管线，最终的结果会导致个体死亡，从而降低水源区及调出区鱼类资源量，因此，从资源保护的角度出发，取水口需要采用一定的拦鱼措施阻止鱼类进入引水管线。</w:t>
      </w:r>
    </w:p>
    <w:p w14:paraId="5C55D85C">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增殖放流</w:t>
      </w:r>
    </w:p>
    <w:p w14:paraId="2A030BA1">
      <w:pPr>
        <w:ind w:firstLine="48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新建水源工程的建设会对流域原有水生生物的栖息环境造成一定程度的改变，部分土著鱼类的种群资源可能会因栖息地萎缩、水文条件改变等因素出现一定幅度的下降，增殖放流是快速补充受损土著鱼类种群数量、恢复水域水生生物群落结构的有效措施。实施增殖放流前，应当提前针对规划放流区域的鱼类资源现状开展本底调查，明确需要补充保护的土著特有、珍稀濒危鱼类种类和合理放流规模，规划范围内主要珍稀鱼类大多都有成熟的增殖繁育站，可采用鱼苗购买方式，在适宜河段开展增殖放流工作。增殖放流实施后，还需要持续开展跟踪监测，评估放流群体的存活、生长和繁殖效果，根据评估结果动态调整后续增殖放流的方案，保障放流对鱼类资源的恢复作用得到有效发挥。</w:t>
      </w:r>
    </w:p>
    <w:p w14:paraId="7DE02AA4">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恢复和补救措施</w:t>
      </w:r>
    </w:p>
    <w:p w14:paraId="1BD0C18D">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栖息地保护与修复</w:t>
      </w:r>
    </w:p>
    <w:p w14:paraId="329E0E52">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栖息地保护是保护鱼类自然资源的有效措施。在保护维持好现存鱼类生境基础上，通过一定的工程措施，修复河段内曾被破坏的生境，并在局部区域营造一定面积生境，达到维护、修复、补偿该河道生态功能。</w:t>
      </w:r>
    </w:p>
    <w:p w14:paraId="7498404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规划建设项目，特别是新建水库会对流域内鱼类资源产生影响。为了将不利影响降到最低，建议在项目环评阶段进一步论证鱼类栖息地保护与修复可行性，根据实际条件因地制宜对重要水域开展鱼类栖息地保护，可通过河道内微生境再造、深潭浅滩序列修复、岸线自然化改造、底质环境改善、水生植物群落重建等措施，恢复适宜鱼类栖息的水动力与地形条件；在重要栖息地设置人工鱼巢、鱼礁，补充产卵附着基，提升生境承载力。严格落实栖息地范围内禁渔禁捕、禁采禁挖管控，减少人为活动干扰，维持生境连通性与完整性。</w:t>
      </w:r>
    </w:p>
    <w:p w14:paraId="0FE77BA7">
      <w:pPr>
        <w:pStyle w:val="6"/>
        <w:numPr>
          <w:ilvl w:val="3"/>
          <w:numId w:val="4"/>
        </w:numPr>
        <w:spacing w:before="374" w:after="249"/>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科学研究</w:t>
      </w:r>
    </w:p>
    <w:p w14:paraId="3E7F79A1">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科学研究是开发与保护的基础，目前关于高原河流生态学、高原鱼类的生物学和生态学等方面研究基础还相当薄弱，严重制约了高原河流的开发与保护。因此应积极开展相关监测与研究，主要包括以下几个方面：</w:t>
      </w:r>
    </w:p>
    <w:p w14:paraId="3B69E5A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河流水生生物常规生态监测。通过对浮游生物、底栖动物、固着类生物、周丛生物、水生维管束植物、鱼类集合和种群动态、鱼类种质与遗传多样性、水域生态健康状况等方面的监测，及时反映工程运行前后水生生态变化趋势，为环境保护措施的制定和调整提供科学依据。对当前实施的保护效果做出评估以及对保护措施的有效性提出补充或调整建议。</w:t>
      </w:r>
    </w:p>
    <w:p w14:paraId="3FC13F76">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rPr>
        <w:t>（2）鱼类生物学与生态学及人工繁殖技术研究，这是开展鱼类保护的重要基础，因此要尽快开展这些鱼类的生物学和生态学研究、鱼类人工繁殖技术研究。</w:t>
      </w:r>
    </w:p>
    <w:p w14:paraId="555A6793">
      <w:pPr>
        <w:pStyle w:val="3"/>
        <w:numPr>
          <w:ilvl w:val="1"/>
          <w:numId w:val="4"/>
        </w:numPr>
        <w:spacing w:before="374" w:after="249"/>
        <w:rPr>
          <w:rFonts w:hint="default" w:ascii="Times New Roman" w:hAnsi="Times New Roman" w:eastAsia="宋体" w:cs="Times New Roman"/>
          <w:color w:val="auto"/>
          <w:highlight w:val="none"/>
        </w:rPr>
      </w:pPr>
      <w:bookmarkStart w:id="169" w:name="_Toc27987"/>
      <w:r>
        <w:rPr>
          <w:rFonts w:hint="default" w:ascii="Times New Roman" w:hAnsi="Times New Roman" w:eastAsia="宋体" w:cs="Times New Roman"/>
          <w:color w:val="auto"/>
          <w:highlight w:val="none"/>
        </w:rPr>
        <w:t>环境敏感区保护对策措施</w:t>
      </w:r>
      <w:bookmarkEnd w:id="169"/>
    </w:p>
    <w:p w14:paraId="4D1A7BFB">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避让措施</w:t>
      </w:r>
    </w:p>
    <w:p w14:paraId="178129AC">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优化工程布置。</w:t>
      </w:r>
      <w:r>
        <w:rPr>
          <w:rFonts w:hint="default" w:ascii="Times New Roman" w:hAnsi="Times New Roman" w:cs="Times New Roman"/>
          <w:color w:val="auto"/>
          <w:highlight w:val="none"/>
        </w:rPr>
        <w:t>下一阶段</w:t>
      </w:r>
      <w:r>
        <w:rPr>
          <w:rFonts w:hint="default" w:ascii="Times New Roman" w:hAnsi="Times New Roman" w:cs="Times New Roman"/>
          <w:color w:val="auto"/>
          <w:highlight w:val="none"/>
          <w:lang w:val="en-US" w:eastAsia="zh-CN"/>
        </w:rPr>
        <w:t>各建设项目</w:t>
      </w:r>
      <w:r>
        <w:rPr>
          <w:rFonts w:hint="default" w:ascii="Times New Roman" w:hAnsi="Times New Roman" w:cs="Times New Roman"/>
          <w:color w:val="auto"/>
          <w:highlight w:val="none"/>
        </w:rPr>
        <w:t>应进一步</w:t>
      </w:r>
      <w:r>
        <w:rPr>
          <w:rFonts w:hint="default" w:ascii="Times New Roman" w:hAnsi="Times New Roman" w:cs="Times New Roman"/>
          <w:color w:val="auto"/>
          <w:highlight w:val="none"/>
          <w:lang w:val="en-US" w:eastAsia="zh-CN"/>
        </w:rPr>
        <w:t>优化工程布置，复核</w:t>
      </w:r>
      <w:r>
        <w:rPr>
          <w:rFonts w:hint="default" w:ascii="Times New Roman" w:hAnsi="Times New Roman" w:cs="Times New Roman"/>
          <w:color w:val="auto"/>
          <w:highlight w:val="none"/>
        </w:rPr>
        <w:t>与各类环境敏感区的空间位置关系</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认真贯彻执行自然保护地、生态保护红线、水源保护区等环境敏感区</w:t>
      </w:r>
      <w:r>
        <w:rPr>
          <w:rFonts w:hint="default" w:ascii="Times New Roman" w:hAnsi="Times New Roman" w:cs="Times New Roman"/>
          <w:color w:val="auto"/>
          <w:highlight w:val="none"/>
        </w:rPr>
        <w:t>管控要求</w:t>
      </w:r>
      <w:r>
        <w:rPr>
          <w:rFonts w:hint="default" w:ascii="Times New Roman" w:hAnsi="Times New Roman" w:cs="Times New Roman"/>
          <w:color w:val="auto"/>
          <w:highlight w:val="none"/>
          <w:lang w:val="en-US" w:eastAsia="zh-CN"/>
        </w:rPr>
        <w:t>，对工程方案进行优化调整，尽量避免工程建设对环境敏感区的影响。正确处理资源开发与环境保护之间的关系。</w:t>
      </w:r>
    </w:p>
    <w:p w14:paraId="7B444BBB">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rPr>
        <w:t>施工营地、弃渣场、取料场、拌合站等</w:t>
      </w:r>
      <w:r>
        <w:rPr>
          <w:rFonts w:hint="default" w:ascii="Times New Roman" w:hAnsi="Times New Roman" w:cs="Times New Roman"/>
          <w:color w:val="auto"/>
          <w:highlight w:val="none"/>
          <w:lang w:val="en-US" w:eastAsia="zh-CN"/>
        </w:rPr>
        <w:t>大型临时工程</w:t>
      </w:r>
      <w:r>
        <w:rPr>
          <w:rFonts w:hint="default" w:ascii="Times New Roman" w:hAnsi="Times New Roman" w:cs="Times New Roman"/>
          <w:color w:val="auto"/>
          <w:highlight w:val="none"/>
        </w:rPr>
        <w:t>布置于环境敏感区外，严禁在敏感区内设置</w:t>
      </w:r>
      <w:r>
        <w:rPr>
          <w:rFonts w:hint="default" w:ascii="Times New Roman" w:hAnsi="Times New Roman" w:cs="Times New Roman"/>
          <w:color w:val="auto"/>
          <w:highlight w:val="none"/>
          <w:lang w:val="en-US" w:eastAsia="zh-CN"/>
        </w:rPr>
        <w:t>固体废弃物</w:t>
      </w:r>
      <w:r>
        <w:rPr>
          <w:rFonts w:hint="default" w:ascii="Times New Roman" w:hAnsi="Times New Roman" w:cs="Times New Roman"/>
          <w:color w:val="auto"/>
          <w:highlight w:val="none"/>
        </w:rPr>
        <w:t>堆放场地，杜绝</w:t>
      </w:r>
      <w:r>
        <w:rPr>
          <w:rFonts w:hint="default" w:ascii="Times New Roman" w:hAnsi="Times New Roman" w:cs="Times New Roman"/>
          <w:color w:val="auto"/>
          <w:highlight w:val="none"/>
          <w:lang w:val="en-US" w:eastAsia="zh-CN"/>
        </w:rPr>
        <w:t>环境敏感区内排放废污水</w:t>
      </w:r>
      <w:r>
        <w:rPr>
          <w:rFonts w:hint="default" w:ascii="Times New Roman" w:hAnsi="Times New Roman" w:cs="Times New Roman"/>
          <w:color w:val="auto"/>
          <w:highlight w:val="none"/>
        </w:rPr>
        <w:t>。</w:t>
      </w:r>
    </w:p>
    <w:p w14:paraId="64F28729">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（2）优化施工组织设计。根据环境敏感区主要保护对象、主要保护时期，优化施工组织设计，避让</w:t>
      </w:r>
      <w:r>
        <w:rPr>
          <w:rFonts w:hint="default" w:ascii="Times New Roman" w:hAnsi="Times New Roman" w:cs="Times New Roman"/>
          <w:color w:val="auto"/>
          <w:highlight w:val="none"/>
        </w:rPr>
        <w:t>敏感生态关键期</w:t>
      </w:r>
      <w:r>
        <w:rPr>
          <w:rFonts w:hint="default" w:ascii="Times New Roman" w:hAnsi="Times New Roman" w:cs="Times New Roman"/>
          <w:color w:val="auto"/>
          <w:highlight w:val="none"/>
          <w:lang w:val="en-US" w:eastAsia="zh-CN"/>
        </w:rPr>
        <w:t>，如：重要物种</w:t>
      </w:r>
      <w:r>
        <w:rPr>
          <w:rFonts w:hint="default" w:ascii="Times New Roman" w:hAnsi="Times New Roman" w:cs="Times New Roman"/>
          <w:color w:val="auto"/>
          <w:highlight w:val="none"/>
        </w:rPr>
        <w:t>越冬、繁殖、迁徙高峰期，水土流失高发期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核心敏感工序（水下开挖、山体爆破、大面积开挖）调整至生态低敏期施工，从时间维度减少生态扰动。</w:t>
      </w:r>
    </w:p>
    <w:p w14:paraId="71C7D549">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减缓措施</w:t>
      </w:r>
    </w:p>
    <w:p w14:paraId="535CC682">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边界严控与绿色施工：划定敏感区施工红线，设置界桩、围挡及警示标识，严禁越界施工；采用低噪声、低震动施工设备，杜绝爆破、大面积粗放开挖作业；严控施工人员、机械活动范围，禁止无关人员进入。如工程区附近分布有主要保护对象，应做到当让则让。</w:t>
      </w:r>
    </w:p>
    <w:p w14:paraId="549F93CB">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水土扰动减缓：施工前全面剥离表层熟土，单独堆放、防护留存，用于后期生态恢复；施工区域同步布设临时截水沟、排水沟、挡渣墙，裸露土体实时覆盖防尘网，杜绝暴雨冲刷造成水土流失；水下施工采用围堰干法作业，减少底泥扰动、水体悬浮物扩散，保护湿地水生生境。</w:t>
      </w:r>
    </w:p>
    <w:p w14:paraId="4761E1BA">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（3）水质与污染防控：施工生产废水、含油废水、生活污水全部收集处理、循环回用，严禁直排敏感区水体；施工垃圾、生活垃圾日产日清，杜绝垃圾淤积污染湿地、林地环境。</w:t>
      </w:r>
    </w:p>
    <w:p w14:paraId="47BEF5DC">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生物惊扰减缓：敏感区施工限定作业时间，减少夜间施工，降低噪声、灯光对野生动物的惊扰；对区域内珍稀植物、古树挂牌围挡保护，制定迁地与就地保护方案；对动物迁徙通道、觅食区设置临时防护带，保障生物活动连续性。</w:t>
      </w:r>
    </w:p>
    <w:p w14:paraId="35A15381">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5）加强环保意识：制定严格的施工制度，通过印发生物多样性宣传手册等进行宣传教育，加强参建人员生物多样性保护意识，安排专人负责施工中的生态环境保护的管理和监督工作，切实落实区域的生物多样性保护工作，减少不必要的破坏。</w:t>
      </w:r>
    </w:p>
    <w:p w14:paraId="5953D4A4">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（6）预防生态风险：开展森林火灾的防控工作，预防施工过程中可能发生的环境风险。</w:t>
      </w:r>
    </w:p>
    <w:p w14:paraId="26C125D4">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（7）保障生态流量：严格落实河道生态流量、生态水位下泄要求，纳入工程调度规程，安装在线监测系统，保障下游湿地基本水文条件，避免河道脱水、湿地萎缩、坡面干旱退化。</w:t>
      </w:r>
    </w:p>
    <w:p w14:paraId="3044480F">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（8）规划工程实施前应按照法律法规要求编报生物多样性影响评价报告、选址唯一性和不可避让性论证报告等专题，严格落实各专题报告及审查审批文件提出的措施及要求。</w:t>
      </w:r>
    </w:p>
    <w:p w14:paraId="33946A23">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恢复措施</w:t>
      </w:r>
    </w:p>
    <w:p w14:paraId="5809CB73">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对施工临时占地、轻微扰动区域开展全面生态修复，对永久影响区域实施靶向功能修复，确保修复后生态功能不低于原状。</w:t>
      </w:r>
    </w:p>
    <w:p w14:paraId="50F7CE08">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临时占地全面恢复。施工结束后立即拆除所有临时设施，彻底清理建筑垃圾、废弃物料，平整场地、回铺前期剥离的表土；严格采用本地乡土物种开展植被恢复，禁止使用外来入侵物种，匹配原生生态群落结构：林区恢复乔灌草复合型森林植被，湿地恢复挺水、沉水、湿生植被，水土保持区域种植固土保水能力强的乡土灌草、乔木。</w:t>
      </w:r>
    </w:p>
    <w:p w14:paraId="2176A7A3">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长期生态抚育修复。建立后期抚育管护机制，定期开展植被浇水、除草、补植、病虫害防治，保障修复植被成活率；禁止人为扰动修复区域，助力受损生态系统自然恢复、功能提升，实现生态修复长效稳定。</w:t>
      </w:r>
    </w:p>
    <w:p w14:paraId="47CF9124">
      <w:pPr>
        <w:pStyle w:val="5"/>
        <w:numPr>
          <w:ilvl w:val="2"/>
          <w:numId w:val="4"/>
        </w:numPr>
        <w:spacing w:before="374" w:after="249"/>
        <w:rPr>
          <w:rFonts w:hint="default" w:ascii="Times New Roman" w:hAnsi="Times New Roman" w:cs="Times New Roman" w:eastAsiaTheme="minorEastAsia"/>
          <w:color w:val="auto"/>
          <w:highlight w:val="none"/>
          <w:lang w:val="en-US" w:eastAsia="zh-CN"/>
        </w:rPr>
      </w:pPr>
      <w:r>
        <w:rPr>
          <w:rFonts w:hint="default" w:ascii="Times New Roman" w:hAnsi="Times New Roman" w:cs="Times New Roman" w:eastAsiaTheme="minorEastAsia"/>
          <w:color w:val="auto"/>
          <w:highlight w:val="none"/>
          <w:lang w:val="en-US" w:eastAsia="zh-CN"/>
        </w:rPr>
        <w:t>补偿措施</w:t>
      </w:r>
    </w:p>
    <w:p w14:paraId="0C3E7B01">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（1）严格落实生态占补平衡。严格执行湿地、林地、草地占补原则，在同区域、同生态功能区补划同等面积、同等质量的生态用地，确保敏感区整体生态功能不衰减。</w:t>
      </w:r>
    </w:p>
    <w:p w14:paraId="5FB56351">
      <w:pPr>
        <w:pStyle w:val="14"/>
        <w:bidi w:val="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（2）资金补偿。足额缴纳森林植被恢复费、水土保持补偿费等法定费用，用于敏感区生态修复、植被管护、生物多样性保护、水土流失治理、湿地保育等工作。</w:t>
      </w:r>
    </w:p>
    <w:p w14:paraId="0B41537E">
      <w:pPr>
        <w:pStyle w:val="3"/>
        <w:numPr>
          <w:ilvl w:val="1"/>
          <w:numId w:val="4"/>
        </w:numPr>
        <w:spacing w:before="374" w:after="249"/>
        <w:rPr>
          <w:rFonts w:hint="default" w:ascii="Times New Roman" w:hAnsi="Times New Roman" w:eastAsia="宋体" w:cs="Times New Roman"/>
          <w:color w:val="auto"/>
          <w:highlight w:val="none"/>
        </w:rPr>
      </w:pPr>
      <w:bookmarkStart w:id="170" w:name="_Toc22486"/>
      <w:r>
        <w:rPr>
          <w:rFonts w:hint="default" w:ascii="Times New Roman" w:hAnsi="Times New Roman" w:eastAsia="宋体" w:cs="Times New Roman"/>
          <w:color w:val="auto"/>
          <w:highlight w:val="none"/>
        </w:rPr>
        <w:t>土地资源保护对策措施</w:t>
      </w:r>
      <w:bookmarkEnd w:id="170"/>
    </w:p>
    <w:p w14:paraId="1F2258D6">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（1）各单项规划在布局设计中应对占地指标进行优化，严格落实保护耕地的基本国策，避让永久基本农田，尽可能减少占用耕地，及早谋划补充耕地工作，推荐既符合工程设计规范又少占农田的设计方案。</w:t>
      </w:r>
    </w:p>
    <w:p w14:paraId="10C8E3BA">
      <w:pPr>
        <w:pStyle w:val="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建设施工活动对地表开挖时，原有土层应分层堆放，尽量减少对土壤理化性质和肥力的影响；尽快恢复施工造成的植被破坏。本着造地还田的原则，进行取、弃土场造地还田，并尽量选用荒地、劣地作为弃土场所。对无法避免的必需占用耕地，取、弃土场采取先将表层0.2m厚的熟土推置一边，待取、弃土完毕后，分层回填。规划建设应考虑避开农作物生长季节，以减少农业生产损失。规划相关工程完工后结，凡对地表产生损毁的，应及时进行复垦。</w:t>
      </w:r>
    </w:p>
    <w:p w14:paraId="0BAB0745">
      <w:pPr>
        <w:pStyle w:val="3"/>
        <w:numPr>
          <w:ilvl w:val="1"/>
          <w:numId w:val="4"/>
        </w:numPr>
        <w:spacing w:before="374" w:after="249"/>
        <w:rPr>
          <w:rFonts w:hint="default" w:ascii="Times New Roman" w:hAnsi="Times New Roman" w:eastAsia="宋体" w:cs="Times New Roman"/>
          <w:color w:val="auto"/>
          <w:highlight w:val="none"/>
        </w:rPr>
      </w:pPr>
      <w:bookmarkStart w:id="171" w:name="_Toc25272"/>
      <w:r>
        <w:rPr>
          <w:rFonts w:hint="default" w:ascii="Times New Roman" w:hAnsi="Times New Roman" w:eastAsia="宋体" w:cs="Times New Roman"/>
          <w:color w:val="auto"/>
          <w:highlight w:val="none"/>
        </w:rPr>
        <w:t>社会环境</w:t>
      </w:r>
      <w:bookmarkEnd w:id="171"/>
    </w:p>
    <w:p w14:paraId="2479AE2B">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社会经济</w:t>
      </w:r>
    </w:p>
    <w:p w14:paraId="43600F84">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为保障流域综合规划的顺利实施，促进区域经济发展，增加农民收入，加快城镇化进程，全面建</w:t>
      </w:r>
      <w:r>
        <w:rPr>
          <w:rFonts w:hint="eastAsia" w:cs="Times New Roman"/>
          <w:color w:val="auto"/>
          <w:highlight w:val="none"/>
          <w:lang w:val="en-US" w:eastAsia="zh-CN"/>
        </w:rPr>
        <w:t>成</w:t>
      </w:r>
      <w:r>
        <w:rPr>
          <w:rFonts w:hint="default" w:ascii="Times New Roman" w:hAnsi="Times New Roman" w:eastAsia="宋体" w:cs="Times New Roman"/>
          <w:color w:val="auto"/>
          <w:highlight w:val="none"/>
          <w:lang w:val="en-US" w:eastAsia="zh-CN"/>
        </w:rPr>
        <w:t>小康社会，现结合流域涉及县区社会经济发展实际，提出如下建议：</w:t>
      </w:r>
    </w:p>
    <w:p w14:paraId="1D13FA7B">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（1）加强生态环境保护和管理，推进绿色低碳</w:t>
      </w:r>
      <w:r>
        <w:rPr>
          <w:rFonts w:hint="default" w:ascii="Times New Roman" w:hAnsi="Times New Roman" w:cs="Times New Roman"/>
          <w:color w:val="auto"/>
          <w:highlight w:val="none"/>
          <w:lang w:val="en-US" w:eastAsia="zh-CN"/>
        </w:rPr>
        <w:t>可持续</w:t>
      </w:r>
      <w:r>
        <w:rPr>
          <w:rFonts w:hint="default" w:ascii="Times New Roman" w:hAnsi="Times New Roman" w:eastAsia="宋体" w:cs="Times New Roman"/>
          <w:color w:val="auto"/>
          <w:highlight w:val="none"/>
          <w:lang w:val="en-US" w:eastAsia="zh-CN"/>
        </w:rPr>
        <w:t>发展</w:t>
      </w:r>
    </w:p>
    <w:p w14:paraId="0CC2CB15">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流域综合规划中各类水利工程的实施不可避免地对周围生态环境造成影响，在工程可研、设计阶段以及施工、运营期落实人与自然和谐思想，强化生态环境保护意识，严格执行环境保护标准，认真实施环境保护措施，减少对生态环境的影响。为更好地落实环境保护政策，在水利工程建设期间开展环境监理工作，加强施工期和运营期环境监测，定期评估施工期环境保护措施执行情况及其环境影响。落实规划提出的优化调整建议和对下阶段环境保护工作的要求，将工程建设对流域生态环境的不利影响降至最低，实现经济发展与生态保护协调并进</w:t>
      </w:r>
      <w:r>
        <w:rPr>
          <w:rFonts w:hint="default" w:ascii="Times New Roman" w:hAnsi="Times New Roman" w:cs="Times New Roman"/>
          <w:color w:val="auto"/>
          <w:highlight w:val="none"/>
          <w:lang w:val="en-US" w:eastAsia="zh-CN"/>
        </w:rPr>
        <w:t>。</w:t>
      </w:r>
    </w:p>
    <w:p w14:paraId="333F3274">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结合流域县区实际，当前7县区单位GDP能耗虽已实现全面下降，但沾益区、富源县能源消费总量仍呈上升态势（分别增长5.9%、9.5%），水资源利用水平参差不齐，陆良县、罗平县工业重复用水率仅28.14%、40.45%，节水增效空间较大</w:t>
      </w:r>
      <w:r>
        <w:rPr>
          <w:rFonts w:hint="default" w:ascii="Times New Roman" w:hAnsi="Times New Roman" w:cs="Times New Roman"/>
          <w:color w:val="auto"/>
          <w:highlight w:val="none"/>
          <w:lang w:val="en-US" w:eastAsia="zh-CN"/>
        </w:rPr>
        <w:t>，通过</w:t>
      </w:r>
      <w:r>
        <w:rPr>
          <w:rFonts w:hint="default" w:ascii="Times New Roman" w:hAnsi="Times New Roman" w:eastAsia="宋体" w:cs="Times New Roman"/>
          <w:color w:val="auto"/>
          <w:highlight w:val="none"/>
          <w:lang w:val="en-US" w:eastAsia="zh-CN"/>
        </w:rPr>
        <w:t>在水利工程规划建设中同步统筹水资源节约集约利用与绿色低碳发展，配套建设节水工程，提高工业用水重复利用率</w:t>
      </w:r>
      <w:r>
        <w:rPr>
          <w:rFonts w:hint="default" w:ascii="Times New Roman" w:hAnsi="Times New Roman" w:cs="Times New Roman"/>
          <w:color w:val="auto"/>
          <w:highlight w:val="none"/>
          <w:lang w:val="en-US" w:eastAsia="zh-CN"/>
        </w:rPr>
        <w:t>，实现区域的可持续发展</w:t>
      </w:r>
      <w:r>
        <w:rPr>
          <w:rFonts w:hint="default" w:ascii="Times New Roman" w:hAnsi="Times New Roman" w:eastAsia="宋体" w:cs="Times New Roman"/>
          <w:color w:val="auto"/>
          <w:highlight w:val="none"/>
          <w:lang w:val="en-US" w:eastAsia="zh-CN"/>
        </w:rPr>
        <w:t>。</w:t>
      </w:r>
    </w:p>
    <w:p w14:paraId="322E1087">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（2）发展生态农业，走农业可持续发展之路</w:t>
      </w:r>
    </w:p>
    <w:p w14:paraId="2A3D644E">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规划区内农业生产活动对社会经济发展做出了较大贡献，流域广大农村对农业发展和生态环境恢复高度依赖。长期沿袭的传统农业模式不仅制约着农村经济发展，也严重影响地区生态环境恢复。水利工程的兴建使库区人地关系趋于紧张，农业生态环境更加恶化。一方面，工程蓄水后淹没大量村庄和土地，部分就地后靠移民新建房屋和开垦土地，坡度大，水土流失严重。另外，化肥农药大量使用污染水资源，包装物、农膜等废弃物也成为农村固体污染物主要来源。发展生态农业，不仅是库区进行农业产业结构调整、繁荣农村经济的必然要求，也是逐步恢复和改善地区生态环境的重要举措。立足陆良等农业大县资源条件，优化农业种养结构，推广绿色防控、测土配方施肥和农膜回收利用，发展特色生态农业和农业循环经济，减少农业面源污染，实现农民增收与生态环境改善双赢。</w:t>
      </w:r>
    </w:p>
    <w:p w14:paraId="24220797">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人群健康</w:t>
      </w:r>
    </w:p>
    <w:p w14:paraId="7C6270EC">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（1）预防措施</w:t>
      </w:r>
    </w:p>
    <w:p w14:paraId="539CB11D">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在自然疫源地或者可能是自然疫源地内施工的建设单位，应当设立预防保健组织，负责施工期卫生防疫工作，因此工程建设单位应在施工区建立卫生院，配备必要的医疗器械和各种传染病预防和治疗药品，建立健全消毒隔离制度，完善消毒措施，防止疫源性传播。</w:t>
      </w:r>
    </w:p>
    <w:p w14:paraId="526EB28B">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各工程人员进入施工区和移民迁入安置区时，对生活区和部分作业区进行卫生处理，采取消毒、杀虫、灭鼠等卫生措施，对饮用水进行消毒。在人群中普及传染病防治知识，动员群众进行灭蚊、灭蝇和灭鼠等，改善环境卫生，加强个人卫生防护。</w:t>
      </w:r>
    </w:p>
    <w:p w14:paraId="521A8AFD">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施工区和移民安置点采取集中式供水，饮用水须符合国家生活饮用水卫生标准，确保饮用水安全。施工区餐饮业严格执行《中华人民共和国食品卫生法》相应条款。</w:t>
      </w:r>
    </w:p>
    <w:p w14:paraId="3678F86F">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施工区按公共卫生设施标准修建公共厕所、垃圾粪便无害化处理场所，公共卫生设施和污水排放处理系统。移民安置点修建卫生厕所，对人畜粪便进行无害化处理。</w:t>
      </w:r>
    </w:p>
    <w:p w14:paraId="7B6C70AB">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开展卫生知识宣传，普及常见传染病相关知识，提高群众保健和防病意识，出现相关症状及早就医，早治疗。所有传染病人，病源携带者和疑似病人不得从事易于该病传播职业和工种。</w:t>
      </w:r>
    </w:p>
    <w:p w14:paraId="6E0338DD">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相关疾病监控由当地疾病防控机构承担。一旦出现重大疫情，为防止工程区传染病输入或输出，必要时建立临时检疫口岸，对大批进、出易感人员及食品进行医学、卫生检疫和必要卫生处理。</w:t>
      </w:r>
    </w:p>
    <w:p w14:paraId="295963F3">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（2）减量及最小化措施</w:t>
      </w:r>
    </w:p>
    <w:p w14:paraId="0D75683A">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鼠疫、钩端螺旋体均由鼠类传播的自然疫源性疾病，其防治对策及措施主要采取灭鼠、灭蚤为重点的综合性防治方法。</w:t>
      </w:r>
    </w:p>
    <w:p w14:paraId="6D6DE393">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各区县加强疟疾预防控制，建立健全农村三级卫生网络建设，实行行政领导、专业队伍和基层卫生人员相结合的工作方针。大力开展卫生运动，以消灭传播媒介、控制传染源、保护易感染人群为主线，巩固已有灭疟成果。</w:t>
      </w:r>
    </w:p>
    <w:p w14:paraId="1861DD07">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加强外来施工人员疾病预防控制。工程施工期间对进入外来人员要作好疟疾的疫情监测，凡出现不明原因发热病例，要认真作好疟原虫血检，阳性者给予疟疾根治。同时要搞好施工区环境卫生，加强个人防护，减少人蚊接触。</w:t>
      </w:r>
    </w:p>
    <w:p w14:paraId="577F37DE">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流域主要介水传染病有病毒性肝炎、痢疾、伤寒以及副伤寒等，预防主要措施为大力开展健康教育，普及卫生防病知识，提高自我保护意识。开展三管一灭（管水、管粪、管饮食、灭苍蝇）的综合性防治措施，严格执行卫生法，对饮食从业人员进行食品卫生知识宣传和培训。在儿童中推广甲肝疫苗接种，提高抗体水平，防止甲型肝炎的爆发流行。</w:t>
      </w:r>
    </w:p>
    <w:p w14:paraId="41E9A771">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民族文化</w:t>
      </w:r>
    </w:p>
    <w:p w14:paraId="745E706E">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曲靖市世居彝族、回族、布依族、壮族、苗族、水族等7个少数民族，罗平县布依族人口约占全省布依族70%，富源县有云南省唯一的水族建制乡古敢水族乡。结合水利工程点多面广、移民安置任务重，与少数民族群众生产生活和信教群众宗教活动关联密切。为保障流域综合规划顺利实施，维护民族团结和宗教和谐，依法保护少数民族和信教群众合法权益，提出如下措施：</w:t>
      </w:r>
    </w:p>
    <w:p w14:paraId="589D80C8">
      <w:pPr>
        <w:pStyle w:val="14"/>
        <w:numPr>
          <w:ilvl w:val="0"/>
          <w:numId w:val="15"/>
        </w:numPr>
        <w:bidi w:val="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全面贯彻党的民族政策和宗教政策，铸牢中华民族共同体意识</w:t>
      </w:r>
    </w:p>
    <w:p w14:paraId="0490F67E">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坚持各民族一律平等，尊重和保障少数民族风俗习惯与宗教信仰自由。将民族宗教保护工作贯穿规划实施、征地移民、工程施工、运营管理全过程，实现工程建设与民族团结进步创建、宗教和谐稳定有机统一，切实服务于促进区域经济发展、增加农民收入、城镇共同发展的总体目标。</w:t>
      </w:r>
    </w:p>
    <w:p w14:paraId="63C38FB0">
      <w:pPr>
        <w:pStyle w:val="14"/>
        <w:numPr>
          <w:ilvl w:val="0"/>
          <w:numId w:val="15"/>
        </w:num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深入群众，重视前期调研工作</w:t>
      </w:r>
    </w:p>
    <w:p w14:paraId="48987C35">
      <w:pPr>
        <w:pStyle w:val="14"/>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t>在规划前期全面开展流域涉及县区民族宗教情况调查，摸清少数民族人口分布、民族聚居村寨、宗教活动场所（清真寺、教堂、佛寺、道观等）及民族传统文化保护单位</w:t>
      </w:r>
      <w:r>
        <w:rPr>
          <w:rFonts w:hint="default" w:ascii="Times New Roman" w:hAnsi="Times New Roman" w:eastAsia="宋体" w:cs="Times New Roman"/>
          <w:color w:val="auto"/>
          <w:sz w:val="24"/>
          <w:szCs w:val="24"/>
          <w:highlight w:val="none"/>
          <w:lang w:val="en-US" w:eastAsia="zh-CN"/>
        </w:rPr>
        <w:t>情况，</w:t>
      </w:r>
      <w:r>
        <w:rPr>
          <w:rFonts w:hint="default" w:ascii="Times New Roman" w:hAnsi="Times New Roman" w:eastAsia="宋体" w:cs="Times New Roman"/>
          <w:color w:val="auto"/>
          <w:sz w:val="24"/>
          <w:szCs w:val="24"/>
          <w:highlight w:val="none"/>
        </w:rPr>
        <w:t>重点核查水库淹没区、工程建设区、移民安置区范围内的民族村寨和宗教活动场所，逐项评估工程影响程度与风险等级，为工程布局和移民安置提供依据</w:t>
      </w:r>
      <w:r>
        <w:rPr>
          <w:rFonts w:hint="default" w:ascii="Times New Roman" w:hAnsi="Times New Roman" w:eastAsia="宋体" w:cs="Times New Roman"/>
          <w:color w:val="auto"/>
          <w:sz w:val="24"/>
          <w:szCs w:val="24"/>
          <w:highlight w:val="none"/>
          <w:lang w:eastAsia="zh-CN"/>
        </w:rPr>
        <w:t>。</w:t>
      </w:r>
    </w:p>
    <w:p w14:paraId="0D91529C">
      <w:pPr>
        <w:pStyle w:val="14"/>
        <w:numPr>
          <w:ilvl w:val="0"/>
          <w:numId w:val="15"/>
        </w:num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合理布局，避让保护</w:t>
      </w:r>
    </w:p>
    <w:p w14:paraId="547B86B2">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在工程选址、建设方案比选中，对少数民族聚居村寨、宗教活动场所、民族特色村寨、历史文化名村实行优先避让；确需占用的，依法依规履行审批手续并落实补偿安置；涉及民族传统文化保护区、非物质文化遗产保护区域的工程，从严控制影响范围。如罗平县鲁布革乡腊者村布依族传统文化保护区、富源县古敢水族乡水族文化生态聚居区等，须专项论证、专项保护。</w:t>
      </w:r>
    </w:p>
    <w:p w14:paraId="00913B39">
      <w:pPr>
        <w:pStyle w:val="14"/>
        <w:numPr>
          <w:ilvl w:val="0"/>
          <w:numId w:val="15"/>
        </w:num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项目实施过程中做好民族宗教权益保障</w:t>
      </w:r>
    </w:p>
    <w:p w14:paraId="49D3BDD6">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施工过程中应尊重少数民族生产生活习惯和民族传统节日，合理安排施工时段和作业方式，保障民族节庆活动正常开展。严格保护少数民族传统村落、古树名木、祖坟墓地、水源龙潭、宗教圣迹等承载群众情感和信仰的重要场所，确需迁移的充分协商、规范处置。加强施工队伍民族宗教政策教育和培训，严禁损害少数民族和信教群众合法权益的行为，杜绝歧视性言行，规范用工和劳务合作。</w:t>
      </w:r>
    </w:p>
    <w:p w14:paraId="72488022">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占地移民安置过程中应尊重少数民族群众聚居意愿、血缘地缘关系和传统生产生活习惯，移民安置原则上采取整村、整寨、同民族相对集中安置，保持原有民族关系和社区结构稳定。安置点选址充分征求民族宗教界和群众意见，统筹预留宗教活动场所、民族传统活动场地（火把节场、花山节场等），保障正常民族宗教活动需要。对淹没或搬迁的宗教活动场所，坚持“先建后迁、功能不减”，妥善选址重建并做好权属登记和补偿，保障信教群众正常宗教生活不受影响；涉及文物保护单位的，依法履行保护程序。落实移民补偿政策，保障少数民族移民平等享有安置补助、就业帮扶等权益。结合罗平等县文旅产业、陆良等县生态农业布局，引导移民就近就业、发展生产、增收致富，把移民安置与乡村振兴、城镇化建设有机结合，助力富源等乡村人口多、城镇化率偏低县区加快城乡融合进程。将移民安置与民族文化保护相结合，在安置区规划建设民族文化活动场所，延续民族节庆和传统习俗，推动民族文化在工程实施中实现保护性传承。</w:t>
      </w:r>
    </w:p>
    <w:p w14:paraId="17A18C81">
      <w:pPr>
        <w:pStyle w:val="14"/>
        <w:numPr>
          <w:ilvl w:val="0"/>
          <w:numId w:val="15"/>
        </w:numPr>
        <w:bidi w:val="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开展社会稳定风险分析与评估工作</w:t>
      </w:r>
    </w:p>
    <w:p w14:paraId="06F1AB8A">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将民族宗教因素纳入工程社会稳定风险评估，对可能引发民族宗教纠纷的事项提前研判、动态监测、分级预警。建立涉民族宗教矛盾纠纷排查化解机制，依托属地党委政府、统战和民族宗教工作部门及时调处，坚持抓早抓小，防止矛盾激化。建立信息共享与协调联动机制，重大民族宗教事项及时向民族宗教事务部门通报，形成工作合力。</w:t>
      </w:r>
    </w:p>
    <w:p w14:paraId="77D8C5FB">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文物及矿产资源</w:t>
      </w:r>
    </w:p>
    <w:p w14:paraId="56F2F012">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规划工程实施前，对工程占地区进行详细的文物及地质勘探调查，并开展相关专题报告的编制。若因工程建设无法对文物或矿产资源进行避让，须根据相关法律法规对文物或矿产资源采取保护或补偿措施。</w:t>
      </w:r>
    </w:p>
    <w:p w14:paraId="26541328">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移民安置</w:t>
      </w:r>
    </w:p>
    <w:p w14:paraId="11FC5A62">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移民安置点生态环境保护关系到移民生产生活的恢复和安置点社会经济的可持续发展。为减少移民安置对生态环境产生的不利影响，须采取多种措施减少或避免规划工程带来的不利影响。</w:t>
      </w:r>
    </w:p>
    <w:p w14:paraId="16E1DE49">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（1）认真贯彻执行相关移民政策</w:t>
      </w:r>
    </w:p>
    <w:p w14:paraId="5105422A">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精心设计、施工，做好水库淹没处理与移民安置，做好移民工程验收，使移民能够“搬得出、稳得住、能致富”。</w:t>
      </w:r>
    </w:p>
    <w:p w14:paraId="2A39A9F5">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做好水利工程建设征地补偿和移民安置工作，维护移民合法权益，保障工程建设的顺利进行，包括移民安置规划、征地补偿、移民安置、后期扶持、监督管理和法律责任。</w:t>
      </w:r>
    </w:p>
    <w:p w14:paraId="6A10E8B0">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为保障移民生产生活水平，首先要认真贯彻国家现有政策法规，坚持“以人为本”的移民理念。在国家“前期补偿、后期扶植”的基本政策基础上，对水库建设征地的补偿投资落实到位，切忌挪作他用。让移民有知情权和参与决策权，在移民安置实施过程中，建立实施监督机制。</w:t>
      </w:r>
    </w:p>
    <w:p w14:paraId="1FBAC7DC">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借鉴国内、国际移民成功经验，解决各方利益分配问题，确保移民利益不受损害或尽量减少移民损失。在后期扶植基础上，加强移民生活水平监测，确保移民生产生活水平不降低。</w:t>
      </w:r>
    </w:p>
    <w:p w14:paraId="3B3EFE08">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制定相应优惠政策，用于进一步保障移民生活水平，比如在国家政策规定补偿标准基础上，统筹兼顾水库工程整体效益前提下，适当提高补偿标准，妥善安置移民。</w:t>
      </w:r>
    </w:p>
    <w:p w14:paraId="17CB43F8">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（2）加强民族文化保护</w:t>
      </w:r>
    </w:p>
    <w:p w14:paraId="00D8611B">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认真贯彻落实民族政策和宗教政策，将同民族、同宗教的信众集中安置在一起，将少数民族移民群众信仰的宗教寺庙建设纳入移民建设规划，由政府拨款、严格按照宗教仪轨进行设计和建设。使信教的少数民族群众搬到新居就能过上正常的宗教生活。同时，按照宗教仪轨要求，恢复各种宗教活动，依法进行管理，引导宗教与社会主义相适应，引导信教群众积极发展生产、改善生活。</w:t>
      </w:r>
    </w:p>
    <w:p w14:paraId="1D28EC10">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尊重少数民族移民群众风俗习惯，保证各种民族特需商品供应。在移民新居规划、设计和建设中，建筑材料和内部装饰应尽可能现代化，但外观样式则应尽可能保留民族传统风格。为移民村寨建设民族文化广场和文化活动室。移民安置点环境条件尽可能满足民族特有生活习俗需求，拨款资助移民安置点民族恢复自己的各种节日活动、传统体育活动和歌舞娱乐活动。</w:t>
      </w:r>
    </w:p>
    <w:p w14:paraId="7C409A02">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尊重和发展少数民族语言文字和大力发展民族教育政策，在少数民族移民村寨建立民族小学，在集中连片少数民族移民聚居区建立民族中学。在民族中小学中实行民汉双语教学，组织力量编撰民族文化乡土教材，并将其纳入学校正式课程。</w:t>
      </w:r>
    </w:p>
    <w:p w14:paraId="5FEA5893">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（3）加强生态环境保护</w:t>
      </w:r>
    </w:p>
    <w:p w14:paraId="014BF5FC">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对库区移民主要实施外迁安置，减少就地后靠安置，保持库区良好生态环境，减少库区水土流失和泥沙淤积。</w:t>
      </w:r>
    </w:p>
    <w:p w14:paraId="2CDA2616">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选择对生态环境破坏较小的地方作为外迁安置区，结合生产发展需要开展移民安置点内荒山、荒地绿化，扶持移民发展绿色产业，资助移民种树种草，改善和建设生态环境。</w:t>
      </w:r>
    </w:p>
    <w:p w14:paraId="28DE15B2">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（4）解决水源和耕地问题</w:t>
      </w:r>
    </w:p>
    <w:p w14:paraId="63DD2F81">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政府加大协调工作力度，以资源环境承载力为基础，在更大空间范围内，为移民选择适宜的生存和居住地点，兼顾民族文化保护。</w:t>
      </w:r>
    </w:p>
    <w:p w14:paraId="7C9BE193">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采取政府全额投资、群众投劳的办法，科学勘测水源水量前提下，为移民安置点建立稳定的水源地。</w:t>
      </w:r>
    </w:p>
    <w:p w14:paraId="11CB7B42">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流域社会经济落后，区域内居民特别是少数民族生活多依赖土地，农村移民安置后，应使移民拥有与移民安置点居民基本相当的土地等农业生产资料。</w:t>
      </w:r>
    </w:p>
    <w:p w14:paraId="2C83300D">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（5）开展多种培训</w:t>
      </w:r>
    </w:p>
    <w:p w14:paraId="4AF4569B">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对移民工作决策者和管理机构人员进行参与式决策方法和农村发展理论、发展方法的专业培训，组织管理人员和移民代表进行实地参观考察学习。</w:t>
      </w:r>
    </w:p>
    <w:p w14:paraId="402D2996">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对移民安置点周围的非移民村寨居民、管理移民安置点的相关单位人员，开展移民政策及相关法律法规、民族政策的教育培训。</w:t>
      </w:r>
    </w:p>
    <w:p w14:paraId="06772CAB">
      <w:pPr>
        <w:pStyle w:val="4"/>
        <w:rPr>
          <w:rFonts w:hint="default" w:ascii="Times New Roman" w:hAnsi="Times New Roman" w:eastAsia="宋体" w:cs="Times New Roman"/>
          <w:color w:val="auto"/>
          <w:highlight w:val="none"/>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color w:val="auto"/>
          <w:highlight w:val="none"/>
          <w:lang w:val="en-US" w:eastAsia="zh-CN"/>
        </w:rPr>
        <w:t>对移民开展多方面培训，一是移民政策及相关法律法规教育培训。二是移民安置点地方性知识培训，包括自然环境、资源条件、地方性疾病和农作物病虫害防治知识、房屋建盖知识、周围村寨民族文化状况等。三是因地制宜地发展生产、改善生活的各种技术培训。</w:t>
      </w:r>
    </w:p>
    <w:p w14:paraId="679EFE9E">
      <w:pPr>
        <w:pStyle w:val="2"/>
        <w:numPr>
          <w:ilvl w:val="0"/>
          <w:numId w:val="3"/>
        </w:numPr>
        <w:spacing w:after="249"/>
        <w:rPr>
          <w:rFonts w:hint="default" w:ascii="Times New Roman" w:hAnsi="Times New Roman" w:eastAsia="宋体" w:cs="Times New Roman"/>
          <w:color w:val="auto"/>
          <w:highlight w:val="none"/>
        </w:rPr>
      </w:pPr>
      <w:bookmarkStart w:id="172" w:name="_Toc8830"/>
      <w:r>
        <w:rPr>
          <w:rFonts w:hint="default" w:ascii="Times New Roman" w:hAnsi="Times New Roman" w:eastAsia="宋体" w:cs="Times New Roman"/>
          <w:color w:val="auto"/>
          <w:highlight w:val="none"/>
        </w:rPr>
        <w:t>环境管理、监测与跟踪评价</w:t>
      </w:r>
      <w:bookmarkEnd w:id="172"/>
    </w:p>
    <w:p w14:paraId="7B36074E">
      <w:pPr>
        <w:pStyle w:val="31"/>
        <w:keepNext/>
        <w:keepLines/>
        <w:numPr>
          <w:ilvl w:val="0"/>
          <w:numId w:val="4"/>
        </w:numPr>
        <w:spacing w:before="374" w:beforeLines="120" w:after="249" w:afterLines="80" w:line="288" w:lineRule="auto"/>
        <w:ind w:firstLineChars="0"/>
        <w:outlineLvl w:val="1"/>
        <w:rPr>
          <w:rFonts w:hint="default" w:ascii="Times New Roman" w:hAnsi="Times New Roman" w:eastAsia="宋体" w:cs="Times New Roman"/>
          <w:b/>
          <w:bCs/>
          <w:vanish/>
          <w:color w:val="auto"/>
          <w:sz w:val="32"/>
          <w:szCs w:val="32"/>
          <w:highlight w:val="none"/>
        </w:rPr>
      </w:pPr>
    </w:p>
    <w:p w14:paraId="5731005A">
      <w:pPr>
        <w:pStyle w:val="3"/>
        <w:numPr>
          <w:ilvl w:val="1"/>
          <w:numId w:val="4"/>
        </w:numPr>
        <w:spacing w:before="374" w:after="249"/>
        <w:rPr>
          <w:rFonts w:hint="default" w:ascii="Times New Roman" w:hAnsi="Times New Roman" w:eastAsia="宋体" w:cs="Times New Roman"/>
          <w:color w:val="auto"/>
          <w:highlight w:val="none"/>
        </w:rPr>
      </w:pPr>
      <w:bookmarkStart w:id="173" w:name="_Toc17113"/>
      <w:r>
        <w:rPr>
          <w:rFonts w:hint="default" w:ascii="Times New Roman" w:hAnsi="Times New Roman" w:eastAsia="宋体" w:cs="Times New Roman"/>
          <w:color w:val="auto"/>
          <w:highlight w:val="none"/>
        </w:rPr>
        <w:t>环境管理</w:t>
      </w:r>
      <w:bookmarkEnd w:id="173"/>
    </w:p>
    <w:p w14:paraId="7F6088E3">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管理的目的</w:t>
      </w:r>
    </w:p>
    <w:p w14:paraId="2C559E0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综合规划涉及水资源开发利用、防洪、治涝、灌溉、城乡供水、小流域综合治理、水生态保护修复等多项任务，工程类型多、实施周期长、影响范围广，对流域水文水资源、水环境、生态环境产生整体性、累积性影响。开展环境管理的主要目的在于：</w:t>
      </w:r>
    </w:p>
    <w:p w14:paraId="712A3A1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（1）落实规划环评结论、不良环境影响减缓措施、流域生态环境管控要求与生态环境准入清单；</w:t>
      </w:r>
    </w:p>
    <w:p w14:paraId="32ADB249">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（2）建立规划实施全过程环境监管体系，对流域环境质量、生态功能、生物多样性、资源利用等实施动态监测与管理；</w:t>
      </w:r>
    </w:p>
    <w:p w14:paraId="7DB08C6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（3）检验规划实施的实际环境影响与环评预测的符合性，及时发现并纠正规划实施过程中可能产生的重大不良生态环境影响；</w:t>
      </w:r>
    </w:p>
    <w:p w14:paraId="5466DC9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（4）保障流域水环境质量改善、生态流量保障、重要生境与生物多样性保护等生态环境目标在规划期内实现；</w:t>
      </w:r>
    </w:p>
    <w:p w14:paraId="07378FD9">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（5）为规划实施中的调整、修订以及规划所包含建设项目环境影响评价和后续生态环境管理提供依据。</w:t>
      </w:r>
    </w:p>
    <w:p w14:paraId="14C4634C">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管理的意义</w:t>
      </w:r>
    </w:p>
    <w:p w14:paraId="4C1FC5F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（1）制度意义：落实《规划环境影响评价条例》第四章关于规划环境影响跟踪评价的法定要求，构建“源头预防—过程管控—事后反馈”的闭环管理。</w:t>
      </w:r>
    </w:p>
    <w:p w14:paraId="74FDE98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（2）管理意义：弥补规划环境影响评价一次性评价的局限，实现规划实施的全周期、动态化管理。</w:t>
      </w:r>
    </w:p>
    <w:p w14:paraId="0634951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（3）协调意义：统筹流域上下游、左右岸、干支流及跨行政区域的环境协调，强化与流域管理机构、地方政府及多部门的联动。</w:t>
      </w:r>
    </w:p>
    <w:p w14:paraId="34FE431E">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（4）技术意义：以跟踪监测数据检验环境影响预测的准确性，反馈并完善环评方法。</w:t>
      </w:r>
    </w:p>
    <w:p w14:paraId="5A87B867">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（5）联动意义：支撑规划环境影响评价与建设项目环境影响评价联动，落实空间管制、总量管控、环境准入等管控要求。</w:t>
      </w:r>
    </w:p>
    <w:p w14:paraId="15D543EF">
      <w:pPr>
        <w:pStyle w:val="5"/>
        <w:numPr>
          <w:ilvl w:val="2"/>
          <w:numId w:val="4"/>
        </w:numPr>
        <w:spacing w:before="374" w:after="249"/>
        <w:rPr>
          <w:rFonts w:hint="default" w:ascii="Times New Roman" w:hAnsi="Times New Roman" w:eastAsia="宋体" w:cs="Times New Roman"/>
          <w:color w:val="auto"/>
          <w:highlight w:val="none"/>
        </w:rPr>
      </w:pPr>
      <w:bookmarkStart w:id="174" w:name="_Toc187580873"/>
      <w:r>
        <w:rPr>
          <w:rFonts w:hint="default" w:ascii="Times New Roman" w:hAnsi="Times New Roman" w:eastAsia="宋体" w:cs="Times New Roman"/>
          <w:color w:val="auto"/>
          <w:highlight w:val="none"/>
        </w:rPr>
        <w:t>流域环境管理</w:t>
      </w:r>
      <w:bookmarkEnd w:id="174"/>
    </w:p>
    <w:p w14:paraId="27F880C9">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流域生态环境空间管控</w:t>
      </w:r>
    </w:p>
    <w:p w14:paraId="2A1992E6">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衔接“三线一单”生态环境分区管控和国土空间规划，结合流域资源、生态、环境制约因素，明确流域内优先保护、重点保护、治理修复的水陆域以及禁止、限制开发的河段或岸线，落实流域环境保护要求，并对具有生态保护价值的支流提出相应的生态环境保护和修复要求。</w:t>
      </w:r>
    </w:p>
    <w:p w14:paraId="40A41A4D">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生态流量监管</w:t>
      </w:r>
    </w:p>
    <w:p w14:paraId="222096D8">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依据规划确定的控制断面生态流量目标，建立生态流量监测、评估与考核机制，保障重要河段及梯级电站下泄生态流量。</w:t>
      </w:r>
      <w:r>
        <w:rPr>
          <w:rFonts w:hint="default" w:ascii="Times New Roman" w:hAnsi="Times New Roman" w:cs="Times New Roman"/>
          <w:color w:val="auto"/>
          <w:highlight w:val="none"/>
          <w:lang w:val="en-US" w:eastAsia="zh-CN"/>
        </w:rPr>
        <w:t>南盘江流域水利水电</w:t>
      </w:r>
      <w:r>
        <w:rPr>
          <w:rFonts w:hint="default" w:ascii="Times New Roman" w:hAnsi="Times New Roman" w:eastAsia="宋体" w:cs="Times New Roman"/>
          <w:color w:val="auto"/>
          <w:highlight w:val="none"/>
          <w:lang w:val="en-US" w:eastAsia="zh-CN"/>
        </w:rPr>
        <w:t>开发应严格落实主要控制断面的生态流量保障目标及其保证率要求，统筹考虑下游河段水环境与水生生态用水需求</w:t>
      </w:r>
      <w:r>
        <w:rPr>
          <w:rFonts w:hint="default" w:ascii="Times New Roman" w:hAnsi="Times New Roman" w:cs="Times New Roman"/>
          <w:color w:val="auto"/>
          <w:highlight w:val="none"/>
          <w:lang w:val="en-US" w:eastAsia="zh-CN"/>
        </w:rPr>
        <w:t>。</w:t>
      </w:r>
    </w:p>
    <w:p w14:paraId="1A77329A">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总量管控与污染物排放管理</w:t>
      </w:r>
    </w:p>
    <w:p w14:paraId="4F29EA07">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以流域环境质量改善为目标，明确流域及重点河段主要污染物排放总量管控要求，衔接入河排污口管理与排污许可制度，严格控制规划实施新增污染物排放对水环境质量的影响</w:t>
      </w:r>
      <w:r>
        <w:rPr>
          <w:rFonts w:hint="default" w:ascii="Times New Roman" w:hAnsi="Times New Roman" w:cs="Times New Roman"/>
          <w:color w:val="auto"/>
          <w:highlight w:val="none"/>
          <w:lang w:val="en-US" w:eastAsia="zh-CN"/>
        </w:rPr>
        <w:t>。</w:t>
      </w:r>
    </w:p>
    <w:p w14:paraId="2FEEF56C">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环境准入</w:t>
      </w:r>
    </w:p>
    <w:p w14:paraId="16E8A4FB">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衔接生态环境准入清单，对规划所包含的建设项目提出选址选线、规模、资源利用效率、污染物排放管控、环境风险防控和生态保护等准入要求，落实空间管制与总量管控要求</w:t>
      </w:r>
      <w:r>
        <w:rPr>
          <w:rFonts w:hint="default" w:ascii="Times New Roman" w:hAnsi="Times New Roman" w:cs="Times New Roman"/>
          <w:color w:val="auto"/>
          <w:highlight w:val="none"/>
          <w:lang w:val="en-US" w:eastAsia="zh-CN"/>
        </w:rPr>
        <w:t>。</w:t>
      </w:r>
    </w:p>
    <w:p w14:paraId="01719D14">
      <w:pPr>
        <w:pStyle w:val="6"/>
        <w:numPr>
          <w:ilvl w:val="3"/>
          <w:numId w:val="4"/>
        </w:numPr>
        <w:spacing w:before="374" w:after="249"/>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环境信息共享与会商制度</w:t>
      </w:r>
    </w:p>
    <w:p w14:paraId="70D7DAB1">
      <w:pPr>
        <w:pStyle w:val="37"/>
        <w:ind w:firstLine="480"/>
        <w:rPr>
          <w:rFonts w:hint="default" w:ascii="Times New Roman" w:hAnsi="Times New Roman" w:cs="Times New Roman"/>
          <w:color w:val="auto"/>
          <w:highlight w:val="none"/>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color w:val="auto"/>
          <w:highlight w:val="none"/>
          <w:lang w:val="en-US" w:eastAsia="zh-CN"/>
        </w:rPr>
        <w:t>推进南盘江（曲靖市境内）流域信息化基础设施建设，通过充分整合利用现在监测数据，</w:t>
      </w:r>
      <w:r>
        <w:rPr>
          <w:rFonts w:hint="default" w:ascii="Times New Roman" w:hAnsi="Times New Roman" w:eastAsia="宋体" w:cs="Times New Roman"/>
          <w:color w:val="auto"/>
          <w:highlight w:val="none"/>
          <w:lang w:val="en-US" w:eastAsia="zh"/>
        </w:rPr>
        <w:t>构建数智化</w:t>
      </w:r>
      <w:r>
        <w:rPr>
          <w:rFonts w:hint="default" w:ascii="Times New Roman" w:hAnsi="Times New Roman" w:eastAsia="宋体" w:cs="Times New Roman"/>
          <w:color w:val="auto"/>
          <w:highlight w:val="none"/>
          <w:lang w:val="en-US" w:eastAsia="zh-CN"/>
        </w:rPr>
        <w:t>南盘江</w:t>
      </w:r>
      <w:r>
        <w:rPr>
          <w:rFonts w:hint="default" w:ascii="Times New Roman" w:hAnsi="Times New Roman" w:eastAsia="宋体" w:cs="Times New Roman"/>
          <w:color w:val="auto"/>
          <w:highlight w:val="none"/>
          <w:lang w:val="en-US" w:eastAsia="zh"/>
        </w:rPr>
        <w:t>流域底座、构建</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
        </w:rPr>
        <w:t>四预</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
        </w:rPr>
        <w:t>智能业务应用、推进共建共享，最终形成从感知到决策、从基础到应用的完整</w:t>
      </w:r>
      <w:r>
        <w:rPr>
          <w:rFonts w:hint="default" w:ascii="Times New Roman" w:hAnsi="Times New Roman" w:eastAsia="宋体" w:cs="Times New Roman"/>
          <w:color w:val="auto"/>
          <w:highlight w:val="none"/>
          <w:lang w:val="en-US" w:eastAsia="zh-CN"/>
        </w:rPr>
        <w:t>数字孪生</w:t>
      </w:r>
      <w:r>
        <w:rPr>
          <w:rFonts w:hint="default" w:ascii="Times New Roman" w:hAnsi="Times New Roman" w:eastAsia="宋体" w:cs="Times New Roman"/>
          <w:color w:val="auto"/>
          <w:highlight w:val="none"/>
          <w:lang w:val="en-US" w:eastAsia="zh"/>
        </w:rPr>
        <w:t>体系</w:t>
      </w:r>
      <w:r>
        <w:rPr>
          <w:rFonts w:hint="default" w:ascii="Times New Roman" w:hAnsi="Times New Roman" w:eastAsia="宋体" w:cs="Times New Roman"/>
          <w:color w:val="auto"/>
          <w:highlight w:val="none"/>
          <w:lang w:val="en-US" w:eastAsia="zh-CN"/>
        </w:rPr>
        <w:t>。同时就流域开发利用与生态环境保护重大事项建立会商机制，协调各方意见。</w:t>
      </w:r>
    </w:p>
    <w:p w14:paraId="4F2C22A5">
      <w:pPr>
        <w:pStyle w:val="3"/>
        <w:numPr>
          <w:ilvl w:val="1"/>
          <w:numId w:val="4"/>
        </w:numPr>
        <w:spacing w:before="374" w:after="249"/>
        <w:rPr>
          <w:rFonts w:hint="default" w:ascii="Times New Roman" w:hAnsi="Times New Roman" w:eastAsia="宋体" w:cs="Times New Roman"/>
          <w:color w:val="auto"/>
          <w:highlight w:val="none"/>
        </w:rPr>
      </w:pPr>
      <w:bookmarkStart w:id="175" w:name="_Toc32751"/>
      <w:r>
        <w:rPr>
          <w:rFonts w:hint="eastAsia" w:ascii="Times New Roman" w:hAnsi="Times New Roman" w:cs="Times New Roman"/>
          <w:color w:val="auto"/>
          <w:highlight w:val="none"/>
          <w:lang w:val="en-US" w:eastAsia="zh-CN"/>
        </w:rPr>
        <w:t>环</w:t>
      </w:r>
      <w:r>
        <w:rPr>
          <w:rFonts w:hint="default" w:ascii="Times New Roman" w:hAnsi="Times New Roman" w:eastAsia="宋体" w:cs="Times New Roman"/>
          <w:color w:val="auto"/>
          <w:highlight w:val="none"/>
        </w:rPr>
        <w:t>境监测与跟踪评价计划</w:t>
      </w:r>
      <w:bookmarkEnd w:id="175"/>
    </w:p>
    <w:p w14:paraId="510119B4">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环境监测与跟踪评价的目的</w:t>
      </w:r>
    </w:p>
    <w:p w14:paraId="1365339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的实施将对规划区生态环境和社会经济产生显著影响，对水环境、水文情势、陆生动植物、鱼类等部分环境因子的影响具有长期性、累积性和不可逆性。因此，有必要对规划实施后的环境状况进行监测和跟踪评价，以验证规划环境影响评价结论及环保措施效果，并根据实际环境影响变化调整、修正原有环保措施，总结本次规划环评的经验与教训。</w:t>
      </w:r>
    </w:p>
    <w:p w14:paraId="6EE57364">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环境监测与跟踪评价原则</w:t>
      </w:r>
    </w:p>
    <w:p w14:paraId="1DDC2DD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（1）重点突出原则</w:t>
      </w:r>
    </w:p>
    <w:p w14:paraId="6379F1C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环境监测和跟踪评价是流域水资源开发利用影响的重点环境因子，代表性较强，能反应流域环境受影响的程度及其变化趋势。</w:t>
      </w:r>
    </w:p>
    <w:p w14:paraId="64168BA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（2）全面性原则</w:t>
      </w:r>
    </w:p>
    <w:p w14:paraId="078D921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环境监测和跟踪评价的范围、对象、时段应覆盖规划区及其受影响的地区，全面了解规划区和周围环境变化，以及环境变化对规划实施的影响。</w:t>
      </w:r>
    </w:p>
    <w:p w14:paraId="67AF21E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（3）协调一致原则</w:t>
      </w:r>
    </w:p>
    <w:p w14:paraId="0C18DEF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环境监测和跟踪评价应与规划紧密结合，力求监控规划方案实施全过程中主要环境因子的动态变化，协调各个专项规划建设与流域环境保护之间的关系。</w:t>
      </w:r>
    </w:p>
    <w:p w14:paraId="7C39E89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（4）针对性原则</w:t>
      </w:r>
    </w:p>
    <w:p w14:paraId="52F907F0">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根据环境现状和环境影响评价结果，选择影响显著、对流域环境影响起控制作用的主要因子进行监测或调查，合理选择监测点位和监测调查项目，监测调查方案具有针对性和代表性。</w:t>
      </w:r>
    </w:p>
    <w:p w14:paraId="7D7F7D5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（5）经济性与可操作性原则</w:t>
      </w:r>
    </w:p>
    <w:p w14:paraId="5503BF2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按照相关专业技术规范，监测项目、频次、时段和方法以满足监测和跟踪任务为前提，尽量利用现有监测成果，点位设置要可操作性强，以较少的投入获得较完整的环境监测数据。</w:t>
      </w:r>
    </w:p>
    <w:p w14:paraId="375DF524">
      <w:pPr>
        <w:pStyle w:val="5"/>
        <w:numPr>
          <w:ilvl w:val="2"/>
          <w:numId w:val="4"/>
        </w:numPr>
        <w:spacing w:before="374" w:after="249"/>
        <w:rPr>
          <w:rFonts w:hint="default" w:ascii="Times New Roman" w:hAnsi="Times New Roman" w:eastAsia="宋体" w:cs="Times New Roman"/>
          <w:color w:val="auto"/>
          <w:highlight w:val="none"/>
        </w:rPr>
      </w:pPr>
      <w:bookmarkStart w:id="176" w:name="OLE_LINK13"/>
      <w:bookmarkStart w:id="177" w:name="OLE_LINK12"/>
      <w:r>
        <w:rPr>
          <w:rFonts w:hint="default" w:ascii="Times New Roman" w:hAnsi="Times New Roman" w:eastAsia="宋体" w:cs="Times New Roman"/>
          <w:color w:val="auto"/>
          <w:highlight w:val="none"/>
        </w:rPr>
        <w:t>监测计划</w:t>
      </w:r>
    </w:p>
    <w:bookmarkEnd w:id="176"/>
    <w:bookmarkEnd w:id="177"/>
    <w:p w14:paraId="0A630056">
      <w:pPr>
        <w:rPr>
          <w:rFonts w:hint="default" w:ascii="Times New Roman" w:hAnsi="Times New Roman" w:eastAsia="宋体" w:cs="Times New Roman"/>
          <w:color w:val="auto"/>
          <w:highlight w:val="none"/>
        </w:rPr>
      </w:pPr>
    </w:p>
    <w:p w14:paraId="4D7D0054">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地表水</w:t>
      </w:r>
      <w:r>
        <w:rPr>
          <w:rFonts w:hint="default" w:ascii="Times New Roman" w:hAnsi="Times New Roman" w:eastAsia="宋体" w:cs="Times New Roman"/>
          <w:color w:val="auto"/>
          <w:highlight w:val="none"/>
        </w:rPr>
        <w:t>环境监测</w:t>
      </w:r>
    </w:p>
    <w:p w14:paraId="2D8658F6">
      <w:pPr>
        <w:ind w:firstLine="480" w:firstLineChars="200"/>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1</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监测断面布设</w:t>
      </w:r>
    </w:p>
    <w:p w14:paraId="24D014B6">
      <w:pPr>
        <w:ind w:firstLine="480" w:firstLineChars="20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①</w:t>
      </w:r>
      <w:r>
        <w:rPr>
          <w:rFonts w:hint="default" w:ascii="Times New Roman" w:hAnsi="Times New Roman" w:cs="Times New Roman"/>
          <w:color w:val="auto"/>
          <w:highlight w:val="none"/>
        </w:rPr>
        <w:t>干流控制断面：南盘江干流上游、中游、下游主要控制断面，包含八大河控制断面；</w:t>
      </w:r>
    </w:p>
    <w:p w14:paraId="3997C69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②主要支流断面：黄泥河（长底断面）、九龙河、甸溪河、潇湘江、白石江等主要支流汇入干流前后断面；冯家圩等水质波动重点考核断面；</w:t>
      </w:r>
    </w:p>
    <w:p w14:paraId="253DF09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③重要水库监测断面：独木水库、阿岗水库、车马碧水库、响水坝水库等重点水库，布设库尾、库中部、坝前（库区）、坝下泄流断面；开展库湾监测，识别富营养化风险；</w:t>
      </w:r>
    </w:p>
    <w:p w14:paraId="24928BD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④大型灌区退水断面：罗师灌区、富源灌区、沾马灌区主要退水入河点位，监测灌区农业退水水质；</w:t>
      </w:r>
    </w:p>
    <w:p w14:paraId="6A3B5B0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⑤引调水工程断面：牛栏江德泽水库引水济曲工程、陆良引水入陆工程调水进口、调水出口断面；</w:t>
      </w:r>
    </w:p>
    <w:p w14:paraId="25B1F88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⑥水源地断面：独木水库、西河水库等县级及以上集中式饮用水水源地取水口。</w:t>
      </w:r>
    </w:p>
    <w:p w14:paraId="564492F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2</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监测项目</w:t>
      </w:r>
    </w:p>
    <w:p w14:paraId="603B0AE1">
      <w:pPr>
        <w:ind w:firstLine="480" w:firstLineChars="200"/>
        <w:rPr>
          <w:rFonts w:hint="default" w:ascii="Times New Roman" w:hAnsi="Times New Roman" w:eastAsia="宋体" w:cs="Times New Roman"/>
          <w:color w:val="auto"/>
          <w:highlight w:val="none"/>
          <w:lang w:eastAsia="zh-CN"/>
        </w:rPr>
      </w:pPr>
      <w:r>
        <w:rPr>
          <w:rFonts w:hint="default" w:ascii="Times New Roman" w:hAnsi="Times New Roman" w:cs="Times New Roman"/>
          <w:color w:val="auto"/>
          <w:highlight w:val="none"/>
          <w:lang w:val="en-US" w:eastAsia="zh-CN"/>
        </w:rPr>
        <w:t>河流监测</w:t>
      </w:r>
      <w:r>
        <w:rPr>
          <w:rFonts w:hint="default" w:ascii="Times New Roman" w:hAnsi="Times New Roman" w:cs="Times New Roman"/>
          <w:color w:val="auto"/>
          <w:highlight w:val="none"/>
        </w:rPr>
        <w:t>pH、水温、溶解氧、高锰酸盐指数、化学需氧量、五日生化需氧量、氨氮、总磷、总氮、氟化物、硫化物、石油类、挥发酚、阴离子表面活性剂、粪大肠菌群</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水库监测</w:t>
      </w:r>
      <w:r>
        <w:rPr>
          <w:rFonts w:hint="default" w:ascii="Times New Roman" w:hAnsi="Times New Roman" w:cs="Times New Roman"/>
          <w:color w:val="auto"/>
          <w:highlight w:val="none"/>
        </w:rPr>
        <w:t>总磷、总氮、叶绿素 a、透明度、高锰酸盐指数，用于评价水库、库湾富营养化状态</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水文同步监测断面</w:t>
      </w:r>
      <w:r>
        <w:rPr>
          <w:rFonts w:hint="default" w:ascii="Times New Roman" w:hAnsi="Times New Roman" w:cs="Times New Roman"/>
          <w:color w:val="auto"/>
          <w:highlight w:val="none"/>
        </w:rPr>
        <w:t>流量、水位、流速</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水库坝下断面生态流量下泄实际流量</w:t>
      </w:r>
      <w:r>
        <w:rPr>
          <w:rFonts w:hint="default" w:ascii="Times New Roman" w:hAnsi="Times New Roman" w:cs="Times New Roman"/>
          <w:color w:val="auto"/>
          <w:highlight w:val="none"/>
          <w:lang w:eastAsia="zh-CN"/>
        </w:rPr>
        <w:t>。</w:t>
      </w:r>
    </w:p>
    <w:p w14:paraId="4D6543B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3</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监测频次</w:t>
      </w:r>
    </w:p>
    <w:p w14:paraId="4028FAB4">
      <w:pPr>
        <w:ind w:firstLine="480" w:firstLineChars="200"/>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rPr>
        <w:t>①</w:t>
      </w:r>
      <w:r>
        <w:rPr>
          <w:rFonts w:hint="default" w:ascii="Times New Roman" w:hAnsi="Times New Roman" w:cs="Times New Roman"/>
          <w:color w:val="auto"/>
          <w:highlight w:val="none"/>
        </w:rPr>
        <w:t>河流常规断面：平水期、丰水期、枯水期各监测 1 次；国省控考核断面参照现有环境监测站网执行月度监测；</w:t>
      </w:r>
    </w:p>
    <w:p w14:paraId="17D99607">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②水库（含库湾）：每年丰、平、枯三期监测；富营养化评价每年不少于 2 次（汛期、非汛期）；水源地执行饮用水源地监测规范；</w:t>
      </w:r>
    </w:p>
    <w:p w14:paraId="3A47FF7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③灌区退水断面：灌溉期加密监测，非灌溉期每年 1</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2 次；</w:t>
      </w:r>
    </w:p>
    <w:p w14:paraId="5887C8E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④调水工程断面：调水运行期间按月开展监测；</w:t>
      </w:r>
    </w:p>
    <w:p w14:paraId="4FC1A59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⑤跟踪评价阶段：每 3</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5 年开展一次全流域地表水专项补充监测，支撑规划跟踪评价报告编制。</w:t>
      </w:r>
    </w:p>
    <w:p w14:paraId="617FF05C">
      <w:pPr>
        <w:pStyle w:val="6"/>
        <w:numPr>
          <w:ilvl w:val="3"/>
          <w:numId w:val="4"/>
        </w:numPr>
        <w:spacing w:before="374" w:after="249"/>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地下水环境监测</w:t>
      </w:r>
    </w:p>
    <w:p w14:paraId="0DC26965">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（1）断面布设</w:t>
      </w:r>
    </w:p>
    <w:p w14:paraId="7652067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本工程规划任务覆盖防洪、供水、灌溉、水资源保护与水生态保护、水土保持、水力发电等，其中供水、灌溉工程对地下水影响相对较大，根据《环境影响评价技术导则 地下水环境》(HJ 610-2016)，结合工程影响，对评价范围内影响较大的集中式饮用水水源、分散式饮用水水源地以及需要保护的特殊地下水资源进行监测，初拟7个监测点位，具体断面应在项目环评阶段充分论证确定。</w:t>
      </w:r>
    </w:p>
    <w:p w14:paraId="43CF7EC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（2）监测项目</w:t>
      </w:r>
    </w:p>
    <w:p w14:paraId="0A3EF63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监测项目包括：地下水水位、水质、水量。</w:t>
      </w:r>
    </w:p>
    <w:p w14:paraId="2C77E9EE">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水质监测项目：pH、总硬度、溶解性总固体、硫酸盐、氯化物、铁、锰、铜、挥发酚类、阴离子表面活性剂、耗氧量（CODMn）、氨氮、钠、总大肠菌群、亚硝酸盐氮、硝酸银、氰化物、氟化物、砷、汞、硒、铬（六价）、铅、镉、钙、镁、钾、碳酸根、碳酸氢根、六六六、滴滴涕、总磷，共32项</w:t>
      </w:r>
    </w:p>
    <w:p w14:paraId="0F561C6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（3）监测时段及频率</w:t>
      </w:r>
    </w:p>
    <w:p w14:paraId="27B673B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施工高峰期在丰、枯水期各监测1次。试运行期在丰、枯水期各监测1次。</w:t>
      </w:r>
    </w:p>
    <w:p w14:paraId="47CD16AA">
      <w:pPr>
        <w:pStyle w:val="6"/>
        <w:numPr>
          <w:ilvl w:val="3"/>
          <w:numId w:val="4"/>
        </w:numPr>
        <w:spacing w:before="374" w:after="249"/>
        <w:rPr>
          <w:rFonts w:hint="default" w:ascii="Times New Roman" w:hAnsi="Times New Roman" w:eastAsia="宋体" w:cs="Times New Roman"/>
          <w:color w:val="auto"/>
          <w:highlight w:val="none"/>
        </w:rPr>
      </w:pPr>
      <w:bookmarkStart w:id="178" w:name="OLE_LINK11"/>
      <w:r>
        <w:rPr>
          <w:rFonts w:hint="default" w:ascii="Times New Roman" w:hAnsi="Times New Roman" w:eastAsia="宋体" w:cs="Times New Roman"/>
          <w:color w:val="auto"/>
          <w:highlight w:val="none"/>
        </w:rPr>
        <w:t>陆生生态监测</w:t>
      </w:r>
    </w:p>
    <w:bookmarkEnd w:id="178"/>
    <w:p w14:paraId="645C423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据规划区的生态环境特点，选择采取路线调查与样方调查相结合的方法开展陆生生物调查，以掌握、了解陆生生态环境的变化及其发展趋势。具体调查范围应在项目环评阶段充分论证确定。</w:t>
      </w:r>
    </w:p>
    <w:p w14:paraId="51ECAC8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（1）调查内容</w:t>
      </w:r>
    </w:p>
    <w:p w14:paraId="06C4068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①陆生生物生境及自然条件状况及变化情况。</w:t>
      </w:r>
    </w:p>
    <w:p w14:paraId="08A24D2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②植物资源状况、区系组成及特点，主要植被类型及分布。</w:t>
      </w:r>
    </w:p>
    <w:p w14:paraId="27D8FD4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③景观生态类型及其变化趋势。</w:t>
      </w:r>
    </w:p>
    <w:p w14:paraId="64C6E304">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④野生动物区系组成及特点、资源状况、生态类群及分布。</w:t>
      </w:r>
    </w:p>
    <w:p w14:paraId="5DD9694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⑤珍稀、濒危、特有保护动植物及古树名木种类、数量、分布及生长状况。</w:t>
      </w:r>
    </w:p>
    <w:p w14:paraId="5880FFC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（2）调查时段与频次</w:t>
      </w:r>
    </w:p>
    <w:p w14:paraId="4EB9208A">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监测时段为本底（建设前）和项目运行期，本底进行 1~2 期调查，进入运行期 10年内酌情开展进行 1～2 期调查，具体应结合项目环评。</w:t>
      </w:r>
    </w:p>
    <w:p w14:paraId="55B1E48C">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水生生态监测</w:t>
      </w:r>
    </w:p>
    <w:p w14:paraId="1681740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通过对监测数据的搜集、整理和分析，能够发现理论预测与实际效果的差距，为待建和规划中的工程提供规划依据，以制定更为切实可行的减免措施，改善相应减免措施和渔政管理措施的效果。</w:t>
      </w:r>
    </w:p>
    <w:p w14:paraId="7F4C7C17">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（1）监测范围：</w:t>
      </w:r>
      <w:r>
        <w:rPr>
          <w:rFonts w:hint="default" w:ascii="Times New Roman" w:hAnsi="Times New Roman" w:cs="Times New Roman"/>
          <w:color w:val="auto"/>
          <w:highlight w:val="none"/>
          <w:lang w:val="en-US" w:eastAsia="zh-CN"/>
        </w:rPr>
        <w:t>南盘江（曲靖市境内）</w:t>
      </w:r>
      <w:r>
        <w:rPr>
          <w:rFonts w:hint="default" w:ascii="Times New Roman" w:hAnsi="Times New Roman" w:cs="Times New Roman"/>
          <w:color w:val="auto"/>
          <w:highlight w:val="none"/>
        </w:rPr>
        <w:t>流域内</w:t>
      </w:r>
      <w:r>
        <w:rPr>
          <w:rFonts w:hint="default" w:ascii="Times New Roman" w:hAnsi="Times New Roman" w:cs="Times New Roman"/>
          <w:color w:val="auto"/>
          <w:highlight w:val="none"/>
          <w:lang w:val="en-US" w:eastAsia="zh-CN"/>
        </w:rPr>
        <w:t>涉及的主要干支流</w:t>
      </w:r>
      <w:r>
        <w:rPr>
          <w:rFonts w:hint="default" w:ascii="Times New Roman" w:hAnsi="Times New Roman" w:cs="Times New Roman"/>
          <w:color w:val="auto"/>
          <w:highlight w:val="none"/>
        </w:rPr>
        <w:t>。</w:t>
      </w:r>
    </w:p>
    <w:p w14:paraId="344178DD">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（2）监测点位：</w:t>
      </w:r>
      <w:r>
        <w:rPr>
          <w:rFonts w:hint="default" w:ascii="Times New Roman" w:hAnsi="Times New Roman" w:cs="Times New Roman"/>
          <w:color w:val="auto"/>
          <w:highlight w:val="none"/>
          <w:lang w:val="en-US" w:eastAsia="zh-CN"/>
        </w:rPr>
        <w:t>南盘江</w:t>
      </w:r>
      <w:r>
        <w:rPr>
          <w:rFonts w:hint="default" w:ascii="Times New Roman" w:hAnsi="Times New Roman" w:cs="Times New Roman"/>
          <w:color w:val="auto"/>
          <w:highlight w:val="none"/>
        </w:rPr>
        <w:t>干流、</w:t>
      </w:r>
      <w:r>
        <w:rPr>
          <w:rFonts w:hint="default" w:ascii="Times New Roman" w:hAnsi="Times New Roman" w:cs="Times New Roman"/>
          <w:color w:val="auto"/>
          <w:highlight w:val="none"/>
          <w:lang w:val="en-US" w:eastAsia="zh-CN"/>
        </w:rPr>
        <w:t>黄泥河</w:t>
      </w:r>
      <w:r>
        <w:rPr>
          <w:rFonts w:hint="default" w:ascii="Times New Roman" w:hAnsi="Times New Roman" w:cs="Times New Roman"/>
          <w:color w:val="auto"/>
          <w:highlight w:val="none"/>
        </w:rPr>
        <w:t>、</w:t>
      </w:r>
      <w:r>
        <w:rPr>
          <w:rFonts w:hint="default" w:ascii="Times New Roman" w:hAnsi="Times New Roman" w:cs="Times New Roman"/>
          <w:color w:val="auto"/>
          <w:highlight w:val="none"/>
          <w:lang w:val="en-US" w:eastAsia="zh-CN"/>
        </w:rPr>
        <w:t>多依河、牛街河、五洛河、九龙河</w:t>
      </w:r>
      <w:r>
        <w:rPr>
          <w:rFonts w:hint="default" w:ascii="Times New Roman" w:hAnsi="Times New Roman" w:cs="Times New Roman"/>
          <w:color w:val="auto"/>
          <w:highlight w:val="none"/>
        </w:rPr>
        <w:t>以及规划重点工程涉及主要支流。具体点位的位置和数量应在项目环评阶段充分论证。</w:t>
      </w:r>
    </w:p>
    <w:p w14:paraId="4EC68F86">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（3）监测内容</w:t>
      </w:r>
    </w:p>
    <w:p w14:paraId="327CEE55">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①水生生物监测</w:t>
      </w:r>
    </w:p>
    <w:p w14:paraId="7DD006D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浮游生物、底栖动物、水生微管束植物的种类、分布密度、生物量。</w:t>
      </w:r>
    </w:p>
    <w:p w14:paraId="30A48A9B">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②鱼类集合和种群动态</w:t>
      </w:r>
    </w:p>
    <w:p w14:paraId="33661DD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鱼类的物种组成、种群结构、资源量，重点监测珍稀鱼类、特有鱼类。</w:t>
      </w:r>
    </w:p>
    <w:p w14:paraId="6F94CB60">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③鱼类种质与遗传多样性</w:t>
      </w:r>
    </w:p>
    <w:p w14:paraId="3A4B1A2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珍稀鱼类、特有鱼类天然种群的形态学、生态学、分子生物学等种质指标及遗传结构。</w:t>
      </w:r>
    </w:p>
    <w:p w14:paraId="6E3678B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④鱼类重要生境</w:t>
      </w:r>
    </w:p>
    <w:p w14:paraId="3AC21A0A">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监测鱼类产卵场、索饵场、越冬场及洄游通道，重点监测鱼类产卵场，包括早期资源种类组成与比例、时空分布、早期资源量、水文要素（温度、流速、水位）、产卵场的分布与规模、繁殖时间和频次。</w:t>
      </w:r>
    </w:p>
    <w:p w14:paraId="436DBA63">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（4）监测时间</w:t>
      </w:r>
    </w:p>
    <w:p w14:paraId="5E52E25F">
      <w:pPr>
        <w:rPr>
          <w:rFonts w:hint="default" w:ascii="Times New Roman" w:hAnsi="Times New Roman" w:eastAsia="宋体" w:cs="Times New Roman"/>
          <w:color w:val="auto"/>
          <w:highlight w:val="none"/>
        </w:rPr>
      </w:pPr>
      <w:r>
        <w:rPr>
          <w:rFonts w:hint="default" w:ascii="Times New Roman" w:hAnsi="Times New Roman" w:cs="Times New Roman"/>
          <w:color w:val="auto"/>
          <w:highlight w:val="none"/>
          <w:lang w:val="en-US" w:eastAsia="zh-CN"/>
        </w:rPr>
        <w:t>各规划项目，结合项目环评开展，</w:t>
      </w:r>
      <w:r>
        <w:rPr>
          <w:rFonts w:hint="default" w:ascii="Times New Roman" w:hAnsi="Times New Roman" w:cs="Times New Roman"/>
          <w:color w:val="auto"/>
          <w:highlight w:val="none"/>
        </w:rPr>
        <w:t>监测时段为本底、施工期和运行期，应包含鱼类主要繁殖期，对水生生物本底进行1~2期调查，施工高峰期进行1期调查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规划中期和规划末期各开展1次完整调查</w:t>
      </w:r>
      <w:r>
        <w:rPr>
          <w:rFonts w:hint="default" w:ascii="Times New Roman" w:hAnsi="Times New Roman" w:cs="Times New Roman"/>
          <w:color w:val="auto"/>
          <w:highlight w:val="none"/>
        </w:rPr>
        <w:t>。</w:t>
      </w:r>
    </w:p>
    <w:p w14:paraId="02DE6C93">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社会环境调查</w:t>
      </w:r>
    </w:p>
    <w:p w14:paraId="7921FAC3">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流域综合规划涉及7个县（区），为更为全面的了解规划项目实施对区域社会环境的影响，拟开展社会环境调查工作，内容如下：</w:t>
      </w:r>
    </w:p>
    <w:p w14:paraId="073FD46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（1）调查范围</w:t>
      </w:r>
    </w:p>
    <w:p w14:paraId="5C9E861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从流域整体性角度出发，针对流域防洪治理、水资源配置、大型灌区及引调水类型项目时，调查范围应统筹兼顾干支流、上下游、左右岸、河（湖）滨带、库区及引调水工程的调入区与调出区等，针对重点区域、重点项目、“点”状工程，则着重调查涉及的城镇、灌区、重点工程建设直接影响区以及项目可能涉及的少数</w:t>
      </w:r>
      <w:r>
        <w:rPr>
          <w:rFonts w:hint="eastAsia" w:cs="Times New Roman"/>
          <w:color w:val="auto"/>
          <w:highlight w:val="none"/>
          <w:lang w:val="en-US" w:eastAsia="zh-CN"/>
        </w:rPr>
        <w:t>民</w:t>
      </w:r>
      <w:r>
        <w:rPr>
          <w:rFonts w:hint="default" w:ascii="Times New Roman" w:hAnsi="Times New Roman" w:eastAsia="宋体" w:cs="Times New Roman"/>
          <w:color w:val="auto"/>
          <w:highlight w:val="none"/>
        </w:rPr>
        <w:t>族聚居区、文物古迹及风景名胜区等。</w:t>
      </w:r>
    </w:p>
    <w:p w14:paraId="4FFEAE5F">
      <w:pPr>
        <w:pStyle w:val="14"/>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kern w:val="2"/>
          <w:sz w:val="24"/>
          <w:szCs w:val="24"/>
          <w:highlight w:val="none"/>
          <w:lang w:val="en-US" w:eastAsia="zh-CN" w:bidi="ar-SA"/>
        </w:rPr>
        <w:t>2</w:t>
      </w:r>
      <w:r>
        <w:rPr>
          <w:rFonts w:hint="default" w:ascii="Times New Roman" w:hAnsi="Times New Roman" w:eastAsia="宋体" w:cs="Times New Roman"/>
          <w:color w:val="auto"/>
          <w:kern w:val="2"/>
          <w:sz w:val="24"/>
          <w:szCs w:val="24"/>
          <w:highlight w:val="none"/>
          <w:lang w:val="en-US" w:eastAsia="zh-CN" w:bidi="ar-SA"/>
        </w:rPr>
        <w:t>）</w:t>
      </w:r>
      <w:r>
        <w:rPr>
          <w:rFonts w:hint="default" w:ascii="Times New Roman" w:hAnsi="Times New Roman" w:cs="Times New Roman"/>
          <w:color w:val="auto"/>
          <w:highlight w:val="none"/>
          <w:lang w:val="en-US" w:eastAsia="zh-CN"/>
        </w:rPr>
        <w:t>调查内容</w:t>
      </w:r>
    </w:p>
    <w:p w14:paraId="02F7EEC2">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①行政区划与人口：行政区划、人口规模与分布、民族构成、城镇化水平；</w:t>
      </w:r>
    </w:p>
    <w:p w14:paraId="3C8953B6">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②社会经济状况：国内生产总值及增长率、产业结构（农、林、牧、副、渔及工业、服务业）、主导产业及布局、人均收入、财政收支；</w:t>
      </w:r>
    </w:p>
    <w:p w14:paraId="2480873F">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③土地利用：土地利用现状（耕地、园地、林地、草地、水域、建设用地）、生态保护用地及岸线利用状况；</w:t>
      </w:r>
    </w:p>
    <w:p w14:paraId="14C6D834">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④水资源开发利用：供水、灌溉、发电、航运等开发利用现状，用水结构与用水效率；</w:t>
      </w:r>
    </w:p>
    <w:p w14:paraId="7CA6CB35">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⑤基础设施：交通、能源、水利、市政（供水、污水处理）等设施布局与保障能力；</w:t>
      </w:r>
    </w:p>
    <w:p w14:paraId="0243F029">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⑥人群健康：医疗卫生条件、自然疫源性疾病、虫媒传染病、介水传染病、地方病等；</w:t>
      </w:r>
    </w:p>
    <w:p w14:paraId="6A18EB95">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⑦景观与文物：风景名胜区、文物古迹、文化遗产、旅游资源等；</w:t>
      </w:r>
    </w:p>
    <w:p w14:paraId="6DECA69C">
      <w:pPr>
        <w:pStyle w:val="14"/>
        <w:bidi w:val="0"/>
        <w:rPr>
          <w:rFonts w:hint="default" w:ascii="Times New Roman" w:hAnsi="Times New Roman" w:cs="Times New Roman"/>
          <w:color w:val="auto"/>
          <w:highlight w:val="green"/>
          <w:lang w:val="en-US" w:eastAsia="zh-CN"/>
        </w:rPr>
      </w:pPr>
      <w:r>
        <w:rPr>
          <w:rFonts w:hint="default" w:ascii="Times New Roman" w:hAnsi="Times New Roman" w:cs="Times New Roman"/>
          <w:color w:val="auto"/>
          <w:highlight w:val="green"/>
          <w:lang w:val="en-US" w:eastAsia="zh-CN"/>
        </w:rPr>
        <w:t>⑧民族宗教与特殊群体：少数民族聚居状况、宗教信仰</w:t>
      </w:r>
      <w:r>
        <w:rPr>
          <w:rFonts w:hint="eastAsia" w:cs="Times New Roman"/>
          <w:color w:val="auto"/>
          <w:highlight w:val="green"/>
          <w:lang w:val="en-US" w:eastAsia="zh-CN"/>
        </w:rPr>
        <w:t>群体</w:t>
      </w:r>
      <w:r>
        <w:rPr>
          <w:rFonts w:hint="default" w:ascii="Times New Roman" w:hAnsi="Times New Roman" w:cs="Times New Roman"/>
          <w:color w:val="auto"/>
          <w:highlight w:val="green"/>
          <w:lang w:val="en-US" w:eastAsia="zh-CN"/>
        </w:rPr>
        <w:t>分布；</w:t>
      </w:r>
    </w:p>
    <w:p w14:paraId="703C5729">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⑨公众环境诉求：环境信访、公众参与意见、社会关注热点。</w:t>
      </w:r>
    </w:p>
    <w:p w14:paraId="702C85EF">
      <w:pPr>
        <w:pStyle w:val="14"/>
        <w:numPr>
          <w:ilvl w:val="0"/>
          <w:numId w:val="0"/>
        </w:numPr>
        <w:bidi w:val="0"/>
        <w:ind w:left="0" w:leftChars="0" w:firstLine="480" w:firstLineChars="200"/>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kern w:val="2"/>
          <w:sz w:val="24"/>
          <w:szCs w:val="24"/>
          <w:highlight w:val="none"/>
          <w:lang w:val="en-US" w:eastAsia="zh-CN" w:bidi="ar-SA"/>
        </w:rPr>
        <w:t>（2）</w:t>
      </w:r>
      <w:r>
        <w:rPr>
          <w:rFonts w:hint="default" w:ascii="Times New Roman" w:hAnsi="Times New Roman" w:cs="Times New Roman"/>
          <w:color w:val="auto"/>
          <w:highlight w:val="none"/>
          <w:lang w:val="en-US" w:eastAsia="zh-CN"/>
        </w:rPr>
        <w:t>调查时段</w:t>
      </w:r>
    </w:p>
    <w:p w14:paraId="09C03FD5">
      <w:pPr>
        <w:pStyle w:val="14"/>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结合规划评价时段，调查时段可分为现状基年，近期规划水平年、远期规划水平年。</w:t>
      </w:r>
    </w:p>
    <w:p w14:paraId="1DCBB724">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移民安置调查</w:t>
      </w:r>
    </w:p>
    <w:p w14:paraId="6F8B78A5">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规划水源工程建设，大型项目实施过程中涉及移民搬迁及生产安置问题，为更为全面的了解规划项目实施移民安置环境影响，拟开展调查内容如下：</w:t>
      </w:r>
    </w:p>
    <w:p w14:paraId="5F2A04AA">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（1）调查范围</w:t>
      </w:r>
    </w:p>
    <w:p w14:paraId="0769795C">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重点关注水库淹没影响区、山洪灾害影响区、工程建设征占地影响区（包含永久、临时占地范围），移民搬迁安置区，移民生产安置区，专项设施复建区等。</w:t>
      </w:r>
    </w:p>
    <w:p w14:paraId="1F34C005">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（2）调查内容</w:t>
      </w:r>
    </w:p>
    <w:p w14:paraId="68022D19">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①实物指标调查：淹没及占地范围内的人口、房屋、土地（耕地、园地、林地、草地）、零星树木、坟墓、专项设施、企业、文物古迹等实物数量；</w:t>
      </w:r>
    </w:p>
    <w:p w14:paraId="21FE2DB5">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②移民社会经济状况：家庭人口结构、劳动力、收入来源、生产方式、民族与宗教信仰；</w:t>
      </w:r>
    </w:p>
    <w:p w14:paraId="7760B22B">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③安置资源与环境容量：可安置土地资源、水资源、安置区环境容量、安置点基础设施条件（水、电、路、教育、医疗）；</w:t>
      </w:r>
    </w:p>
    <w:p w14:paraId="0B241E2E">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④安置方式与移民意愿：农业安置、二、三产业安置、养老保险安置等安置方式及移民意愿调查；</w:t>
      </w:r>
    </w:p>
    <w:p w14:paraId="0DB2CC64">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⑤补偿政策与标准：征地补偿、安置补助、搬迁及基础设施补偿等；</w:t>
      </w:r>
    </w:p>
    <w:p w14:paraId="5E2BB297">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⑥既有移民安置与遗留问题：回顾已实施工程的移民安置情况、安置区现状及遗留问题；</w:t>
      </w:r>
    </w:p>
    <w:p w14:paraId="6596C8B5">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⑦安置区环境状况：安置区自然环境、环境敏感目标，安置点建设（生活污水、垃圾、生态影响）可能造成的环境影响；</w:t>
      </w:r>
    </w:p>
    <w:p w14:paraId="276C9AA0">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⑧环评衔接要求：规划所包含重大工程的移民安置规划概况及环境影响减缓要求等。</w:t>
      </w:r>
    </w:p>
    <w:p w14:paraId="2E6BC93E">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（3）调查时段</w:t>
      </w:r>
    </w:p>
    <w:p w14:paraId="087BC597">
      <w:pPr>
        <w:pStyle w:val="14"/>
        <w:bidi w:val="0"/>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结合规划评价时段，调查时段可分为现状基年，近期规划水平年、远期规划水平年，依据项目环评要求，调查时段可按施工期，运行期确定，后续还可结合回顾性评价要求，根据重点工程运营情况合理设置评价时段。</w:t>
      </w:r>
    </w:p>
    <w:p w14:paraId="16FB7405">
      <w:pPr>
        <w:pStyle w:val="5"/>
        <w:numPr>
          <w:ilvl w:val="2"/>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跟踪评价</w:t>
      </w:r>
    </w:p>
    <w:p w14:paraId="4F5056AB">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根据调查与监测结果开展跟踪评价，分析区域环境变化趋势、程度及原因，评价规划实施后的实际环境影响，据此优化、反馈调整环境保护措施，进行阶段性总结，为科学、合理实施流域综合规划服务。</w:t>
      </w:r>
    </w:p>
    <w:p w14:paraId="7DA76A4C">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评价制度与内容</w:t>
      </w:r>
    </w:p>
    <w:p w14:paraId="647DB0AC">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鉴于规划建设内容涉及面广、内容多，且规划实施存在一定不确定性，为切实指导和修正规划实施，增强规划环境影响评价的科学性和有效性，需开展规划环境影响跟踪评价。</w:t>
      </w:r>
    </w:p>
    <w:p w14:paraId="5A249D0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规划环境影响跟踪评价应在规划开始实施后进行，主要内容包括：</w:t>
      </w:r>
    </w:p>
    <w:p w14:paraId="5A8B161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（1）规划实施的环境影响</w:t>
      </w:r>
    </w:p>
    <w:p w14:paraId="5985CF36">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针对规划实施可能造成的环境影响，包括地表水环境、地下水环境、土壤环境、生态环境、环境敏感区、移民安置和社会环境等方面，根据规划实施的相关调查、监测等，进行规划实施后的实际环境影响评价。同时，对规划环境保护对策与影响减缓是否在专项、专题规划环评或具体工程中落实进行评价，提出提高规划环境效益所需的改进措施。</w:t>
      </w:r>
    </w:p>
    <w:p w14:paraId="4E6F8D8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（2）规划实施的环境监督</w:t>
      </w:r>
    </w:p>
    <w:p w14:paraId="6929E30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规划实施的环境监督主要以调查和公众参与的方式进行，对象包括利益相关方、社会团体和个人以及环境保护相关专业专家等。</w:t>
      </w:r>
    </w:p>
    <w:p w14:paraId="0AB4062F">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规划实施期内，在规划实施部门的网站上设置环境影响监督栏目，公布规划实施部门的环境影响投诉方式，收集公众意见，进行环境影响监督。</w:t>
      </w:r>
    </w:p>
    <w:p w14:paraId="49026C62">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公布的主要内容包括规划实施单位名称、地址、邮编、传真和电子邮箱等。</w:t>
      </w:r>
    </w:p>
    <w:p w14:paraId="5672873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公众可采用信函、传真、电子邮件等方式，实名向规划实施单位进行环境投诉与监督，投诉人应注明姓名、地址、邮编、联系电话、电子邮箱等。</w:t>
      </w:r>
    </w:p>
    <w:p w14:paraId="27CA8918">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规划实施单位应对公众反馈意见进行原始资料存档备查，并认真考虑公众意见，采取相应改进措施，进一步提高规划实施的环境效益。</w:t>
      </w:r>
    </w:p>
    <w:p w14:paraId="188D24C1">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（3）总结规划环境影响评价的经验和教训</w:t>
      </w:r>
    </w:p>
    <w:p w14:paraId="30FD414D">
      <w:pPr>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根据规划环境影响评价工作过程，结合规划实施后的实际环境影响、规划实施的环境影响监督情况，总结规划环境影响评价的经验和教训。</w:t>
      </w:r>
    </w:p>
    <w:p w14:paraId="7A6BEDD3">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跟踪评价期限</w:t>
      </w:r>
    </w:p>
    <w:p w14:paraId="08252D96">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跟踪评价期限与规划环评期限一致，同时，跟踪评价应结合规划项目环境保护验收调查和后评估工作时序情况开展。建议每隔五年进行一次跟踪评价。</w:t>
      </w:r>
    </w:p>
    <w:p w14:paraId="2F5F142A">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评价内容</w:t>
      </w:r>
    </w:p>
    <w:p w14:paraId="2EE77595">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（1）评价因子</w:t>
      </w:r>
    </w:p>
    <w:p w14:paraId="5A6DD4FB">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跟踪评价因子考虑工程规划实施后影响面广、影响时间长的环境因子，同时结合监测计划确定，包括水环境、水生生物、陆生生态、水土流失、社会环境、移民环境等。</w:t>
      </w:r>
    </w:p>
    <w:p w14:paraId="78AA36E1">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（2）评价方法</w:t>
      </w:r>
    </w:p>
    <w:p w14:paraId="6AA00857">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根据不同评价因子采用相应的跟踪评价方法。对水环境、水生生物、社会环境等可采用对比评价法，对陆生生物、水土流失等可采用对比法和叠图法同时进行。</w:t>
      </w:r>
    </w:p>
    <w:p w14:paraId="086D20B6">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（3）评价内容</w:t>
      </w:r>
    </w:p>
    <w:p w14:paraId="574B8D57">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评价内容包括评价规划实施后的实际环境影响，规划环境影响评价及其建议的减缓措施是否得到了有效实施，确定为进一步提高规划的环境效益所需的改进措施，以及对规划环境影响评价的经验和教训等。</w:t>
      </w:r>
    </w:p>
    <w:p w14:paraId="1A2D5C0E">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水文情势通过规划方案实施前后的监测资料，采用对比法，从时间、空间两个方面，分析评价规划实施后区域水资源量、水资源利用率、流量等效应、累积影响以及供水工程对受水区的影响。</w:t>
      </w:r>
    </w:p>
    <w:p w14:paraId="7B989BE2">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水温通过规划方案实施前后的监测资料，采用对比法，评价工程实施后对河段水温的累积影响及沿程恢复效应。</w:t>
      </w:r>
    </w:p>
    <w:p w14:paraId="6A5EB7B4">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质通过规划方案实施前后的监测资料，评价规划方案实施后水质的沿程变化情况，以及水功能区达标情况，同时，通过水质的变化情况，评价水资源保护措施的效应，以及还存在的问题，进一步改进措施，并总结经验。</w:t>
      </w:r>
    </w:p>
    <w:p w14:paraId="649EEB37">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生生物通过规划方案实施前后的调查监测资料，采用对比法，从时间、空间两个方面，对规划涉及河流鱼类的种类、种群、数量、优势种的变化，产卵场分布位置及数量的变化，浮游生物、底栖动物、水生高等植物的种群类型、数量、生物量的变化进行跟踪评价。</w:t>
      </w:r>
    </w:p>
    <w:p w14:paraId="7D6BB7E6">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陆生生态通过规划方案实施前后的调查监测资料，采用对比法和叠图法，从时间、空间两个方面，针对生物多样性、植被覆盖率、生物量、景观生态等方面进行跟踪评价。</w:t>
      </w:r>
    </w:p>
    <w:p w14:paraId="1BD40BB0">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水土流失通过规划方案实施前后的调查监测资料，采用对比法，从时间、空间两个方面，针对区域水土流失治理状况及采取的水土保持措施的效果进行跟踪评价。</w:t>
      </w:r>
    </w:p>
    <w:p w14:paraId="6417A392">
      <w:pPr>
        <w:pStyle w:val="37"/>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社会环境通过规划方案实施前后的调查资料，采用对比法，从时间、空间两个方面，针对区域水资源利用率、供水保证率、粮食产量、产业结构、国内生产总值以及移民生产生活水平等进行跟踪评价。</w:t>
      </w:r>
    </w:p>
    <w:p w14:paraId="19772526">
      <w:pPr>
        <w:pStyle w:val="6"/>
        <w:numPr>
          <w:ilvl w:val="3"/>
          <w:numId w:val="4"/>
        </w:numPr>
        <w:spacing w:before="374" w:after="249"/>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环境影响后评估方案</w:t>
      </w:r>
    </w:p>
    <w:p w14:paraId="432F6903">
      <w:pPr>
        <w:pStyle w:val="37"/>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环境影响后评价是以环境影响评价工作为基础，通过评估开发建设活动实施前后环境影响及周围环境质量变化，全面准确地反映建设项目对环境的实际影响和环境补偿措施的有效性，为环境管理和环境决策提供依据的一种技术手段。从全面检查</w:t>
      </w:r>
      <w:r>
        <w:rPr>
          <w:rFonts w:hint="eastAsia" w:cs="Times New Roman"/>
          <w:color w:val="auto"/>
          <w:highlight w:val="none"/>
          <w:lang w:val="en-US" w:eastAsia="zh-CN"/>
        </w:rPr>
        <w:t>生态</w:t>
      </w:r>
      <w:r>
        <w:rPr>
          <w:rFonts w:hint="default" w:ascii="Times New Roman" w:hAnsi="Times New Roman" w:eastAsia="宋体" w:cs="Times New Roman"/>
          <w:color w:val="auto"/>
          <w:highlight w:val="none"/>
        </w:rPr>
        <w:t>环境影响</w:t>
      </w:r>
      <w:r>
        <w:rPr>
          <w:rFonts w:hint="eastAsia" w:cs="Times New Roman"/>
          <w:color w:val="auto"/>
          <w:highlight w:val="none"/>
          <w:lang w:val="en-US" w:eastAsia="zh-CN"/>
        </w:rPr>
        <w:t>评价</w:t>
      </w:r>
      <w:r>
        <w:rPr>
          <w:rFonts w:hint="default" w:ascii="Times New Roman" w:hAnsi="Times New Roman" w:eastAsia="宋体" w:cs="Times New Roman"/>
          <w:color w:val="auto"/>
          <w:highlight w:val="none"/>
        </w:rPr>
        <w:t>报告书质量角度出发，环境影响后评估可以理解为对环境影响评价全过程、全方位以及最终结论的可靠性作出的全面模拟和验证。本规划环境影响后评估主要包括以下内容：</w:t>
      </w:r>
    </w:p>
    <w:p w14:paraId="3E692CDF">
      <w:pPr>
        <w:pStyle w:val="37"/>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（1）检验是否有本报告编写过程中未考虑到的遗漏的负面影响，分析其遗漏原因，影响来源，影响途径及对实际影响给出结论。</w:t>
      </w:r>
    </w:p>
    <w:p w14:paraId="38E4F669">
      <w:pPr>
        <w:pStyle w:val="37"/>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通过采样监测及专业人员的专题评估，评价水质是否超过规划控制标准，了解规划工程项目实施后实际造成的水温、水质、水文情势影响的程度，并与本报告中的预测分析成果进行对比分析，得出分析结论。</w:t>
      </w:r>
    </w:p>
    <w:p w14:paraId="35C211E8">
      <w:pPr>
        <w:pStyle w:val="37"/>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（3）通过调查走访和问卷调查，了解规划实施后工程项目所在区域农业及生态用水的影响，了解群众意愿，并得出分析结论。</w:t>
      </w:r>
    </w:p>
    <w:p w14:paraId="456C8043">
      <w:pPr>
        <w:pStyle w:val="37"/>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通过调查走访、资料收集了解规划实施后评价区内生物多样性、区系特征的变化情况，包括评价区动植物物种数量，种群数量、大小，区系组成、结构、类型等，与规划环评中的影响程度、范围进行对比分析。</w:t>
      </w:r>
    </w:p>
    <w:p w14:paraId="3F411985">
      <w:pPr>
        <w:pStyle w:val="37"/>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通过现场捕捞、收集渔业部门和访问当地群众，了解评价河段内鱼类种类、种群大小、数量、优势种群、区系特征、分布情况，尤其是土著鱼类、特有鱼类、珍稀保护等鱼类的调查评价，与规划环评中的结论进行对比分析，了解规划实施特有鱼类是否产生影响。</w:t>
      </w:r>
    </w:p>
    <w:p w14:paraId="2A57E4C1">
      <w:pPr>
        <w:pStyle w:val="37"/>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（6）通过实地调查走访和对相关职能部门的资料收集，了解工程项目涉及</w:t>
      </w:r>
      <w:bookmarkStart w:id="188" w:name="_GoBack"/>
      <w:bookmarkEnd w:id="188"/>
      <w:r>
        <w:rPr>
          <w:rFonts w:hint="default" w:ascii="Times New Roman" w:hAnsi="Times New Roman" w:eastAsia="宋体" w:cs="Times New Roman"/>
          <w:color w:val="auto"/>
          <w:highlight w:val="none"/>
          <w:lang w:val="en-US" w:eastAsia="zh-CN"/>
        </w:rPr>
        <w:t>的自然保护区、森林公园及风景名胜等环境敏感保护目标的当前状况，完成规划前后敏感保护目标的面积、生物多样性等各项指标的对比，以实际受影响程度与本规划环评中预测成果进行对比。</w:t>
      </w:r>
    </w:p>
    <w:p w14:paraId="194F1946">
      <w:pPr>
        <w:pStyle w:val="37"/>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）通过走访和公众参与等方式了解规划实施过程中动迁人口、生产安置人口的生活状况和规划实际带来的影响。</w:t>
      </w:r>
    </w:p>
    <w:p w14:paraId="12F86332">
      <w:pPr>
        <w:pStyle w:val="37"/>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经过对比分析后，应尽可能定量得出规划实施的实际影响与本规划环评中预测影响的对比结论，并分析本规划环评预测影响出现偏差的原因，提出进一步改进的意见和对策措施。</w:t>
      </w:r>
    </w:p>
    <w:p w14:paraId="21A89048">
      <w:pPr>
        <w:rPr>
          <w:rFonts w:hint="default" w:ascii="Times New Roman" w:hAnsi="Times New Roman" w:eastAsia="宋体" w:cs="Times New Roman"/>
          <w:color w:val="auto"/>
          <w:highlight w:val="none"/>
        </w:rPr>
        <w:sectPr>
          <w:pgSz w:w="11906" w:h="16838"/>
          <w:pgMar w:top="1440" w:right="1800" w:bottom="1440" w:left="1800" w:header="851" w:footer="992" w:gutter="0"/>
          <w:pgNumType w:fmt="decimal"/>
          <w:cols w:space="425" w:num="1"/>
          <w:docGrid w:type="lines" w:linePitch="312" w:charSpace="0"/>
        </w:sectPr>
      </w:pPr>
    </w:p>
    <w:p w14:paraId="0B7BE970">
      <w:pPr>
        <w:pStyle w:val="2"/>
        <w:numPr>
          <w:ilvl w:val="0"/>
          <w:numId w:val="3"/>
        </w:numPr>
        <w:spacing w:after="249"/>
        <w:rPr>
          <w:rFonts w:hint="default" w:ascii="Times New Roman" w:hAnsi="Times New Roman" w:eastAsia="宋体" w:cs="Times New Roman"/>
          <w:color w:val="auto"/>
          <w:highlight w:val="none"/>
        </w:rPr>
      </w:pPr>
      <w:bookmarkStart w:id="179" w:name="_Toc30376"/>
      <w:r>
        <w:rPr>
          <w:rFonts w:hint="default" w:ascii="Times New Roman" w:hAnsi="Times New Roman" w:eastAsia="宋体" w:cs="Times New Roman"/>
          <w:color w:val="auto"/>
          <w:highlight w:val="none"/>
        </w:rPr>
        <w:t>公众参与</w:t>
      </w:r>
      <w:bookmarkEnd w:id="179"/>
    </w:p>
    <w:p w14:paraId="24E44501">
      <w:pPr>
        <w:pStyle w:val="31"/>
        <w:keepNext/>
        <w:keepLines/>
        <w:numPr>
          <w:ilvl w:val="0"/>
          <w:numId w:val="4"/>
        </w:numPr>
        <w:spacing w:before="374" w:beforeLines="120" w:after="249" w:afterLines="80" w:line="288" w:lineRule="auto"/>
        <w:ind w:firstLineChars="0"/>
        <w:outlineLvl w:val="1"/>
        <w:rPr>
          <w:rFonts w:hint="default" w:ascii="Times New Roman" w:hAnsi="Times New Roman" w:eastAsia="宋体" w:cs="Times New Roman"/>
          <w:b/>
          <w:bCs/>
          <w:vanish/>
          <w:color w:val="auto"/>
          <w:sz w:val="32"/>
          <w:szCs w:val="32"/>
          <w:highlight w:val="none"/>
        </w:rPr>
      </w:pPr>
    </w:p>
    <w:p w14:paraId="76589064">
      <w:pPr>
        <w:pStyle w:val="3"/>
        <w:numPr>
          <w:ilvl w:val="1"/>
          <w:numId w:val="4"/>
        </w:numPr>
        <w:spacing w:before="374" w:after="249"/>
        <w:rPr>
          <w:rFonts w:hint="default" w:ascii="Times New Roman" w:hAnsi="Times New Roman" w:eastAsia="宋体" w:cs="Times New Roman"/>
          <w:color w:val="auto"/>
          <w:highlight w:val="none"/>
        </w:rPr>
      </w:pPr>
      <w:bookmarkStart w:id="180" w:name="_Toc12094"/>
      <w:r>
        <w:rPr>
          <w:rFonts w:hint="default" w:ascii="Times New Roman" w:hAnsi="Times New Roman" w:eastAsia="宋体" w:cs="Times New Roman"/>
          <w:color w:val="auto"/>
          <w:highlight w:val="none"/>
        </w:rPr>
        <w:t>公众参与的目的</w:t>
      </w:r>
      <w:bookmarkEnd w:id="180"/>
    </w:p>
    <w:p w14:paraId="4F414E38">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开展本次规划环境影响评价公众参与，严格依据《中华人民共和国生态环境法典》《规划环境影响评价条例》及相关技术导则要求，将公众参与贯穿于流域综合规划及环评工作全过程。</w:t>
      </w:r>
    </w:p>
    <w:p w14:paraId="17629F6D">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保障公众环境知情权：向流域范围内各级部门、企事业单位、社会团体、基层群众公开南盘江（曲靖市境内）流域综合规划的规划定位、总体布局、重大水利工程（罗师灌区工程、富源灌区工程、沾马灌区工程、曲靖市牛栏江德泽水库引水济曲工程、陆良县引水入陆工程、云南省南盘江（珠江源头）生态保护修复工程以及响水坝水库扩建工程等）、规划实施可能产生的水环境、地下水、生态等环境影响以及拟采取的环境保护对策措施，让社会各方充分了解规划与环评相关信息。</w:t>
      </w:r>
    </w:p>
    <w:p w14:paraId="3D8ACD59">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保障公众参与权与表达权：收集流域内受规划影响的行政主管部门、乡镇、村集体、工矿企业、农业经营主体、常住居民对流域开发、防洪减灾、水资源配置、水环境保护、水生态修复等方面的意见建议，倾听社会关切，识别重点环境问题。</w:t>
      </w:r>
    </w:p>
    <w:p w14:paraId="10F4A46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支撑规划方案与环保措施优化：充分吸纳合理的环境类公众意见，反馈至规划方案优化调整、环境影响识别、环境保护对策、跟踪监测计划编制工作中，提高流域规划的环境合理性与可行性。</w:t>
      </w:r>
    </w:p>
    <w:p w14:paraId="1452D6F0">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协调利益关系、化解环境风险：提前识别规划实施潜在的环境矛盾，做好沟通解释；区分环境类意见和征地、移民、经济补偿类诉求，非环境类诉求移交规划编制单位及地方主管部门处理；提高规划实施的社会可接受程度。</w:t>
      </w:r>
    </w:p>
    <w:p w14:paraId="14E1CB0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落实监督作用：为后续规划实施、规划跟踪评价奠定公众监督基础，发挥社会力量对流域保护治理工作的监督效能。</w:t>
      </w:r>
    </w:p>
    <w:p w14:paraId="1604D0F9">
      <w:pPr>
        <w:pStyle w:val="3"/>
        <w:numPr>
          <w:ilvl w:val="1"/>
          <w:numId w:val="4"/>
        </w:numPr>
        <w:spacing w:before="374" w:after="249"/>
        <w:rPr>
          <w:rFonts w:hint="default" w:ascii="Times New Roman" w:hAnsi="Times New Roman" w:eastAsia="宋体" w:cs="Times New Roman"/>
          <w:color w:val="auto"/>
          <w:highlight w:val="none"/>
        </w:rPr>
      </w:pPr>
      <w:bookmarkStart w:id="181" w:name="_Toc31526"/>
      <w:r>
        <w:rPr>
          <w:rFonts w:hint="default" w:ascii="Times New Roman" w:hAnsi="Times New Roman" w:eastAsia="宋体" w:cs="Times New Roman"/>
          <w:color w:val="auto"/>
          <w:highlight w:val="none"/>
        </w:rPr>
        <w:t>公众参与的作用</w:t>
      </w:r>
      <w:bookmarkEnd w:id="181"/>
    </w:p>
    <w:p w14:paraId="467E76DC">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提升规划环评成果科学性：流域规划涉及7个县（区），存在复杂区域性环境问题。通过部门、专家、基层公众多方参与，可以补充技术人员容易忽视的现场实际情况，弥补资料短板，完善环境影响识别，使环评结论和保护措施更加贴合流域实际。</w:t>
      </w:r>
    </w:p>
    <w:p w14:paraId="7CA2BDEB">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优化流域综合规划方案：公众参与收集的意见，可为规划工程布局、灌区建设、水库选址、河道治理、水生态保护提供参考，从环境保护角度推动规划方案比选，规避部分环境敏感区，减少规划实施带来的不利环境影响。</w:t>
      </w:r>
    </w:p>
    <w:p w14:paraId="0A5CE513">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防范区域性环境风险：有利于提前识别环境风险，在规划阶段就设置管控要求，实现风险前置防控。</w:t>
      </w:r>
    </w:p>
    <w:p w14:paraId="28CCB164">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协调社会各方利益，维护社会稳定：让受影响单位和群众充分表达诉求，搭建政府、规划编制单位与社会公众沟通渠道；对不属于环评范畴的移民、征地补偿诉求做好说明与移交处理，减少后续规划实施阶段的社会矛盾。</w:t>
      </w:r>
    </w:p>
    <w:p w14:paraId="4FBE189A">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普及流域生态环境保护意识：通过多渠道信息公开，宣传珠江源头南盘江流域水生态保护、水资源节约、地下水保护相关知识，提升流域内公众的生态环境保护意识。</w:t>
      </w:r>
    </w:p>
    <w:p w14:paraId="54B2D1A1">
      <w:pPr>
        <w:ind w:firstLine="480" w:firstLineChars="200"/>
        <w:rPr>
          <w:rFonts w:hint="default" w:ascii="Times New Roman" w:hAnsi="Times New Roman" w:cs="Times New Roman"/>
          <w:color w:val="auto"/>
          <w:highlight w:val="none"/>
        </w:rPr>
      </w:pPr>
      <w:r>
        <w:rPr>
          <w:rFonts w:hint="default" w:ascii="Times New Roman" w:hAnsi="Times New Roman" w:cs="Times New Roman"/>
          <w:color w:val="auto"/>
          <w:highlight w:val="none"/>
        </w:rPr>
        <w:t>满足法规程序合规性要求：履行规划环评法定程序，公众参与过程及成果是规划环评报告书重要组成部分，作为规划上报审查的支撑材料，保障整个规划环评工作程序合法有效。</w:t>
      </w:r>
    </w:p>
    <w:p w14:paraId="5B1C6FA1">
      <w:pPr>
        <w:pStyle w:val="3"/>
        <w:numPr>
          <w:ilvl w:val="1"/>
          <w:numId w:val="4"/>
        </w:numPr>
        <w:spacing w:before="374" w:after="249"/>
        <w:rPr>
          <w:rFonts w:hint="default" w:ascii="Times New Roman" w:hAnsi="Times New Roman" w:eastAsia="宋体" w:cs="Times New Roman"/>
          <w:color w:val="auto"/>
          <w:highlight w:val="none"/>
        </w:rPr>
      </w:pPr>
      <w:bookmarkStart w:id="182" w:name="_Toc4771"/>
      <w:r>
        <w:rPr>
          <w:rFonts w:hint="default" w:ascii="Times New Roman" w:hAnsi="Times New Roman" w:eastAsia="宋体" w:cs="Times New Roman"/>
          <w:color w:val="auto"/>
          <w:highlight w:val="none"/>
        </w:rPr>
        <w:t>公众参与过程</w:t>
      </w:r>
      <w:bookmarkEnd w:id="182"/>
    </w:p>
    <w:p w14:paraId="6E3B8D54">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本次公众参与的实施遵循知情、公开、平等、广泛、便利的原则，为最大程度地向公众知悉南盘江（曲靖市境内）流域规划方案实施对区域环境产生的影响，获取公众的意见和建议，环评单位根据《环境影响评价公众参与办法》（生态环境部令第4号），本次南盘江（曲靖市境内）流域综合规划环境影响评价公众参与通过网站公示进行首次信息公示。</w:t>
      </w:r>
    </w:p>
    <w:p w14:paraId="7463FAB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（1）网络公示</w:t>
      </w:r>
    </w:p>
    <w:p w14:paraId="3ABB97FF">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首次环境影响评价信息公开情况：</w:t>
      </w:r>
    </w:p>
    <w:p w14:paraId="6E1F554E">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 xml:space="preserve">2026年8月6日曲靖市重点水利项目建设管理中心对南盘江（曲靖市境内）流域综合规划环境影响评价信息进行了第一次公示，如下图所示。网址为：曲靖市人民政府信息公开  </w:t>
      </w:r>
      <w:r>
        <w:rPr>
          <w:rFonts w:hint="default" w:ascii="Times New Roman" w:hAnsi="Times New Roman" w:cs="Times New Roman"/>
          <w:color w:val="auto"/>
          <w:highlight w:val="none"/>
        </w:rPr>
        <w:fldChar w:fldCharType="begin"/>
      </w:r>
      <w:r>
        <w:rPr>
          <w:rFonts w:hint="default" w:ascii="Times New Roman" w:hAnsi="Times New Roman" w:cs="Times New Roman"/>
          <w:color w:val="auto"/>
          <w:highlight w:val="none"/>
        </w:rPr>
        <w:instrText xml:space="preserve"> HYPERLINK "https://www.qj.gov.cn/html/2026/tzgg_0806/277458.html" </w:instrText>
      </w:r>
      <w:r>
        <w:rPr>
          <w:rFonts w:hint="default" w:ascii="Times New Roman" w:hAnsi="Times New Roman" w:cs="Times New Roman"/>
          <w:color w:val="auto"/>
          <w:highlight w:val="none"/>
        </w:rPr>
        <w:fldChar w:fldCharType="separate"/>
      </w:r>
      <w:r>
        <w:rPr>
          <w:rStyle w:val="27"/>
          <w:rFonts w:hint="default" w:ascii="Times New Roman" w:hAnsi="Times New Roman" w:cs="Times New Roman"/>
          <w:color w:val="auto"/>
          <w:sz w:val="24"/>
          <w:szCs w:val="24"/>
          <w:highlight w:val="none"/>
        </w:rPr>
        <w:t>https://www.qj.gov.cn/html/2026/tzgg_0806/277458.html</w:t>
      </w:r>
      <w:r>
        <w:rPr>
          <w:rStyle w:val="27"/>
          <w:rFonts w:hint="default" w:ascii="Times New Roman" w:hAnsi="Times New Roman" w:cs="Times New Roman"/>
          <w:color w:val="auto"/>
          <w:sz w:val="24"/>
          <w:szCs w:val="24"/>
          <w:highlight w:val="none"/>
        </w:rPr>
        <w:fldChar w:fldCharType="end"/>
      </w:r>
      <w:r>
        <w:rPr>
          <w:rFonts w:hint="default" w:ascii="Times New Roman" w:hAnsi="Times New Roman" w:cs="Times New Roman"/>
          <w:color w:val="auto"/>
          <w:highlight w:val="none"/>
        </w:rPr>
        <w:t>。</w:t>
      </w:r>
    </w:p>
    <w:p w14:paraId="3AF1276A">
      <w:pP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0" distR="0">
            <wp:extent cx="5274310" cy="8027670"/>
            <wp:effectExtent l="0" t="0" r="2540" b="11430"/>
            <wp:docPr id="115633504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335048" name="图片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5274310" cy="8027670"/>
                    </a:xfrm>
                    <a:prstGeom prst="rect">
                      <a:avLst/>
                    </a:prstGeom>
                    <a:noFill/>
                    <a:ln>
                      <a:noFill/>
                    </a:ln>
                  </pic:spPr>
                </pic:pic>
              </a:graphicData>
            </a:graphic>
          </wp:inline>
        </w:drawing>
      </w:r>
    </w:p>
    <w:p w14:paraId="254E73CC">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自信息公示之日起，目前暂未接收到单位或个人意见反馈。</w:t>
      </w:r>
    </w:p>
    <w:p w14:paraId="6C7C1DF1">
      <w:pPr>
        <w:rPr>
          <w:rFonts w:hint="default" w:ascii="Times New Roman" w:hAnsi="Times New Roman" w:eastAsia="宋体" w:cs="Times New Roman"/>
          <w:color w:val="auto"/>
          <w:highlight w:val="none"/>
        </w:rPr>
      </w:pPr>
    </w:p>
    <w:p w14:paraId="239C9248">
      <w:pPr>
        <w:ind w:firstLine="480"/>
        <w:rPr>
          <w:rFonts w:hint="default" w:ascii="Times New Roman" w:hAnsi="Times New Roman" w:cs="Times New Roman"/>
          <w:color w:val="auto"/>
          <w:highlight w:val="none"/>
        </w:rPr>
      </w:pPr>
      <w:r>
        <w:rPr>
          <w:rFonts w:hint="default" w:ascii="Times New Roman" w:hAnsi="Times New Roman" w:cs="Times New Roman"/>
          <w:color w:val="auto"/>
          <w:highlight w:val="none"/>
        </w:rPr>
        <w:t>（2）后续公众参与过程</w:t>
      </w:r>
    </w:p>
    <w:p w14:paraId="03FD357B">
      <w:pPr>
        <w:ind w:firstLine="480"/>
        <w:rPr>
          <w:rFonts w:hint="default" w:ascii="Times New Roman" w:hAnsi="Times New Roman" w:eastAsia="宋体" w:cs="Times New Roman"/>
          <w:color w:val="auto"/>
          <w:highlight w:val="none"/>
        </w:rPr>
        <w:sectPr>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cs="Times New Roman"/>
          <w:color w:val="auto"/>
          <w:highlight w:val="none"/>
        </w:rPr>
        <w:t>根据《环境影响评价公众参与办法》，南盘江（曲靖市境内）流域综合规划</w:t>
      </w:r>
      <w:r>
        <w:rPr>
          <w:rFonts w:hint="eastAsia" w:cs="Times New Roman"/>
          <w:color w:val="auto"/>
          <w:highlight w:val="none"/>
          <w:lang w:val="en-US" w:eastAsia="zh-CN"/>
        </w:rPr>
        <w:t>生态</w:t>
      </w:r>
      <w:r>
        <w:rPr>
          <w:rFonts w:hint="default" w:ascii="Times New Roman" w:hAnsi="Times New Roman" w:cs="Times New Roman"/>
          <w:color w:val="auto"/>
          <w:highlight w:val="none"/>
        </w:rPr>
        <w:t>环境影响</w:t>
      </w:r>
      <w:r>
        <w:rPr>
          <w:rFonts w:hint="eastAsia" w:cs="Times New Roman"/>
          <w:color w:val="auto"/>
          <w:highlight w:val="none"/>
          <w:lang w:val="en-US" w:eastAsia="zh-CN"/>
        </w:rPr>
        <w:t>评价</w:t>
      </w:r>
      <w:r>
        <w:rPr>
          <w:rFonts w:hint="default" w:ascii="Times New Roman" w:hAnsi="Times New Roman" w:cs="Times New Roman"/>
          <w:color w:val="auto"/>
          <w:highlight w:val="none"/>
        </w:rPr>
        <w:t>报告书征求意见稿形成后，将通过网络平台、建设项目所在地公众易于接触的报纸方式公开相关信息，征求与该建设项目环境影响有关的意见。</w:t>
      </w:r>
    </w:p>
    <w:p w14:paraId="58A3E306">
      <w:pPr>
        <w:pStyle w:val="2"/>
        <w:numPr>
          <w:ilvl w:val="0"/>
          <w:numId w:val="3"/>
        </w:numPr>
        <w:spacing w:after="249"/>
        <w:rPr>
          <w:rFonts w:hint="default" w:ascii="Times New Roman" w:hAnsi="Times New Roman" w:eastAsia="宋体" w:cs="Times New Roman"/>
          <w:color w:val="auto"/>
          <w:highlight w:val="none"/>
        </w:rPr>
      </w:pPr>
      <w:bookmarkStart w:id="183" w:name="_Toc1535"/>
      <w:r>
        <w:rPr>
          <w:rFonts w:hint="default" w:ascii="Times New Roman" w:hAnsi="Times New Roman" w:eastAsia="宋体" w:cs="Times New Roman"/>
          <w:color w:val="auto"/>
          <w:highlight w:val="none"/>
        </w:rPr>
        <w:t>评价结论与建议</w:t>
      </w:r>
      <w:bookmarkEnd w:id="183"/>
    </w:p>
    <w:p w14:paraId="488850FC">
      <w:pPr>
        <w:pStyle w:val="31"/>
        <w:keepNext/>
        <w:keepLines/>
        <w:numPr>
          <w:ilvl w:val="0"/>
          <w:numId w:val="4"/>
        </w:numPr>
        <w:spacing w:before="374" w:beforeLines="120" w:after="249" w:afterLines="80" w:line="288" w:lineRule="auto"/>
        <w:ind w:firstLineChars="0"/>
        <w:outlineLvl w:val="1"/>
        <w:rPr>
          <w:rFonts w:hint="default" w:ascii="Times New Roman" w:hAnsi="Times New Roman" w:eastAsia="宋体" w:cs="Times New Roman"/>
          <w:b/>
          <w:bCs/>
          <w:vanish/>
          <w:color w:val="auto"/>
          <w:sz w:val="32"/>
          <w:szCs w:val="32"/>
          <w:highlight w:val="none"/>
        </w:rPr>
      </w:pPr>
    </w:p>
    <w:p w14:paraId="1EB91750">
      <w:pPr>
        <w:pStyle w:val="3"/>
        <w:numPr>
          <w:ilvl w:val="1"/>
          <w:numId w:val="4"/>
        </w:numPr>
        <w:spacing w:before="374" w:after="249"/>
        <w:rPr>
          <w:rFonts w:hint="default" w:ascii="Times New Roman" w:hAnsi="Times New Roman" w:eastAsia="宋体" w:cs="Times New Roman"/>
          <w:color w:val="auto"/>
          <w:highlight w:val="none"/>
        </w:rPr>
      </w:pPr>
      <w:bookmarkStart w:id="184" w:name="_Toc15392"/>
      <w:bookmarkStart w:id="185" w:name="OLE_LINK26"/>
      <w:bookmarkStart w:id="186" w:name="OLE_LINK25"/>
      <w:r>
        <w:rPr>
          <w:rFonts w:hint="default" w:ascii="Times New Roman" w:hAnsi="Times New Roman" w:eastAsia="宋体" w:cs="Times New Roman"/>
          <w:color w:val="auto"/>
          <w:highlight w:val="none"/>
        </w:rPr>
        <w:t>综合评价结论</w:t>
      </w:r>
      <w:bookmarkEnd w:id="184"/>
    </w:p>
    <w:bookmarkEnd w:id="185"/>
    <w:bookmarkEnd w:id="186"/>
    <w:p w14:paraId="53BFEB8C">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南盘江（曲靖市境内）流域综合规划以筑牢珠江源头生态安全屏障、完善流域水安全保障体系、统筹水资源开发利用与生态环境保护为目标，布局防洪减灾、水资源配置、城乡供水、农业灌溉、</w:t>
      </w:r>
      <w:r>
        <w:rPr>
          <w:rFonts w:hint="default" w:ascii="Times New Roman" w:hAnsi="Times New Roman" w:eastAsia="宋体" w:cs="Times New Roman"/>
          <w:color w:val="auto"/>
          <w:highlight w:val="none"/>
          <w:lang w:val="en-US" w:eastAsia="zh-CN"/>
        </w:rPr>
        <w:t>水资源保护、</w:t>
      </w:r>
      <w:r>
        <w:rPr>
          <w:rFonts w:hint="default" w:ascii="Times New Roman" w:hAnsi="Times New Roman" w:eastAsia="宋体" w:cs="Times New Roman"/>
          <w:color w:val="auto"/>
          <w:highlight w:val="none"/>
        </w:rPr>
        <w:t>河湖生态修复、水土保持等任务，对支撑曲靖市经济社会高质量发展、保障区域供水安全、粮食安全具有重要作用。规划符合《珠江流域综合规划》上位部署，符合国家及云南省水利、生态环境保护相关法律法规政策，规划所属水利工程项目属于《产业结构调整指导目录（2024 年本）》鼓励类范畴。</w:t>
      </w:r>
    </w:p>
    <w:p w14:paraId="59D43CAD">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 xml:space="preserve">规划贯彻生态优先、绿色发展理念，坚持 </w:t>
      </w:r>
      <w:r>
        <w:rPr>
          <w:rFonts w:hint="eastAsia" w:cs="Times New Roman"/>
          <w:color w:val="auto"/>
          <w:highlight w:val="none"/>
          <w:lang w:eastAsia="zh-CN"/>
        </w:rPr>
        <w:t>“节水优先、空间均衡、系统治理、两手发力”</w:t>
      </w:r>
      <w:r>
        <w:rPr>
          <w:rFonts w:hint="default" w:ascii="Times New Roman" w:hAnsi="Times New Roman" w:eastAsia="宋体" w:cs="Times New Roman"/>
          <w:color w:val="auto"/>
          <w:highlight w:val="none"/>
        </w:rPr>
        <w:t xml:space="preserve"> 治水思路，充分考虑珠江源头喀斯特脆弱生态本底，将生态保护修复、水土保持、水源涵养纳入规划主要任务，兼顾开发与保护，统筹协调防洪、供水、灌溉、发电与生态用水关系，体现了资源环境可持续发展理念。规划实施可完善流域防洪减灾体系，优化水资源配置格局，提升城乡生活、工业及高原特色农业灌溉保障能力，推进河湖生态治理修复，提高水土保持率，整体对流域社会、经济、生态产生有利效益，基本能够满足流域水环境保护、陆生与水生生物多样性、生态系统完整性保护总体要求。</w:t>
      </w:r>
    </w:p>
    <w:p w14:paraId="5AA3FEBA">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结合流域开发回顾性评价成果，规划实施仍将带来一定的不利环境影响。新建水库、引调水、灌区、堤防等工程的淹没、永久及临时占地将造成局部林地、耕地损失，对喀斯特区陆生植被、保护动植物、栖息地产生扰动；闸坝建设会改变河流天然水文情势，造成局部河流生境片段化，高坝水库存在低温水下泄风险；大型灌区规模化发展将增大农业面源污染压力</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同时，规划实施还需要面对历史遗留问题：早期小水电整改生态流量调度不足、河流纵向连通性差等</w:t>
      </w:r>
      <w:r>
        <w:rPr>
          <w:rFonts w:hint="default" w:ascii="Times New Roman" w:hAnsi="Times New Roman" w:eastAsia="宋体" w:cs="Times New Roman"/>
          <w:color w:val="auto"/>
          <w:highlight w:val="none"/>
          <w:lang w:val="en-US" w:eastAsia="zh-CN"/>
        </w:rPr>
        <w:t>问题</w:t>
      </w:r>
      <w:r>
        <w:rPr>
          <w:rFonts w:hint="default" w:ascii="Times New Roman" w:hAnsi="Times New Roman" w:eastAsia="宋体" w:cs="Times New Roman"/>
          <w:color w:val="auto"/>
          <w:highlight w:val="none"/>
        </w:rPr>
        <w:t>，需要在规划落地过程中予以化解。</w:t>
      </w:r>
    </w:p>
    <w:p w14:paraId="68AD03A5">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划阶段工程方案深度有限，部分工程选址、占地范围尚未完全明确，部分工程与生态保护红线、自然保护区、饮用水水源保护区的空间位置关系有待下阶段进一步核实。总体来看，规划产生的各类不利影响大多集中在工程局部范围，通过优化规划布局、规模、实施时序，落实预防‑减缓‑修复‑补偿</w:t>
      </w:r>
      <w:r>
        <w:rPr>
          <w:rFonts w:hint="default" w:ascii="Times New Roman" w:hAnsi="Times New Roman" w:eastAsia="宋体" w:cs="Times New Roman"/>
          <w:color w:val="auto"/>
          <w:highlight w:val="none"/>
          <w:lang w:val="en-US" w:eastAsia="zh-CN"/>
        </w:rPr>
        <w:t>的</w:t>
      </w:r>
      <w:r>
        <w:rPr>
          <w:rFonts w:hint="default" w:ascii="Times New Roman" w:hAnsi="Times New Roman" w:eastAsia="宋体" w:cs="Times New Roman"/>
          <w:color w:val="auto"/>
          <w:highlight w:val="none"/>
        </w:rPr>
        <w:t>生态环境保护对策，开展系统治理，多数不利影响可以得到减轻、规避或者补偿。</w:t>
      </w:r>
    </w:p>
    <w:p w14:paraId="64003E08">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综上，从环境角度分析，本规划总体符合国家、云南省生态环境保护政策导向，在落实本报告提出的规划优化调整建议、各项生态环境保护措施、跟踪评价要求前提下，规划方案环境可行。</w:t>
      </w:r>
    </w:p>
    <w:p w14:paraId="15D8BD2F">
      <w:pPr>
        <w:pStyle w:val="3"/>
        <w:numPr>
          <w:ilvl w:val="1"/>
          <w:numId w:val="4"/>
        </w:numPr>
        <w:spacing w:before="374" w:after="249"/>
        <w:rPr>
          <w:rFonts w:hint="default" w:ascii="Times New Roman" w:hAnsi="Times New Roman" w:eastAsia="宋体" w:cs="Times New Roman"/>
          <w:color w:val="auto"/>
          <w:highlight w:val="none"/>
        </w:rPr>
      </w:pPr>
      <w:bookmarkStart w:id="187" w:name="_Toc28688"/>
      <w:r>
        <w:rPr>
          <w:rFonts w:hint="default" w:ascii="Times New Roman" w:hAnsi="Times New Roman" w:eastAsia="宋体" w:cs="Times New Roman"/>
          <w:color w:val="auto"/>
          <w:highlight w:val="none"/>
        </w:rPr>
        <w:t>建议</w:t>
      </w:r>
      <w:r>
        <w:rPr>
          <w:rFonts w:hint="default" w:ascii="Times New Roman" w:hAnsi="Times New Roman" w:eastAsia="宋体" w:cs="Times New Roman"/>
          <w:color w:val="auto"/>
          <w:highlight w:val="none"/>
          <w:lang w:val="en-US" w:eastAsia="zh-CN"/>
        </w:rPr>
        <w:t>与要求</w:t>
      </w:r>
      <w:bookmarkEnd w:id="187"/>
    </w:p>
    <w:p w14:paraId="247A7E49">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强化环境敏感区空间核实与方案避让。现阶段规划方案深度有限，下阶段开展各项目可研及项目环评时，应逐一核实规划水库、引调水、灌区、河道治理工程与生态保护红线、珠江源省级自然保护区、各级饮用水水源保护区、野生动物重要栖息地的空间位置关系。工程原则上优先采取方案调整予以避让；若涉及自然保护区核心区、缓冲区必须无条件避让；确无法避让生态保护红线、保护地实验区的，应充分开展工程必要性、不可避让论证，严格履行报批程序，取得行业主管部门意见后方可实施。同时优化料场、渣场、施工营地等临时工程选址，尽量避开各类环境敏感目标。</w:t>
      </w:r>
    </w:p>
    <w:p w14:paraId="335DE139">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2）严格落实生态流量科学论证与调度管控。已建工程吸取小水电清理整改暴露的问题，摒弃简单按固定比例下放生态流量的模式；规划新建水库、闸坝工程前期工作阶段，严格执行《水利水电工程生态流量计算与泄放设计规范》（SL/T 820‑2023），结合土著鱼类繁殖节律开展生态流量专题论证，设置适配的泄放建筑物；高坝水库应开展低温水下泄影响专题论证，必要时配套分层取水设施，减缓低温水对下游水生生物、农业生产的不利影响；完善生态流量在线监测，落实动态调度机制。</w:t>
      </w:r>
    </w:p>
    <w:p w14:paraId="652F299B">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高度重视移民安置环境合理性。各水库工程在可行性研究阶段编制移民安置规划，安置方案充分结合区域资源环境承载力，衔接地方国土空间规划，充分征求移民群众意见，统筹生产生活安置，防控安置区水土流失、面源污染等次生环境问题。</w:t>
      </w:r>
    </w:p>
    <w:p w14:paraId="7823050E">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4）强化生态监测。下阶段应系统开展陆生珍稀保护动植物、土著水生生物资源调查监测，完善物种资源本底资料；针对土著鱼类开展栖息地、增殖放流专题研究，科学确定增殖放流物种、规模，禁止外来物种放流；建立流域陆生‑水生生物长期监测网络，为生物多样性保护、工程生态保护措施优化提供科学支撑。</w:t>
      </w:r>
    </w:p>
    <w:p w14:paraId="4D8042D6">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5）加强库区及流域水环境管控。新建及现状水库严格落实水功能区水质管控目标，控制区域入河污染负荷；重点关注罗师灌区、富源灌区、沾马灌区农业退水带来的氮磷面源风险；重视库湾富营养化风险防控。</w:t>
      </w:r>
    </w:p>
    <w:p w14:paraId="28C9CB77">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（6）落实规划跟踪评价与项目环评联动机制。本规划涉及工程数量多、空间跨度大、实施周期长，应按照 HJ1218‑2021 要求开展规划环境影响跟踪评价，围绕本报告建立的评价指标体系开展定期监测；重点关注栖息地破碎化、生态流量保障、石漠化风险、土著鱼类资源变化，对发现的重大环境问题及时优化工程布局、建设时序与调度方案；后续具体建设项目开展环评时，应落实本规划环评提出的约束要求，复核工程环境影响，细化完善生态保护、水土保持措施。</w:t>
      </w:r>
    </w:p>
    <w:p w14:paraId="673B88A9">
      <w:pPr>
        <w:ind w:firstLine="480" w:firstLineChars="20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val="en-US" w:eastAsia="zh-CN"/>
        </w:rPr>
        <w:t>7</w:t>
      </w:r>
      <w:r>
        <w:rPr>
          <w:rFonts w:hint="default" w:ascii="Times New Roman" w:hAnsi="Times New Roman" w:eastAsia="宋体" w:cs="Times New Roman"/>
          <w:color w:val="auto"/>
          <w:highlight w:val="none"/>
        </w:rPr>
        <w:t>）统筹水陆复合生态系统保护。重视河湖自然岸线保护，河道治理工程优先采用生态护岸，尽量维持河漫滩、库周消落带等水陆过渡生境；规划新建线状工程（渠道、堤防）要充分评估陆生动物阻隔影响，根据需要设置两栖爬行类、小型兽类生态通行通道，减缓栖息地破碎化影响。</w:t>
      </w:r>
    </w:p>
    <w:p w14:paraId="455912E5">
      <w:pPr>
        <w:pStyle w:val="4"/>
        <w:rPr>
          <w:rFonts w:hint="default" w:ascii="Times New Roman" w:hAnsi="Times New Roman" w:cs="Times New Roman"/>
          <w:color w:val="auto"/>
          <w:highlight w:val="none"/>
        </w:rPr>
      </w:pPr>
    </w:p>
    <w:p w14:paraId="372B6CB9">
      <w:pPr>
        <w:rPr>
          <w:rFonts w:hint="default" w:ascii="Times New Roman" w:hAnsi="Times New Roman" w:eastAsia="宋体" w:cs="Times New Roman"/>
          <w:color w:val="auto"/>
          <w:highlight w:val="none"/>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仿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黑体_GBK">
    <w:altName w:val="Arial Unicode MS"/>
    <w:panose1 w:val="03000509000000000000"/>
    <w:charset w:val="86"/>
    <w:family w:val="script"/>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21770">
    <w:pPr>
      <w:pStyle w:val="1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4BE2DA">
                          <w:pPr>
                            <w:pStyle w:val="15"/>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F4BE2DA">
                    <w:pPr>
                      <w:pStyle w:val="15"/>
                    </w:pPr>
                    <w:r>
                      <w:fldChar w:fldCharType="begin"/>
                    </w:r>
                    <w:r>
                      <w:instrText xml:space="preserve"> PAGE  \* MERGEFORMAT </w:instrText>
                    </w:r>
                    <w:r>
                      <w:fldChar w:fldCharType="separate"/>
                    </w:r>
                    <w:r>
                      <w:t>3</w:t>
                    </w:r>
                    <w:r>
                      <w:fldChar w:fldCharType="end"/>
                    </w:r>
                  </w:p>
                </w:txbxContent>
              </v:textbox>
            </v:shape>
          </w:pict>
        </mc:Fallback>
      </mc:AlternateContent>
    </w:r>
  </w:p>
  <w:p w14:paraId="54291E5B">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CADC8">
    <w:pPr>
      <w:pStyle w:val="15"/>
      <w:framePr w:wrap="around" w:vAnchor="text" w:hAnchor="margin" w:xAlign="center" w:y="1"/>
      <w:rPr>
        <w:rStyle w:val="26"/>
        <w:color w:val="262626" w:themeColor="text1" w:themeTint="D9"/>
        <w14:textFill>
          <w14:solidFill>
            <w14:schemeClr w14:val="tx1">
              <w14:lumMod w14:val="85000"/>
              <w14:lumOff w14:val="15000"/>
            </w14:schemeClr>
          </w14:solidFill>
        </w14:textFill>
      </w:rPr>
    </w:pPr>
    <w:r>
      <w:rPr>
        <w:rStyle w:val="26"/>
        <w:color w:val="262626" w:themeColor="text1" w:themeTint="D9"/>
        <w14:textFill>
          <w14:solidFill>
            <w14:schemeClr w14:val="tx1">
              <w14:lumMod w14:val="85000"/>
              <w14:lumOff w14:val="15000"/>
            </w14:schemeClr>
          </w14:solidFill>
        </w14:textFill>
      </w:rPr>
      <w:fldChar w:fldCharType="begin"/>
    </w:r>
    <w:r>
      <w:rPr>
        <w:rStyle w:val="26"/>
        <w:color w:val="262626" w:themeColor="text1" w:themeTint="D9"/>
        <w14:textFill>
          <w14:solidFill>
            <w14:schemeClr w14:val="tx1">
              <w14:lumMod w14:val="85000"/>
              <w14:lumOff w14:val="15000"/>
            </w14:schemeClr>
          </w14:solidFill>
        </w14:textFill>
      </w:rPr>
      <w:instrText xml:space="preserve">PAGE  </w:instrText>
    </w:r>
    <w:r>
      <w:rPr>
        <w:rStyle w:val="26"/>
        <w:color w:val="262626" w:themeColor="text1" w:themeTint="D9"/>
        <w14:textFill>
          <w14:solidFill>
            <w14:schemeClr w14:val="tx1">
              <w14:lumMod w14:val="85000"/>
              <w14:lumOff w14:val="15000"/>
            </w14:schemeClr>
          </w14:solidFill>
        </w14:textFill>
      </w:rPr>
      <w:fldChar w:fldCharType="end"/>
    </w:r>
  </w:p>
  <w:p w14:paraId="78EFA4A1">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CEBBD">
    <w:pPr>
      <w:pStyle w:val="15"/>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A713C4">
                          <w:pPr>
                            <w:pStyle w:val="1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6AA713C4">
                    <w:pPr>
                      <w:pStyle w:val="15"/>
                    </w:pPr>
                    <w:r>
                      <w:fldChar w:fldCharType="begin"/>
                    </w:r>
                    <w:r>
                      <w:instrText xml:space="preserve"> PAGE  \* MERGEFORMAT </w:instrText>
                    </w:r>
                    <w:r>
                      <w:fldChar w:fldCharType="separate"/>
                    </w:r>
                    <w:r>
                      <w:t>5</w:t>
                    </w:r>
                    <w:r>
                      <w:fldChar w:fldCharType="end"/>
                    </w:r>
                  </w:p>
                </w:txbxContent>
              </v:textbox>
            </v:shape>
          </w:pict>
        </mc:Fallback>
      </mc:AlternateContent>
    </w:r>
  </w:p>
  <w:p w14:paraId="7829912D">
    <w:pPr>
      <w:pStyle w:val="1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F0252">
    <w:pPr>
      <w:pStyle w:val="15"/>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3728D8">
                          <w:pPr>
                            <w:pStyle w:val="1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93728D8">
                    <w:pPr>
                      <w:pStyle w:val="15"/>
                    </w:pPr>
                    <w:r>
                      <w:fldChar w:fldCharType="begin"/>
                    </w:r>
                    <w:r>
                      <w:instrText xml:space="preserve"> PAGE  \* MERGEFORMAT </w:instrText>
                    </w:r>
                    <w:r>
                      <w:fldChar w:fldCharType="separate"/>
                    </w:r>
                    <w:r>
                      <w:t>5</w:t>
                    </w:r>
                    <w:r>
                      <w:fldChar w:fldCharType="end"/>
                    </w:r>
                  </w:p>
                </w:txbxContent>
              </v:textbox>
            </v:shape>
          </w:pict>
        </mc:Fallback>
      </mc:AlternateContent>
    </w:r>
  </w:p>
  <w:p w14:paraId="27A59917">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AF4B1">
    <w:pPr>
      <w:pStyle w:val="1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747434">
                          <w:pPr>
                            <w:pStyle w:val="1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11747434">
                    <w:pPr>
                      <w:pStyle w:val="15"/>
                    </w:pPr>
                    <w:r>
                      <w:fldChar w:fldCharType="begin"/>
                    </w:r>
                    <w:r>
                      <w:instrText xml:space="preserve"> PAGE  \* MERGEFORMAT </w:instrText>
                    </w:r>
                    <w:r>
                      <w:fldChar w:fldCharType="separate"/>
                    </w:r>
                    <w:r>
                      <w:t>5</w:t>
                    </w:r>
                    <w:r>
                      <w:fldChar w:fldCharType="end"/>
                    </w:r>
                  </w:p>
                </w:txbxContent>
              </v:textbox>
            </v:shape>
          </w:pict>
        </mc:Fallback>
      </mc:AlternateContent>
    </w:r>
  </w:p>
  <w:p w14:paraId="623190F9">
    <w:pPr>
      <w:pStyle w:val="1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0FE598">
    <w:pPr>
      <w:ind w:firstLine="480"/>
      <w:jc w:val="cente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0565"/>
                          </w:sdtPr>
                          <w:sdtContent>
                            <w:p w14:paraId="231AEE68">
                              <w:pPr>
                                <w:ind w:firstLine="480"/>
                                <w:jc w:val="center"/>
                              </w:pPr>
                              <w:r>
                                <w:rPr>
                                  <w:rFonts w:cs="Times New Roman"/>
                                  <w:sz w:val="18"/>
                                  <w:szCs w:val="18"/>
                                </w:rPr>
                                <w:fldChar w:fldCharType="begin"/>
                              </w:r>
                              <w:r>
                                <w:rPr>
                                  <w:rFonts w:cs="Times New Roman"/>
                                  <w:sz w:val="18"/>
                                  <w:szCs w:val="18"/>
                                </w:rPr>
                                <w:instrText xml:space="preserve">PAGE   \* MERGEFORMAT</w:instrText>
                              </w:r>
                              <w:r>
                                <w:rPr>
                                  <w:rFonts w:cs="Times New Roman"/>
                                  <w:sz w:val="18"/>
                                  <w:szCs w:val="18"/>
                                </w:rPr>
                                <w:fldChar w:fldCharType="separate"/>
                              </w:r>
                              <w:r>
                                <w:rPr>
                                  <w:rFonts w:cs="Times New Roman"/>
                                  <w:sz w:val="18"/>
                                  <w:szCs w:val="18"/>
                                  <w:lang w:val="zh-CN"/>
                                </w:rPr>
                                <w:t>390</w:t>
                              </w:r>
                              <w:r>
                                <w:rPr>
                                  <w:rFonts w:cs="Times New Roman"/>
                                  <w:sz w:val="18"/>
                                  <w:szCs w:val="18"/>
                                </w:rPr>
                                <w:fldChar w:fldCharType="end"/>
                              </w:r>
                            </w:p>
                          </w:sdtContent>
                        </w:sdt>
                        <w:p w14:paraId="046C2A83"/>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sdt>
                    <w:sdtPr>
                      <w:id w:val="147480565"/>
                    </w:sdtPr>
                    <w:sdtContent>
                      <w:p w14:paraId="231AEE68">
                        <w:pPr>
                          <w:ind w:firstLine="480"/>
                          <w:jc w:val="center"/>
                        </w:pPr>
                        <w:r>
                          <w:rPr>
                            <w:rFonts w:cs="Times New Roman"/>
                            <w:sz w:val="18"/>
                            <w:szCs w:val="18"/>
                          </w:rPr>
                          <w:fldChar w:fldCharType="begin"/>
                        </w:r>
                        <w:r>
                          <w:rPr>
                            <w:rFonts w:cs="Times New Roman"/>
                            <w:sz w:val="18"/>
                            <w:szCs w:val="18"/>
                          </w:rPr>
                          <w:instrText xml:space="preserve">PAGE   \* MERGEFORMAT</w:instrText>
                        </w:r>
                        <w:r>
                          <w:rPr>
                            <w:rFonts w:cs="Times New Roman"/>
                            <w:sz w:val="18"/>
                            <w:szCs w:val="18"/>
                          </w:rPr>
                          <w:fldChar w:fldCharType="separate"/>
                        </w:r>
                        <w:r>
                          <w:rPr>
                            <w:rFonts w:cs="Times New Roman"/>
                            <w:sz w:val="18"/>
                            <w:szCs w:val="18"/>
                            <w:lang w:val="zh-CN"/>
                          </w:rPr>
                          <w:t>390</w:t>
                        </w:r>
                        <w:r>
                          <w:rPr>
                            <w:rFonts w:cs="Times New Roman"/>
                            <w:sz w:val="18"/>
                            <w:szCs w:val="18"/>
                          </w:rPr>
                          <w:fldChar w:fldCharType="end"/>
                        </w:r>
                      </w:p>
                    </w:sdtContent>
                  </w:sdt>
                  <w:p w14:paraId="046C2A83"/>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60C99">
    <w:pPr>
      <w:pStyle w:val="16"/>
      <w:pBdr>
        <w:bottom w:val="single" w:color="auto" w:sz="4" w:space="1"/>
      </w:pBdr>
      <w:jc w:val="center"/>
      <w:rPr>
        <w:rFonts w:asciiTheme="majorEastAsia" w:hAnsiTheme="majorEastAsia" w:eastAsiaTheme="majorEastAsia"/>
      </w:rPr>
    </w:pPr>
    <w:r>
      <w:rPr>
        <w:rFonts w:hint="eastAsia" w:asciiTheme="majorEastAsia" w:hAnsiTheme="majorEastAsia" w:eastAsiaTheme="majorEastAsia"/>
      </w:rPr>
      <w:t>南盘江（曲靖市境内）流域综合规划</w:t>
    </w:r>
    <w:r>
      <w:rPr>
        <w:rFonts w:hint="eastAsia" w:asciiTheme="majorEastAsia" w:hAnsiTheme="majorEastAsia" w:eastAsiaTheme="majorEastAsia"/>
        <w:lang w:val="en-US" w:eastAsia="zh-CN"/>
      </w:rPr>
      <w:t>生态</w:t>
    </w:r>
    <w:r>
      <w:rPr>
        <w:rFonts w:hint="eastAsia" w:asciiTheme="majorEastAsia" w:hAnsiTheme="majorEastAsia" w:eastAsiaTheme="majorEastAsia"/>
      </w:rPr>
      <w:t>环境影响</w:t>
    </w:r>
    <w:r>
      <w:rPr>
        <w:rFonts w:hint="eastAsia" w:asciiTheme="majorEastAsia" w:hAnsiTheme="majorEastAsia" w:eastAsiaTheme="majorEastAsia"/>
        <w:lang w:val="en-US" w:eastAsia="zh-CN"/>
      </w:rPr>
      <w:t>评价</w:t>
    </w:r>
    <w:r>
      <w:rPr>
        <w:rFonts w:hint="eastAsia" w:asciiTheme="majorEastAsia" w:hAnsiTheme="majorEastAsia" w:eastAsiaTheme="majorEastAsia"/>
      </w:rPr>
      <w:t>报告书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DC460">
    <w:pPr>
      <w:pStyle w:val="1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1C45C">
    <w:pPr>
      <w:pStyle w:val="16"/>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5E239">
    <w:pPr>
      <w:pStyle w:val="16"/>
      <w:pBdr>
        <w:bottom w:val="single" w:color="auto" w:sz="4" w:space="1"/>
      </w:pBdr>
      <w:jc w:val="center"/>
    </w:pPr>
    <w:r>
      <w:rPr>
        <w:rFonts w:hint="eastAsia" w:asciiTheme="majorEastAsia" w:hAnsiTheme="majorEastAsia" w:eastAsiaTheme="majorEastAsia"/>
      </w:rPr>
      <w:t>南盘江（曲靖市境内）流域综合规划</w:t>
    </w:r>
    <w:r>
      <w:rPr>
        <w:rFonts w:hint="eastAsia" w:asciiTheme="majorEastAsia" w:hAnsiTheme="majorEastAsia" w:eastAsiaTheme="majorEastAsia"/>
        <w:lang w:val="en-US" w:eastAsia="zh-CN"/>
      </w:rPr>
      <w:t>生态</w:t>
    </w:r>
    <w:r>
      <w:rPr>
        <w:rFonts w:hint="eastAsia" w:asciiTheme="majorEastAsia" w:hAnsiTheme="majorEastAsia" w:eastAsiaTheme="majorEastAsia"/>
      </w:rPr>
      <w:t>环境影响</w:t>
    </w:r>
    <w:r>
      <w:rPr>
        <w:rFonts w:hint="eastAsia" w:asciiTheme="majorEastAsia" w:hAnsiTheme="majorEastAsia" w:eastAsiaTheme="majorEastAsia"/>
        <w:lang w:val="en-US" w:eastAsia="zh-CN"/>
      </w:rPr>
      <w:t>评价</w:t>
    </w:r>
    <w:r>
      <w:rPr>
        <w:rFonts w:hint="eastAsia" w:asciiTheme="majorEastAsia" w:hAnsiTheme="majorEastAsia" w:eastAsiaTheme="majorEastAsia"/>
      </w:rPr>
      <w:t>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2616F0"/>
    <w:multiLevelType w:val="multilevel"/>
    <w:tmpl w:val="862616F0"/>
    <w:lvl w:ilvl="0" w:tentative="0">
      <w:start w:val="1"/>
      <w:numFmt w:val="decimal"/>
      <w:pStyle w:val="2"/>
      <w:suff w:val="nothing"/>
      <w:lvlText w:val="%1."/>
      <w:lvlJc w:val="left"/>
      <w:pPr>
        <w:ind w:left="432" w:hanging="432"/>
      </w:pPr>
      <w:rPr>
        <w:rFonts w:hint="default"/>
      </w:rPr>
    </w:lvl>
    <w:lvl w:ilvl="1" w:tentative="0">
      <w:start w:val="1"/>
      <w:numFmt w:val="decimal"/>
      <w:suff w:val="nothing"/>
      <w:lvlText w:val="%1.%2."/>
      <w:lvlJc w:val="left"/>
      <w:pPr>
        <w:ind w:left="815" w:hanging="575"/>
      </w:pPr>
      <w:rPr>
        <w:rFonts w:hint="default"/>
      </w:rPr>
    </w:lvl>
    <w:lvl w:ilvl="2" w:tentative="0">
      <w:start w:val="1"/>
      <w:numFmt w:val="decimal"/>
      <w:suff w:val="nothing"/>
      <w:lvlText w:val="%1.%2.%3."/>
      <w:lvlJc w:val="left"/>
      <w:pPr>
        <w:ind w:left="720" w:hanging="720"/>
      </w:pPr>
      <w:rPr>
        <w:rFonts w:hint="default"/>
      </w:rPr>
    </w:lvl>
    <w:lvl w:ilvl="3" w:tentative="0">
      <w:start w:val="1"/>
      <w:numFmt w:val="decimal"/>
      <w:suff w:val="nothing"/>
      <w:lvlText w:val="%1.%2.%3.%4."/>
      <w:lvlJc w:val="left"/>
      <w:pPr>
        <w:ind w:left="864" w:hanging="864"/>
      </w:pPr>
      <w:rPr>
        <w:rFonts w:hint="default"/>
      </w:rPr>
    </w:lvl>
    <w:lvl w:ilvl="4" w:tentative="0">
      <w:start w:val="1"/>
      <w:numFmt w:val="decimal"/>
      <w:suff w:val="nothing"/>
      <w:lvlText w:val="%1.%2.%3.%4.%5."/>
      <w:lvlJc w:val="left"/>
      <w:pPr>
        <w:ind w:left="1008" w:hanging="1008"/>
      </w:pPr>
    </w:lvl>
    <w:lvl w:ilvl="5" w:tentative="0">
      <w:start w:val="1"/>
      <w:numFmt w:val="decimal"/>
      <w:suff w:val="nothing"/>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abstractNum w:abstractNumId="1">
    <w:nsid w:val="8E6362F4"/>
    <w:multiLevelType w:val="multilevel"/>
    <w:tmpl w:val="8E6362F4"/>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2">
    <w:nsid w:val="8F8E6A28"/>
    <w:multiLevelType w:val="multilevel"/>
    <w:tmpl w:val="8F8E6A28"/>
    <w:lvl w:ilvl="0" w:tentative="0">
      <w:start w:val="1"/>
      <w:numFmt w:val="decimal"/>
      <w:isLgl/>
      <w:lvlText w:val="%1."/>
      <w:lvlJc w:val="left"/>
      <w:pPr>
        <w:ind w:left="432" w:hanging="432"/>
      </w:pPr>
      <w:rPr>
        <w:rFonts w:hint="default"/>
      </w:rPr>
    </w:lvl>
    <w:lvl w:ilvl="1" w:tentative="0">
      <w:start w:val="1"/>
      <w:numFmt w:val="decimal"/>
      <w:isLgl/>
      <w:suff w:val="space"/>
      <w:lvlText w:val="%1.%2"/>
      <w:lvlJc w:val="left"/>
      <w:pPr>
        <w:tabs>
          <w:tab w:val="left" w:pos="0"/>
        </w:tabs>
        <w:ind w:left="575" w:hanging="575"/>
      </w:pPr>
      <w:rPr>
        <w:rFonts w:hint="default"/>
      </w:rPr>
    </w:lvl>
    <w:lvl w:ilvl="2" w:tentative="0">
      <w:start w:val="1"/>
      <w:numFmt w:val="decimal"/>
      <w:isLgl/>
      <w:suff w:val="space"/>
      <w:lvlText w:val="%1.%2.%3"/>
      <w:lvlJc w:val="left"/>
      <w:pPr>
        <w:tabs>
          <w:tab w:val="left" w:pos="0"/>
        </w:tabs>
        <w:ind w:left="720" w:hanging="720"/>
      </w:pPr>
      <w:rPr>
        <w:rFonts w:hint="default"/>
      </w:rPr>
    </w:lvl>
    <w:lvl w:ilvl="3" w:tentative="0">
      <w:start w:val="1"/>
      <w:numFmt w:val="decimal"/>
      <w:isLgl/>
      <w:suff w:val="space"/>
      <w:lvlText w:val="%1.%2.%3.%4"/>
      <w:lvlJc w:val="left"/>
      <w:pPr>
        <w:tabs>
          <w:tab w:val="left" w:pos="0"/>
        </w:tabs>
        <w:ind w:left="864" w:hanging="864"/>
      </w:pPr>
      <w:rPr>
        <w:rFonts w:hint="default"/>
      </w:rPr>
    </w:lvl>
    <w:lvl w:ilvl="4" w:tentative="0">
      <w:start w:val="1"/>
      <w:numFmt w:val="decimal"/>
      <w:isLgl/>
      <w:suff w:val="space"/>
      <w:lvlText w:val="%1.%2.%3.%4.%5"/>
      <w:lvlJc w:val="left"/>
      <w:pPr>
        <w:tabs>
          <w:tab w:val="left" w:pos="0"/>
        </w:tabs>
        <w:ind w:left="1008" w:hanging="1008"/>
      </w:pPr>
      <w:rPr>
        <w:rFonts w:hint="default"/>
      </w:rPr>
    </w:lvl>
    <w:lvl w:ilvl="5" w:tentative="0">
      <w:start w:val="1"/>
      <w:numFmt w:val="decimal"/>
      <w:lvlRestart w:val="3"/>
      <w:pStyle w:val="41"/>
      <w:isLgl/>
      <w:suff w:val="space"/>
      <w:lvlText w:val="表%1.%2.%3-%6"/>
      <w:lvlJc w:val="left"/>
      <w:pPr>
        <w:tabs>
          <w:tab w:val="left" w:pos="0"/>
        </w:tabs>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B6837CBE"/>
    <w:multiLevelType w:val="singleLevel"/>
    <w:tmpl w:val="B6837CBE"/>
    <w:lvl w:ilvl="0" w:tentative="0">
      <w:start w:val="2"/>
      <w:numFmt w:val="decimal"/>
      <w:suff w:val="nothing"/>
      <w:lvlText w:val="（%1）"/>
      <w:lvlJc w:val="left"/>
    </w:lvl>
  </w:abstractNum>
  <w:abstractNum w:abstractNumId="4">
    <w:nsid w:val="C404E5CB"/>
    <w:multiLevelType w:val="multilevel"/>
    <w:tmpl w:val="C404E5CB"/>
    <w:lvl w:ilvl="0" w:tentative="0">
      <w:start w:val="1"/>
      <w:numFmt w:val="decimal"/>
      <w:suff w:val="nothing"/>
      <w:lvlText w:val="%1."/>
      <w:lvlJc w:val="left"/>
      <w:pPr>
        <w:ind w:left="432" w:hanging="432"/>
      </w:pPr>
      <w:rPr>
        <w:rFonts w:hint="default"/>
      </w:rPr>
    </w:lvl>
    <w:lvl w:ilvl="1" w:tentative="0">
      <w:start w:val="1"/>
      <w:numFmt w:val="decimal"/>
      <w:suff w:val="nothing"/>
      <w:lvlText w:val="%1.%2."/>
      <w:lvlJc w:val="left"/>
      <w:pPr>
        <w:ind w:left="815" w:hanging="575"/>
      </w:pPr>
      <w:rPr>
        <w:rFonts w:hint="default"/>
      </w:rPr>
    </w:lvl>
    <w:lvl w:ilvl="2" w:tentative="0">
      <w:start w:val="1"/>
      <w:numFmt w:val="decimal"/>
      <w:suff w:val="nothing"/>
      <w:lvlText w:val="%1.%2.%3."/>
      <w:lvlJc w:val="left"/>
      <w:pPr>
        <w:ind w:left="720" w:hanging="720"/>
      </w:pPr>
      <w:rPr>
        <w:rFonts w:hint="default"/>
      </w:rPr>
    </w:lvl>
    <w:lvl w:ilvl="3" w:tentative="0">
      <w:start w:val="1"/>
      <w:numFmt w:val="decimal"/>
      <w:suff w:val="nothing"/>
      <w:lvlText w:val="%1.%2.%3.%4."/>
      <w:lvlJc w:val="left"/>
      <w:pPr>
        <w:ind w:left="864" w:hanging="864"/>
      </w:pPr>
      <w:rPr>
        <w:rFonts w:hint="default"/>
      </w:rPr>
    </w:lvl>
    <w:lvl w:ilvl="4" w:tentative="0">
      <w:start w:val="1"/>
      <w:numFmt w:val="decimal"/>
      <w:suff w:val="nothing"/>
      <w:lvlText w:val="%1.%2.%3.%4.%5."/>
      <w:lvlJc w:val="left"/>
      <w:pPr>
        <w:ind w:left="1008" w:hanging="1008"/>
      </w:pPr>
    </w:lvl>
    <w:lvl w:ilvl="5" w:tentative="0">
      <w:start w:val="1"/>
      <w:numFmt w:val="decimal"/>
      <w:suff w:val="nothing"/>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5">
    <w:nsid w:val="D4A2DF89"/>
    <w:multiLevelType w:val="multilevel"/>
    <w:tmpl w:val="D4A2DF89"/>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FC49622D"/>
    <w:multiLevelType w:val="singleLevel"/>
    <w:tmpl w:val="FC49622D"/>
    <w:lvl w:ilvl="0" w:tentative="0">
      <w:start w:val="1"/>
      <w:numFmt w:val="decimal"/>
      <w:suff w:val="nothing"/>
      <w:lvlText w:val="（%1）"/>
      <w:lvlJc w:val="left"/>
    </w:lvl>
  </w:abstractNum>
  <w:abstractNum w:abstractNumId="7">
    <w:nsid w:val="02019974"/>
    <w:multiLevelType w:val="singleLevel"/>
    <w:tmpl w:val="02019974"/>
    <w:lvl w:ilvl="0" w:tentative="0">
      <w:start w:val="1"/>
      <w:numFmt w:val="decimal"/>
      <w:suff w:val="nothing"/>
      <w:lvlText w:val="（%1）"/>
      <w:lvlJc w:val="left"/>
    </w:lvl>
  </w:abstractNum>
  <w:abstractNum w:abstractNumId="8">
    <w:nsid w:val="04EA2E16"/>
    <w:multiLevelType w:val="multilevel"/>
    <w:tmpl w:val="04EA2E16"/>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9">
    <w:nsid w:val="0F4291D3"/>
    <w:multiLevelType w:val="singleLevel"/>
    <w:tmpl w:val="0F4291D3"/>
    <w:lvl w:ilvl="0" w:tentative="0">
      <w:start w:val="1"/>
      <w:numFmt w:val="decimal"/>
      <w:suff w:val="nothing"/>
      <w:lvlText w:val="（%1）"/>
      <w:lvlJc w:val="left"/>
    </w:lvl>
  </w:abstractNum>
  <w:abstractNum w:abstractNumId="10">
    <w:nsid w:val="10AD70D2"/>
    <w:multiLevelType w:val="multilevel"/>
    <w:tmpl w:val="10AD70D2"/>
    <w:lvl w:ilvl="0" w:tentative="0">
      <w:start w:val="1"/>
      <w:numFmt w:val="decimal"/>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1">
    <w:nsid w:val="323CA231"/>
    <w:multiLevelType w:val="multilevel"/>
    <w:tmpl w:val="323CA231"/>
    <w:lvl w:ilvl="0" w:tentative="0">
      <w:start w:val="1"/>
      <w:numFmt w:val="decimal"/>
      <w:lvlText w:val="（%1）"/>
      <w:lvlJc w:val="left"/>
      <w:pPr>
        <w:ind w:left="900" w:hanging="4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3575CDF4"/>
    <w:multiLevelType w:val="singleLevel"/>
    <w:tmpl w:val="3575CDF4"/>
    <w:lvl w:ilvl="0" w:tentative="0">
      <w:start w:val="1"/>
      <w:numFmt w:val="decimal"/>
      <w:suff w:val="nothing"/>
      <w:lvlText w:val="（%1）"/>
      <w:lvlJc w:val="left"/>
    </w:lvl>
  </w:abstractNum>
  <w:abstractNum w:abstractNumId="13">
    <w:nsid w:val="4E0C687A"/>
    <w:multiLevelType w:val="multilevel"/>
    <w:tmpl w:val="4E0C687A"/>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14">
    <w:nsid w:val="623A28ED"/>
    <w:multiLevelType w:val="multilevel"/>
    <w:tmpl w:val="623A28ED"/>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num w:numId="1">
    <w:abstractNumId w:val="0"/>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2"/>
  </w:num>
  <w:num w:numId="6">
    <w:abstractNumId w:val="6"/>
  </w:num>
  <w:num w:numId="7">
    <w:abstractNumId w:val="9"/>
  </w:num>
  <w:num w:numId="8">
    <w:abstractNumId w:val="5"/>
  </w:num>
  <w:num w:numId="9">
    <w:abstractNumId w:val="11"/>
  </w:num>
  <w:num w:numId="10">
    <w:abstractNumId w:val="13"/>
  </w:num>
  <w:num w:numId="11">
    <w:abstractNumId w:val="14"/>
  </w:num>
  <w:num w:numId="12">
    <w:abstractNumId w:val="3"/>
  </w:num>
  <w:num w:numId="13">
    <w:abstractNumId w:val="10"/>
  </w:num>
  <w:num w:numId="14">
    <w:abstractNumId w:val="8"/>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079"/>
    <w:rsid w:val="000620DB"/>
    <w:rsid w:val="0009227D"/>
    <w:rsid w:val="00237CBC"/>
    <w:rsid w:val="002F2090"/>
    <w:rsid w:val="00561079"/>
    <w:rsid w:val="00877C58"/>
    <w:rsid w:val="00934EC8"/>
    <w:rsid w:val="00B56D00"/>
    <w:rsid w:val="00E30FAC"/>
    <w:rsid w:val="00E96DAB"/>
    <w:rsid w:val="00EB07B1"/>
    <w:rsid w:val="00EC4034"/>
    <w:rsid w:val="00F426E8"/>
    <w:rsid w:val="00F60A6C"/>
    <w:rsid w:val="015F233C"/>
    <w:rsid w:val="01C626F2"/>
    <w:rsid w:val="01E32ABB"/>
    <w:rsid w:val="01E44FDB"/>
    <w:rsid w:val="0216717A"/>
    <w:rsid w:val="026659F0"/>
    <w:rsid w:val="027A149C"/>
    <w:rsid w:val="02873437"/>
    <w:rsid w:val="02D171B3"/>
    <w:rsid w:val="02F54FC6"/>
    <w:rsid w:val="031B2C7F"/>
    <w:rsid w:val="033D6E0E"/>
    <w:rsid w:val="034A3564"/>
    <w:rsid w:val="038A3960"/>
    <w:rsid w:val="03E5328D"/>
    <w:rsid w:val="041F54FB"/>
    <w:rsid w:val="042F62B6"/>
    <w:rsid w:val="045F303F"/>
    <w:rsid w:val="04D23811"/>
    <w:rsid w:val="04FF212C"/>
    <w:rsid w:val="05130FBF"/>
    <w:rsid w:val="05145A02"/>
    <w:rsid w:val="054335A5"/>
    <w:rsid w:val="061B11E8"/>
    <w:rsid w:val="06343614"/>
    <w:rsid w:val="06915006"/>
    <w:rsid w:val="06AD1B15"/>
    <w:rsid w:val="06B01930"/>
    <w:rsid w:val="06DA075B"/>
    <w:rsid w:val="071E2D3E"/>
    <w:rsid w:val="07462294"/>
    <w:rsid w:val="07677E3C"/>
    <w:rsid w:val="076A6B3A"/>
    <w:rsid w:val="0797664C"/>
    <w:rsid w:val="07C35693"/>
    <w:rsid w:val="07E94D14"/>
    <w:rsid w:val="08BA4C49"/>
    <w:rsid w:val="0901567C"/>
    <w:rsid w:val="09035F05"/>
    <w:rsid w:val="090639ED"/>
    <w:rsid w:val="091837BC"/>
    <w:rsid w:val="09412D13"/>
    <w:rsid w:val="094325FA"/>
    <w:rsid w:val="0948360B"/>
    <w:rsid w:val="097D1872"/>
    <w:rsid w:val="09B820F5"/>
    <w:rsid w:val="09B94F9F"/>
    <w:rsid w:val="09E244F6"/>
    <w:rsid w:val="09EB2C7F"/>
    <w:rsid w:val="09F50871"/>
    <w:rsid w:val="09F75119"/>
    <w:rsid w:val="0A193C90"/>
    <w:rsid w:val="0A6A629A"/>
    <w:rsid w:val="0A7E0F32"/>
    <w:rsid w:val="0A81721A"/>
    <w:rsid w:val="0A9C1798"/>
    <w:rsid w:val="0B735CE1"/>
    <w:rsid w:val="0BA94BA0"/>
    <w:rsid w:val="0BBE4AEF"/>
    <w:rsid w:val="0C0544CC"/>
    <w:rsid w:val="0C236700"/>
    <w:rsid w:val="0C654F6B"/>
    <w:rsid w:val="0C882441"/>
    <w:rsid w:val="0C966155"/>
    <w:rsid w:val="0CA80924"/>
    <w:rsid w:val="0CCB5F18"/>
    <w:rsid w:val="0CCD74A5"/>
    <w:rsid w:val="0CF91AFC"/>
    <w:rsid w:val="0CFE376F"/>
    <w:rsid w:val="0D441024"/>
    <w:rsid w:val="0D991370"/>
    <w:rsid w:val="0DC43F13"/>
    <w:rsid w:val="0DCD0BD7"/>
    <w:rsid w:val="0E1F2F02"/>
    <w:rsid w:val="0E277063"/>
    <w:rsid w:val="0E5C239D"/>
    <w:rsid w:val="0E7616B1"/>
    <w:rsid w:val="0E806DD8"/>
    <w:rsid w:val="0E8F4C4E"/>
    <w:rsid w:val="0EB837FD"/>
    <w:rsid w:val="0ECF0348"/>
    <w:rsid w:val="0EF63FCE"/>
    <w:rsid w:val="0F1304ED"/>
    <w:rsid w:val="0F2509CA"/>
    <w:rsid w:val="0F2B75E2"/>
    <w:rsid w:val="0FBF0E36"/>
    <w:rsid w:val="0FBF51CE"/>
    <w:rsid w:val="0FC621C4"/>
    <w:rsid w:val="0FCD3553"/>
    <w:rsid w:val="0FCE2E27"/>
    <w:rsid w:val="0FD956AC"/>
    <w:rsid w:val="10091C47"/>
    <w:rsid w:val="105A46BB"/>
    <w:rsid w:val="105E23FD"/>
    <w:rsid w:val="106D0892"/>
    <w:rsid w:val="10916704"/>
    <w:rsid w:val="10C04E7A"/>
    <w:rsid w:val="10CE3324"/>
    <w:rsid w:val="10CF32FA"/>
    <w:rsid w:val="111817A0"/>
    <w:rsid w:val="115630D4"/>
    <w:rsid w:val="11A81E2D"/>
    <w:rsid w:val="11CC3396"/>
    <w:rsid w:val="11D62907"/>
    <w:rsid w:val="125F245C"/>
    <w:rsid w:val="126A32DB"/>
    <w:rsid w:val="128B3251"/>
    <w:rsid w:val="12AF5192"/>
    <w:rsid w:val="131B6383"/>
    <w:rsid w:val="13483A9B"/>
    <w:rsid w:val="13785584"/>
    <w:rsid w:val="14131750"/>
    <w:rsid w:val="1424570B"/>
    <w:rsid w:val="145E6E6F"/>
    <w:rsid w:val="146975C2"/>
    <w:rsid w:val="146A33AA"/>
    <w:rsid w:val="14D7277E"/>
    <w:rsid w:val="150B2427"/>
    <w:rsid w:val="151A3F56"/>
    <w:rsid w:val="153841FC"/>
    <w:rsid w:val="15485429"/>
    <w:rsid w:val="15E65918"/>
    <w:rsid w:val="161D68B6"/>
    <w:rsid w:val="16557DFE"/>
    <w:rsid w:val="16734728"/>
    <w:rsid w:val="16AF6B4D"/>
    <w:rsid w:val="17446A3D"/>
    <w:rsid w:val="1752433D"/>
    <w:rsid w:val="176D048C"/>
    <w:rsid w:val="17742506"/>
    <w:rsid w:val="17D228C8"/>
    <w:rsid w:val="17DF02C7"/>
    <w:rsid w:val="17E03473"/>
    <w:rsid w:val="17E05DED"/>
    <w:rsid w:val="182D0728"/>
    <w:rsid w:val="186C16FD"/>
    <w:rsid w:val="189270E7"/>
    <w:rsid w:val="18952734"/>
    <w:rsid w:val="18C00F28"/>
    <w:rsid w:val="192F1861"/>
    <w:rsid w:val="194B54E8"/>
    <w:rsid w:val="195720DF"/>
    <w:rsid w:val="196C4CDE"/>
    <w:rsid w:val="19853F4E"/>
    <w:rsid w:val="1A277D03"/>
    <w:rsid w:val="1A381F10"/>
    <w:rsid w:val="1A385DCB"/>
    <w:rsid w:val="1A4B35D6"/>
    <w:rsid w:val="1A5328A6"/>
    <w:rsid w:val="1AB377E9"/>
    <w:rsid w:val="1B3939DF"/>
    <w:rsid w:val="1B723612"/>
    <w:rsid w:val="1BA01B1B"/>
    <w:rsid w:val="1BB55047"/>
    <w:rsid w:val="1BC670A8"/>
    <w:rsid w:val="1BFD51C0"/>
    <w:rsid w:val="1BFD6F6E"/>
    <w:rsid w:val="1C073948"/>
    <w:rsid w:val="1C2A32D4"/>
    <w:rsid w:val="1C322A57"/>
    <w:rsid w:val="1C417471"/>
    <w:rsid w:val="1C5151B4"/>
    <w:rsid w:val="1C68361D"/>
    <w:rsid w:val="1C703A01"/>
    <w:rsid w:val="1C801E47"/>
    <w:rsid w:val="1CB82E95"/>
    <w:rsid w:val="1CBB1806"/>
    <w:rsid w:val="1CCC2E94"/>
    <w:rsid w:val="1CD81789"/>
    <w:rsid w:val="1CFE22F3"/>
    <w:rsid w:val="1D07144E"/>
    <w:rsid w:val="1D320E8A"/>
    <w:rsid w:val="1D9751A0"/>
    <w:rsid w:val="1DC762F2"/>
    <w:rsid w:val="1DD1568E"/>
    <w:rsid w:val="1E227C2A"/>
    <w:rsid w:val="1E2C3B3A"/>
    <w:rsid w:val="1E4427E1"/>
    <w:rsid w:val="1E4E1D03"/>
    <w:rsid w:val="1E615C1A"/>
    <w:rsid w:val="1E893BB9"/>
    <w:rsid w:val="1EB853CE"/>
    <w:rsid w:val="1EF23311"/>
    <w:rsid w:val="1F093E7B"/>
    <w:rsid w:val="1F666BD8"/>
    <w:rsid w:val="1F667C26"/>
    <w:rsid w:val="1F6B0692"/>
    <w:rsid w:val="1F7D2EB6"/>
    <w:rsid w:val="1FAA16E2"/>
    <w:rsid w:val="1FB33769"/>
    <w:rsid w:val="1FCF6E73"/>
    <w:rsid w:val="1FD61FB0"/>
    <w:rsid w:val="201B3E66"/>
    <w:rsid w:val="204D5FEA"/>
    <w:rsid w:val="208732AA"/>
    <w:rsid w:val="208E5D79"/>
    <w:rsid w:val="20A919D8"/>
    <w:rsid w:val="20B06E3D"/>
    <w:rsid w:val="20B802FC"/>
    <w:rsid w:val="20CA11F6"/>
    <w:rsid w:val="21156B08"/>
    <w:rsid w:val="21780E44"/>
    <w:rsid w:val="219915B7"/>
    <w:rsid w:val="21F901D7"/>
    <w:rsid w:val="224512EB"/>
    <w:rsid w:val="22AD7906"/>
    <w:rsid w:val="2302130E"/>
    <w:rsid w:val="2377547C"/>
    <w:rsid w:val="23775858"/>
    <w:rsid w:val="23B819CC"/>
    <w:rsid w:val="23BD5235"/>
    <w:rsid w:val="23D06D16"/>
    <w:rsid w:val="23DA5DE6"/>
    <w:rsid w:val="23F724F4"/>
    <w:rsid w:val="245142FB"/>
    <w:rsid w:val="245D33A3"/>
    <w:rsid w:val="24765B0F"/>
    <w:rsid w:val="24C7393A"/>
    <w:rsid w:val="24E76A0D"/>
    <w:rsid w:val="25010871"/>
    <w:rsid w:val="252B320F"/>
    <w:rsid w:val="252F1C88"/>
    <w:rsid w:val="255D5EC6"/>
    <w:rsid w:val="259A582D"/>
    <w:rsid w:val="25BA1A2C"/>
    <w:rsid w:val="25D72706"/>
    <w:rsid w:val="25DA6FFE"/>
    <w:rsid w:val="25E66CC5"/>
    <w:rsid w:val="26630315"/>
    <w:rsid w:val="267F67D1"/>
    <w:rsid w:val="268D6098"/>
    <w:rsid w:val="26A22D14"/>
    <w:rsid w:val="26B02E2F"/>
    <w:rsid w:val="26BC04D1"/>
    <w:rsid w:val="26CA6836"/>
    <w:rsid w:val="27204E4F"/>
    <w:rsid w:val="274A5031"/>
    <w:rsid w:val="276460F3"/>
    <w:rsid w:val="276B331A"/>
    <w:rsid w:val="27704BC2"/>
    <w:rsid w:val="27C2106B"/>
    <w:rsid w:val="28137B19"/>
    <w:rsid w:val="281C4C20"/>
    <w:rsid w:val="285223EF"/>
    <w:rsid w:val="285F68BA"/>
    <w:rsid w:val="288602EB"/>
    <w:rsid w:val="28962E9F"/>
    <w:rsid w:val="28D90FE2"/>
    <w:rsid w:val="28E22AAD"/>
    <w:rsid w:val="28E60D8A"/>
    <w:rsid w:val="2908745E"/>
    <w:rsid w:val="295A1353"/>
    <w:rsid w:val="2984509E"/>
    <w:rsid w:val="29A053DC"/>
    <w:rsid w:val="29B03871"/>
    <w:rsid w:val="29C4095E"/>
    <w:rsid w:val="2A2878AC"/>
    <w:rsid w:val="2AAB4039"/>
    <w:rsid w:val="2AB9225B"/>
    <w:rsid w:val="2ACF5F79"/>
    <w:rsid w:val="2B0A62CA"/>
    <w:rsid w:val="2B230073"/>
    <w:rsid w:val="2B48396D"/>
    <w:rsid w:val="2B5C6CCB"/>
    <w:rsid w:val="2B6E2239"/>
    <w:rsid w:val="2BB532F3"/>
    <w:rsid w:val="2BC01D66"/>
    <w:rsid w:val="2BDB21E0"/>
    <w:rsid w:val="2C007265"/>
    <w:rsid w:val="2C1C7C8E"/>
    <w:rsid w:val="2C2F10D4"/>
    <w:rsid w:val="2C7207AD"/>
    <w:rsid w:val="2C892158"/>
    <w:rsid w:val="2C93781B"/>
    <w:rsid w:val="2CAD4098"/>
    <w:rsid w:val="2CBF4252"/>
    <w:rsid w:val="2CCE569A"/>
    <w:rsid w:val="2CE81574"/>
    <w:rsid w:val="2D524C40"/>
    <w:rsid w:val="2D6762C1"/>
    <w:rsid w:val="2DCC2C44"/>
    <w:rsid w:val="2E310CF9"/>
    <w:rsid w:val="2E684457"/>
    <w:rsid w:val="2E706470"/>
    <w:rsid w:val="2E870919"/>
    <w:rsid w:val="2EF27E36"/>
    <w:rsid w:val="2EF36F14"/>
    <w:rsid w:val="2F2B1FA0"/>
    <w:rsid w:val="2F2F5238"/>
    <w:rsid w:val="2F3A1303"/>
    <w:rsid w:val="2FA9730B"/>
    <w:rsid w:val="2FB15144"/>
    <w:rsid w:val="30215E22"/>
    <w:rsid w:val="30977539"/>
    <w:rsid w:val="31026B85"/>
    <w:rsid w:val="312C3462"/>
    <w:rsid w:val="316D7640"/>
    <w:rsid w:val="31880C30"/>
    <w:rsid w:val="319E4AB9"/>
    <w:rsid w:val="31AB7E8D"/>
    <w:rsid w:val="32270449"/>
    <w:rsid w:val="32432DA9"/>
    <w:rsid w:val="32BA0C51"/>
    <w:rsid w:val="32DD2345"/>
    <w:rsid w:val="32E60ABA"/>
    <w:rsid w:val="3355548A"/>
    <w:rsid w:val="33704071"/>
    <w:rsid w:val="33922361"/>
    <w:rsid w:val="33C00B55"/>
    <w:rsid w:val="33D04B10"/>
    <w:rsid w:val="33DA14EB"/>
    <w:rsid w:val="33DB22F2"/>
    <w:rsid w:val="33DC34B5"/>
    <w:rsid w:val="33E74334"/>
    <w:rsid w:val="34142C4F"/>
    <w:rsid w:val="34831B82"/>
    <w:rsid w:val="34AB3844"/>
    <w:rsid w:val="358D2CB9"/>
    <w:rsid w:val="35914888"/>
    <w:rsid w:val="35973B37"/>
    <w:rsid w:val="35C671E9"/>
    <w:rsid w:val="360E7F59"/>
    <w:rsid w:val="366A4DA8"/>
    <w:rsid w:val="36722445"/>
    <w:rsid w:val="36DF5466"/>
    <w:rsid w:val="37421881"/>
    <w:rsid w:val="37A4253C"/>
    <w:rsid w:val="37B3474E"/>
    <w:rsid w:val="37DE3C9F"/>
    <w:rsid w:val="37E8067A"/>
    <w:rsid w:val="37EA43F2"/>
    <w:rsid w:val="37ED4490"/>
    <w:rsid w:val="38107BD1"/>
    <w:rsid w:val="381C0275"/>
    <w:rsid w:val="38392C84"/>
    <w:rsid w:val="388365F5"/>
    <w:rsid w:val="39932868"/>
    <w:rsid w:val="399C796E"/>
    <w:rsid w:val="39AF0B87"/>
    <w:rsid w:val="3A8521B0"/>
    <w:rsid w:val="3B607ECA"/>
    <w:rsid w:val="3B702E61"/>
    <w:rsid w:val="3B8706E3"/>
    <w:rsid w:val="3B8766E7"/>
    <w:rsid w:val="3B9E4D42"/>
    <w:rsid w:val="3BAF72DE"/>
    <w:rsid w:val="3C101822"/>
    <w:rsid w:val="3C137717"/>
    <w:rsid w:val="3C3245BA"/>
    <w:rsid w:val="3C37397E"/>
    <w:rsid w:val="3C5C6F51"/>
    <w:rsid w:val="3C7544A7"/>
    <w:rsid w:val="3C85293C"/>
    <w:rsid w:val="3C9E5229"/>
    <w:rsid w:val="3CB27178"/>
    <w:rsid w:val="3D4520CB"/>
    <w:rsid w:val="3D491BBB"/>
    <w:rsid w:val="3D580F1D"/>
    <w:rsid w:val="3D6B59A4"/>
    <w:rsid w:val="3DE32D35"/>
    <w:rsid w:val="3E0730CB"/>
    <w:rsid w:val="3E4A28B5"/>
    <w:rsid w:val="3EE164AD"/>
    <w:rsid w:val="3F2006FA"/>
    <w:rsid w:val="3F236D09"/>
    <w:rsid w:val="3F6F342F"/>
    <w:rsid w:val="3F755EBF"/>
    <w:rsid w:val="3F903D44"/>
    <w:rsid w:val="3FC25C55"/>
    <w:rsid w:val="3FD414E4"/>
    <w:rsid w:val="400370E7"/>
    <w:rsid w:val="40082247"/>
    <w:rsid w:val="400E49F6"/>
    <w:rsid w:val="404E573A"/>
    <w:rsid w:val="40503261"/>
    <w:rsid w:val="40AA6120"/>
    <w:rsid w:val="40B557B9"/>
    <w:rsid w:val="40D90AB5"/>
    <w:rsid w:val="41517290"/>
    <w:rsid w:val="4157061F"/>
    <w:rsid w:val="418C2076"/>
    <w:rsid w:val="41994793"/>
    <w:rsid w:val="41C37A62"/>
    <w:rsid w:val="41CE6B33"/>
    <w:rsid w:val="41E326E7"/>
    <w:rsid w:val="420C3CDA"/>
    <w:rsid w:val="42937435"/>
    <w:rsid w:val="42D94DE1"/>
    <w:rsid w:val="4338699F"/>
    <w:rsid w:val="438A7C9B"/>
    <w:rsid w:val="43A55671"/>
    <w:rsid w:val="43BB4E95"/>
    <w:rsid w:val="43DE6DD5"/>
    <w:rsid w:val="43E812FF"/>
    <w:rsid w:val="43F56696"/>
    <w:rsid w:val="44000AFA"/>
    <w:rsid w:val="4400471D"/>
    <w:rsid w:val="4402405A"/>
    <w:rsid w:val="448336D1"/>
    <w:rsid w:val="44AA33B7"/>
    <w:rsid w:val="44E779C7"/>
    <w:rsid w:val="452D47A4"/>
    <w:rsid w:val="455E7AEC"/>
    <w:rsid w:val="457F2762"/>
    <w:rsid w:val="458712A0"/>
    <w:rsid w:val="461D3BE5"/>
    <w:rsid w:val="46333408"/>
    <w:rsid w:val="46B5206F"/>
    <w:rsid w:val="46CC73B9"/>
    <w:rsid w:val="46EB5A91"/>
    <w:rsid w:val="47356D0C"/>
    <w:rsid w:val="473A07C7"/>
    <w:rsid w:val="47605D7C"/>
    <w:rsid w:val="47833C4E"/>
    <w:rsid w:val="47B71E17"/>
    <w:rsid w:val="481D46A7"/>
    <w:rsid w:val="484E277B"/>
    <w:rsid w:val="48580F04"/>
    <w:rsid w:val="486C2C02"/>
    <w:rsid w:val="487144D7"/>
    <w:rsid w:val="48741AB6"/>
    <w:rsid w:val="48BC4DD5"/>
    <w:rsid w:val="48CC18F2"/>
    <w:rsid w:val="48DC3144"/>
    <w:rsid w:val="48E21116"/>
    <w:rsid w:val="48EE1869"/>
    <w:rsid w:val="49137521"/>
    <w:rsid w:val="493F39EE"/>
    <w:rsid w:val="49496297"/>
    <w:rsid w:val="49563C70"/>
    <w:rsid w:val="49AF0FF8"/>
    <w:rsid w:val="4A1878A4"/>
    <w:rsid w:val="4A2017E3"/>
    <w:rsid w:val="4A24741D"/>
    <w:rsid w:val="4A704CC1"/>
    <w:rsid w:val="4A7051E2"/>
    <w:rsid w:val="4A8E0D19"/>
    <w:rsid w:val="4A981A8C"/>
    <w:rsid w:val="4AA448D5"/>
    <w:rsid w:val="4AAD305D"/>
    <w:rsid w:val="4ADB7BCB"/>
    <w:rsid w:val="4B0435C5"/>
    <w:rsid w:val="4B0D06CC"/>
    <w:rsid w:val="4B655726"/>
    <w:rsid w:val="4B86222C"/>
    <w:rsid w:val="4BFA370C"/>
    <w:rsid w:val="4C012815"/>
    <w:rsid w:val="4C013661"/>
    <w:rsid w:val="4C3E48B5"/>
    <w:rsid w:val="4C526437"/>
    <w:rsid w:val="4CAA067F"/>
    <w:rsid w:val="4D080788"/>
    <w:rsid w:val="4D1B6E91"/>
    <w:rsid w:val="4D447CA9"/>
    <w:rsid w:val="4D6678CC"/>
    <w:rsid w:val="4DA44BEC"/>
    <w:rsid w:val="4DCE3A17"/>
    <w:rsid w:val="4E287F63"/>
    <w:rsid w:val="4E396CD5"/>
    <w:rsid w:val="4EAD187E"/>
    <w:rsid w:val="4EE5336B"/>
    <w:rsid w:val="4EEC23A6"/>
    <w:rsid w:val="4FA233AD"/>
    <w:rsid w:val="4FB21777"/>
    <w:rsid w:val="4FB37368"/>
    <w:rsid w:val="4FBE2337"/>
    <w:rsid w:val="4FBE5720"/>
    <w:rsid w:val="4FD63997"/>
    <w:rsid w:val="4FEB72F6"/>
    <w:rsid w:val="4FEC50CC"/>
    <w:rsid w:val="505E72D4"/>
    <w:rsid w:val="50744D49"/>
    <w:rsid w:val="507535F6"/>
    <w:rsid w:val="507601F4"/>
    <w:rsid w:val="509D3710"/>
    <w:rsid w:val="50D650BC"/>
    <w:rsid w:val="5102440D"/>
    <w:rsid w:val="51327BA7"/>
    <w:rsid w:val="513B1216"/>
    <w:rsid w:val="513B13C3"/>
    <w:rsid w:val="51426BF5"/>
    <w:rsid w:val="51717C48"/>
    <w:rsid w:val="519C4558"/>
    <w:rsid w:val="51C4760A"/>
    <w:rsid w:val="51D87B8B"/>
    <w:rsid w:val="51DD4ECA"/>
    <w:rsid w:val="51F223CA"/>
    <w:rsid w:val="51F341B3"/>
    <w:rsid w:val="521045FE"/>
    <w:rsid w:val="52191529"/>
    <w:rsid w:val="526037D7"/>
    <w:rsid w:val="5295077F"/>
    <w:rsid w:val="5314011E"/>
    <w:rsid w:val="5316794F"/>
    <w:rsid w:val="53312A7E"/>
    <w:rsid w:val="5394125E"/>
    <w:rsid w:val="53B35B89"/>
    <w:rsid w:val="53D9073D"/>
    <w:rsid w:val="541D2A6E"/>
    <w:rsid w:val="543A0058"/>
    <w:rsid w:val="54521AE9"/>
    <w:rsid w:val="5455327C"/>
    <w:rsid w:val="5458228C"/>
    <w:rsid w:val="546E1A14"/>
    <w:rsid w:val="54795467"/>
    <w:rsid w:val="549359C2"/>
    <w:rsid w:val="54C142D5"/>
    <w:rsid w:val="54F46F18"/>
    <w:rsid w:val="550E65FD"/>
    <w:rsid w:val="553B6208"/>
    <w:rsid w:val="55530A4B"/>
    <w:rsid w:val="556070F1"/>
    <w:rsid w:val="5585116B"/>
    <w:rsid w:val="55B856D8"/>
    <w:rsid w:val="55F97F96"/>
    <w:rsid w:val="56446F6C"/>
    <w:rsid w:val="56594A37"/>
    <w:rsid w:val="566C201F"/>
    <w:rsid w:val="566E6115"/>
    <w:rsid w:val="56841731"/>
    <w:rsid w:val="56C97191"/>
    <w:rsid w:val="56D7393C"/>
    <w:rsid w:val="56E12A50"/>
    <w:rsid w:val="56F049FE"/>
    <w:rsid w:val="56F72230"/>
    <w:rsid w:val="56FC1EED"/>
    <w:rsid w:val="57233025"/>
    <w:rsid w:val="572E2DAA"/>
    <w:rsid w:val="57501995"/>
    <w:rsid w:val="57902C01"/>
    <w:rsid w:val="57B974E6"/>
    <w:rsid w:val="57E82774"/>
    <w:rsid w:val="58441864"/>
    <w:rsid w:val="5846521D"/>
    <w:rsid w:val="58474AF1"/>
    <w:rsid w:val="58691129"/>
    <w:rsid w:val="58AA41C5"/>
    <w:rsid w:val="58AD0DF8"/>
    <w:rsid w:val="58C12AF6"/>
    <w:rsid w:val="58D802B9"/>
    <w:rsid w:val="58F65FFD"/>
    <w:rsid w:val="5967369D"/>
    <w:rsid w:val="596F4300"/>
    <w:rsid w:val="5A3A61EC"/>
    <w:rsid w:val="5A66554C"/>
    <w:rsid w:val="5AF75899"/>
    <w:rsid w:val="5B6320BD"/>
    <w:rsid w:val="5B743F64"/>
    <w:rsid w:val="5B85605C"/>
    <w:rsid w:val="5BA858A7"/>
    <w:rsid w:val="5BD115FC"/>
    <w:rsid w:val="5C033815"/>
    <w:rsid w:val="5C484FFA"/>
    <w:rsid w:val="5C5F41A6"/>
    <w:rsid w:val="5C7878F3"/>
    <w:rsid w:val="5C886434"/>
    <w:rsid w:val="5CFF3BED"/>
    <w:rsid w:val="5D250DCA"/>
    <w:rsid w:val="5D3010AA"/>
    <w:rsid w:val="5D3C2906"/>
    <w:rsid w:val="5D80091E"/>
    <w:rsid w:val="5D92680F"/>
    <w:rsid w:val="5DB1138B"/>
    <w:rsid w:val="5DFA3B0D"/>
    <w:rsid w:val="5E127950"/>
    <w:rsid w:val="5E2142BE"/>
    <w:rsid w:val="5E46309F"/>
    <w:rsid w:val="5EF3595D"/>
    <w:rsid w:val="5F182D44"/>
    <w:rsid w:val="5F791660"/>
    <w:rsid w:val="5FCB6008"/>
    <w:rsid w:val="60235E44"/>
    <w:rsid w:val="6025660F"/>
    <w:rsid w:val="60275934"/>
    <w:rsid w:val="609B6531"/>
    <w:rsid w:val="60AA20C1"/>
    <w:rsid w:val="60AD095A"/>
    <w:rsid w:val="6110461A"/>
    <w:rsid w:val="613E1D7A"/>
    <w:rsid w:val="6155027F"/>
    <w:rsid w:val="615A5895"/>
    <w:rsid w:val="615C160D"/>
    <w:rsid w:val="617F74C1"/>
    <w:rsid w:val="618B1EF3"/>
    <w:rsid w:val="61AB7E9F"/>
    <w:rsid w:val="61B41449"/>
    <w:rsid w:val="61BF70C7"/>
    <w:rsid w:val="61CB6793"/>
    <w:rsid w:val="61D218D0"/>
    <w:rsid w:val="61D27B22"/>
    <w:rsid w:val="61DE64C6"/>
    <w:rsid w:val="62017CB5"/>
    <w:rsid w:val="620F042E"/>
    <w:rsid w:val="62140EBC"/>
    <w:rsid w:val="624B3430"/>
    <w:rsid w:val="62683FE2"/>
    <w:rsid w:val="629149FC"/>
    <w:rsid w:val="62B61FB1"/>
    <w:rsid w:val="62C420AF"/>
    <w:rsid w:val="62E80C7F"/>
    <w:rsid w:val="62EE3D6A"/>
    <w:rsid w:val="632B4DA6"/>
    <w:rsid w:val="635527B8"/>
    <w:rsid w:val="63560DE5"/>
    <w:rsid w:val="636E73D6"/>
    <w:rsid w:val="639037F0"/>
    <w:rsid w:val="644A563F"/>
    <w:rsid w:val="645E744B"/>
    <w:rsid w:val="646E0010"/>
    <w:rsid w:val="64D37E39"/>
    <w:rsid w:val="651D2E62"/>
    <w:rsid w:val="652F7039"/>
    <w:rsid w:val="654C1999"/>
    <w:rsid w:val="654E1D12"/>
    <w:rsid w:val="656523C1"/>
    <w:rsid w:val="65AD65DC"/>
    <w:rsid w:val="65B06EDB"/>
    <w:rsid w:val="65D8322D"/>
    <w:rsid w:val="65E903C8"/>
    <w:rsid w:val="65F77B57"/>
    <w:rsid w:val="672D750C"/>
    <w:rsid w:val="67D6379C"/>
    <w:rsid w:val="67F325A0"/>
    <w:rsid w:val="687A3A36"/>
    <w:rsid w:val="688738D3"/>
    <w:rsid w:val="68A45F72"/>
    <w:rsid w:val="68D468B7"/>
    <w:rsid w:val="68FD1C09"/>
    <w:rsid w:val="692400BC"/>
    <w:rsid w:val="69735A0D"/>
    <w:rsid w:val="69795D96"/>
    <w:rsid w:val="69BD4F96"/>
    <w:rsid w:val="69CF69DE"/>
    <w:rsid w:val="69DA3A17"/>
    <w:rsid w:val="6A0665BA"/>
    <w:rsid w:val="6A114F5F"/>
    <w:rsid w:val="6A2133F4"/>
    <w:rsid w:val="6A734C34"/>
    <w:rsid w:val="6AB97AD1"/>
    <w:rsid w:val="6AD54E89"/>
    <w:rsid w:val="6B3C2D98"/>
    <w:rsid w:val="6C1A00FB"/>
    <w:rsid w:val="6C4E4B32"/>
    <w:rsid w:val="6CB5251A"/>
    <w:rsid w:val="6CD81D64"/>
    <w:rsid w:val="6CE10C19"/>
    <w:rsid w:val="6D670FFD"/>
    <w:rsid w:val="6D9244C0"/>
    <w:rsid w:val="6DE30DE0"/>
    <w:rsid w:val="6E1F62E7"/>
    <w:rsid w:val="6E3D6F7B"/>
    <w:rsid w:val="6E3F7887"/>
    <w:rsid w:val="6E4E22DE"/>
    <w:rsid w:val="6E4F18D4"/>
    <w:rsid w:val="6E900E8F"/>
    <w:rsid w:val="6EA713C0"/>
    <w:rsid w:val="6ED22F0F"/>
    <w:rsid w:val="6EDC1FE0"/>
    <w:rsid w:val="6F2614AD"/>
    <w:rsid w:val="6F6049BF"/>
    <w:rsid w:val="6FC00FB9"/>
    <w:rsid w:val="6FC62348"/>
    <w:rsid w:val="6FDB4045"/>
    <w:rsid w:val="70986848"/>
    <w:rsid w:val="709B5583"/>
    <w:rsid w:val="71764D71"/>
    <w:rsid w:val="71AE3282"/>
    <w:rsid w:val="720535FB"/>
    <w:rsid w:val="7214432D"/>
    <w:rsid w:val="72810D31"/>
    <w:rsid w:val="728363E9"/>
    <w:rsid w:val="72A746B3"/>
    <w:rsid w:val="72AA0772"/>
    <w:rsid w:val="72AA7CFF"/>
    <w:rsid w:val="72D53AEE"/>
    <w:rsid w:val="733F2EED"/>
    <w:rsid w:val="73682094"/>
    <w:rsid w:val="73E17F9D"/>
    <w:rsid w:val="740C0C71"/>
    <w:rsid w:val="744B7C3A"/>
    <w:rsid w:val="750E0A19"/>
    <w:rsid w:val="756876F1"/>
    <w:rsid w:val="75E52622"/>
    <w:rsid w:val="763E0E8A"/>
    <w:rsid w:val="76C23869"/>
    <w:rsid w:val="76CA6BC2"/>
    <w:rsid w:val="776D5ECB"/>
    <w:rsid w:val="77CB0ED0"/>
    <w:rsid w:val="77D17C4B"/>
    <w:rsid w:val="77DA4BE2"/>
    <w:rsid w:val="77E45DEA"/>
    <w:rsid w:val="7821016F"/>
    <w:rsid w:val="78277B7D"/>
    <w:rsid w:val="78482494"/>
    <w:rsid w:val="78B362FF"/>
    <w:rsid w:val="78CE219D"/>
    <w:rsid w:val="791E4FA3"/>
    <w:rsid w:val="792C2D1F"/>
    <w:rsid w:val="792C5912"/>
    <w:rsid w:val="79AC660E"/>
    <w:rsid w:val="7A7632E8"/>
    <w:rsid w:val="7A97500D"/>
    <w:rsid w:val="7AA65250"/>
    <w:rsid w:val="7AAA2F92"/>
    <w:rsid w:val="7AB42C75"/>
    <w:rsid w:val="7AB61937"/>
    <w:rsid w:val="7B0703E4"/>
    <w:rsid w:val="7B111613"/>
    <w:rsid w:val="7B310FBD"/>
    <w:rsid w:val="7B3564E4"/>
    <w:rsid w:val="7B7F2AF1"/>
    <w:rsid w:val="7BA774D1"/>
    <w:rsid w:val="7C725D31"/>
    <w:rsid w:val="7C7278F9"/>
    <w:rsid w:val="7C7F3FAA"/>
    <w:rsid w:val="7CAC4FA5"/>
    <w:rsid w:val="7CB83A65"/>
    <w:rsid w:val="7CBB024C"/>
    <w:rsid w:val="7CC55F5D"/>
    <w:rsid w:val="7CF130FA"/>
    <w:rsid w:val="7D372F22"/>
    <w:rsid w:val="7D78752A"/>
    <w:rsid w:val="7D8E0949"/>
    <w:rsid w:val="7DFF35F5"/>
    <w:rsid w:val="7E153475"/>
    <w:rsid w:val="7E165367"/>
    <w:rsid w:val="7E311391"/>
    <w:rsid w:val="7E987BF5"/>
    <w:rsid w:val="7E9A7F9C"/>
    <w:rsid w:val="7ED700CE"/>
    <w:rsid w:val="7EE56A07"/>
    <w:rsid w:val="7EF11DCD"/>
    <w:rsid w:val="7F7C4E6F"/>
    <w:rsid w:val="7FCE38E6"/>
    <w:rsid w:val="7FCE7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jc w:val="both"/>
    </w:pPr>
    <w:rPr>
      <w:rFonts w:ascii="Times New Roman" w:hAnsi="Times New Roman" w:eastAsia="宋体" w:cstheme="minorBidi"/>
      <w:kern w:val="2"/>
      <w:sz w:val="24"/>
      <w:szCs w:val="24"/>
      <w:lang w:val="en-US" w:eastAsia="zh-CN" w:bidi="ar-SA"/>
    </w:rPr>
  </w:style>
  <w:style w:type="paragraph" w:styleId="2">
    <w:name w:val="heading 1"/>
    <w:basedOn w:val="1"/>
    <w:next w:val="1"/>
    <w:qFormat/>
    <w:uiPriority w:val="0"/>
    <w:pPr>
      <w:keepNext/>
      <w:keepLines/>
      <w:numPr>
        <w:ilvl w:val="0"/>
        <w:numId w:val="1"/>
      </w:numPr>
      <w:spacing w:after="80" w:afterLines="80" w:line="288" w:lineRule="auto"/>
      <w:outlineLvl w:val="0"/>
    </w:pPr>
    <w:rPr>
      <w:b/>
      <w:bCs/>
      <w:kern w:val="44"/>
      <w:sz w:val="36"/>
      <w:szCs w:val="36"/>
    </w:rPr>
  </w:style>
  <w:style w:type="paragraph" w:styleId="3">
    <w:name w:val="heading 2"/>
    <w:basedOn w:val="1"/>
    <w:next w:val="4"/>
    <w:unhideWhenUsed/>
    <w:qFormat/>
    <w:uiPriority w:val="0"/>
    <w:pPr>
      <w:keepNext/>
      <w:keepLines/>
      <w:spacing w:before="120" w:beforeLines="120" w:after="80" w:afterLines="80" w:line="288" w:lineRule="auto"/>
      <w:ind w:left="815" w:hanging="575"/>
      <w:outlineLvl w:val="1"/>
    </w:pPr>
    <w:rPr>
      <w:b/>
      <w:bCs/>
      <w:sz w:val="32"/>
      <w:szCs w:val="32"/>
    </w:rPr>
  </w:style>
  <w:style w:type="paragraph" w:styleId="5">
    <w:name w:val="heading 3"/>
    <w:basedOn w:val="1"/>
    <w:next w:val="4"/>
    <w:unhideWhenUsed/>
    <w:qFormat/>
    <w:uiPriority w:val="0"/>
    <w:pPr>
      <w:keepNext/>
      <w:keepLines/>
      <w:spacing w:before="70" w:beforeLines="70" w:after="80" w:afterLines="80" w:line="240" w:lineRule="auto"/>
      <w:ind w:left="720" w:hanging="720"/>
      <w:outlineLvl w:val="2"/>
    </w:pPr>
    <w:rPr>
      <w:rFonts w:ascii="宋体" w:hAnsi="宋体" w:eastAsia="宋体" w:cs="Times New Roman"/>
      <w:b/>
      <w:sz w:val="28"/>
      <w:szCs w:val="32"/>
    </w:rPr>
  </w:style>
  <w:style w:type="paragraph" w:styleId="6">
    <w:name w:val="heading 4"/>
    <w:basedOn w:val="1"/>
    <w:next w:val="1"/>
    <w:link w:val="34"/>
    <w:unhideWhenUsed/>
    <w:qFormat/>
    <w:uiPriority w:val="0"/>
    <w:pPr>
      <w:spacing w:before="50" w:beforeLines="50" w:beforeAutospacing="0" w:after="50" w:afterLines="50" w:afterAutospacing="0" w:line="240" w:lineRule="auto"/>
      <w:jc w:val="left"/>
      <w:outlineLvl w:val="3"/>
    </w:pPr>
    <w:rPr>
      <w:rFonts w:hint="eastAsia" w:ascii="宋体" w:hAnsi="宋体" w:eastAsia="宋体" w:cs="宋体"/>
      <w:b/>
      <w:bCs/>
      <w:kern w:val="0"/>
      <w:lang w:bidi="ar"/>
    </w:rPr>
  </w:style>
  <w:style w:type="paragraph" w:styleId="7">
    <w:name w:val="heading 5"/>
    <w:basedOn w:val="1"/>
    <w:next w:val="1"/>
    <w:unhideWhenUsed/>
    <w:qFormat/>
    <w:uiPriority w:val="0"/>
    <w:pPr>
      <w:keepNext/>
      <w:keepLines/>
      <w:spacing w:before="120" w:beforeLines="120" w:after="80" w:afterLines="80" w:line="288" w:lineRule="auto"/>
      <w:ind w:left="1008" w:hanging="1008"/>
      <w:outlineLvl w:val="4"/>
    </w:pPr>
    <w:rPr>
      <w:b/>
      <w:bCs/>
    </w:rPr>
  </w:style>
  <w:style w:type="paragraph" w:styleId="8">
    <w:name w:val="heading 6"/>
    <w:basedOn w:val="1"/>
    <w:next w:val="1"/>
    <w:unhideWhenUsed/>
    <w:qFormat/>
    <w:uiPriority w:val="0"/>
    <w:pPr>
      <w:keepNext/>
      <w:keepLines/>
      <w:spacing w:before="120" w:beforeLines="120" w:after="80" w:afterLines="80" w:line="288" w:lineRule="auto"/>
      <w:ind w:left="1151" w:hanging="1151"/>
      <w:outlineLvl w:val="5"/>
    </w:pPr>
    <w:rPr>
      <w:rFonts w:asciiTheme="minorHAnsi" w:hAnsiTheme="minorHAnsi" w:eastAsiaTheme="minorEastAsia"/>
      <w:b/>
      <w:bCs/>
    </w:rPr>
  </w:style>
  <w:style w:type="paragraph" w:styleId="9">
    <w:name w:val="heading 7"/>
    <w:basedOn w:val="1"/>
    <w:unhideWhenUsed/>
    <w:qFormat/>
    <w:uiPriority w:val="0"/>
    <w:pPr>
      <w:keepNext/>
      <w:keepLines/>
      <w:numPr>
        <w:ilvl w:val="6"/>
        <w:numId w:val="1"/>
      </w:numPr>
      <w:spacing w:before="120" w:beforeLines="120" w:after="80" w:afterLines="80" w:line="288" w:lineRule="auto"/>
      <w:outlineLvl w:val="6"/>
    </w:pPr>
    <w:rPr>
      <w:rFonts w:asciiTheme="minorHAnsi" w:hAnsiTheme="minorHAnsi" w:eastAsiaTheme="minorEastAsia"/>
      <w:b/>
      <w:bCs/>
    </w:rPr>
  </w:style>
  <w:style w:type="paragraph" w:styleId="10">
    <w:name w:val="heading 8"/>
    <w:basedOn w:val="1"/>
    <w:unhideWhenUsed/>
    <w:qFormat/>
    <w:uiPriority w:val="0"/>
    <w:pPr>
      <w:keepNext/>
      <w:keepLines/>
      <w:numPr>
        <w:ilvl w:val="7"/>
        <w:numId w:val="1"/>
      </w:numPr>
      <w:spacing w:before="120" w:beforeLines="120" w:after="80" w:afterLines="80" w:line="288" w:lineRule="auto"/>
      <w:outlineLvl w:val="7"/>
    </w:pPr>
    <w:rPr>
      <w:rFonts w:asciiTheme="minorHAnsi" w:hAnsiTheme="minorHAnsi" w:eastAsiaTheme="minorEastAsia"/>
      <w:b/>
      <w:bCs/>
    </w:rPr>
  </w:style>
  <w:style w:type="paragraph" w:styleId="11">
    <w:name w:val="heading 9"/>
    <w:basedOn w:val="1"/>
    <w:unhideWhenUsed/>
    <w:qFormat/>
    <w:uiPriority w:val="0"/>
    <w:pPr>
      <w:keepNext/>
      <w:keepLines/>
      <w:numPr>
        <w:ilvl w:val="8"/>
        <w:numId w:val="1"/>
      </w:numPr>
      <w:spacing w:before="120" w:beforeLines="120" w:after="80" w:afterLines="80" w:line="288" w:lineRule="auto"/>
      <w:outlineLvl w:val="8"/>
    </w:pPr>
    <w:rPr>
      <w:rFonts w:asciiTheme="minorHAnsi" w:hAnsiTheme="minorHAnsi" w:eastAsiaTheme="minorEastAsia"/>
      <w:b/>
      <w:bCs/>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32"/>
    <w:qFormat/>
    <w:uiPriority w:val="99"/>
    <w:pPr>
      <w:ind w:firstLine="1044" w:firstLineChars="200"/>
    </w:pPr>
    <w:rPr>
      <w:rFonts w:ascii="Times New Roman" w:hAnsi="Times New Roman" w:eastAsia="宋体"/>
    </w:rPr>
  </w:style>
  <w:style w:type="paragraph" w:styleId="12">
    <w:name w:val="caption"/>
    <w:basedOn w:val="1"/>
    <w:next w:val="1"/>
    <w:unhideWhenUsed/>
    <w:qFormat/>
    <w:uiPriority w:val="0"/>
    <w:rPr>
      <w:rFonts w:eastAsia="黑体" w:asciiTheme="majorHAnsi" w:hAnsiTheme="majorHAnsi" w:cstheme="majorBidi"/>
      <w:sz w:val="20"/>
      <w:szCs w:val="20"/>
    </w:rPr>
  </w:style>
  <w:style w:type="paragraph" w:styleId="13">
    <w:name w:val="annotation text"/>
    <w:basedOn w:val="1"/>
    <w:qFormat/>
    <w:uiPriority w:val="0"/>
    <w:pPr>
      <w:jc w:val="left"/>
    </w:pPr>
    <w:rPr>
      <w:rFonts w:cs="Times New Roman"/>
    </w:rPr>
  </w:style>
  <w:style w:type="paragraph" w:styleId="14">
    <w:name w:val="Body Text Indent"/>
    <w:basedOn w:val="1"/>
    <w:link w:val="46"/>
    <w:qFormat/>
    <w:uiPriority w:val="0"/>
    <w:pPr>
      <w:ind w:left="0" w:leftChars="0" w:firstLine="1044" w:firstLineChars="200"/>
    </w:pPr>
  </w:style>
  <w:style w:type="paragraph" w:styleId="15">
    <w:name w:val="footer"/>
    <w:basedOn w:val="1"/>
    <w:qFormat/>
    <w:uiPriority w:val="0"/>
    <w:pPr>
      <w:tabs>
        <w:tab w:val="center" w:pos="4153"/>
        <w:tab w:val="right" w:pos="8306"/>
      </w:tabs>
      <w:jc w:val="left"/>
    </w:pPr>
    <w:rPr>
      <w:sz w:val="18"/>
      <w:szCs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szCs w:val="18"/>
    </w:rPr>
  </w:style>
  <w:style w:type="paragraph" w:styleId="17">
    <w:name w:val="toc 1"/>
    <w:basedOn w:val="1"/>
    <w:next w:val="1"/>
    <w:qFormat/>
    <w:uiPriority w:val="0"/>
  </w:style>
  <w:style w:type="paragraph" w:styleId="18">
    <w:name w:val="Subtitle"/>
    <w:basedOn w:val="1"/>
    <w:qFormat/>
    <w:uiPriority w:val="0"/>
    <w:pPr>
      <w:spacing w:before="240" w:after="60" w:line="312" w:lineRule="auto"/>
      <w:jc w:val="center"/>
      <w:outlineLvl w:val="1"/>
    </w:pPr>
    <w:rPr>
      <w:rFonts w:asciiTheme="majorHAnsi" w:hAnsiTheme="majorHAnsi" w:eastAsiaTheme="majorEastAsia"/>
      <w:b/>
      <w:kern w:val="28"/>
      <w:sz w:val="32"/>
      <w:szCs w:val="32"/>
    </w:rPr>
  </w:style>
  <w:style w:type="paragraph" w:styleId="19">
    <w:name w:val="toc 2"/>
    <w:basedOn w:val="1"/>
    <w:next w:val="1"/>
    <w:qFormat/>
    <w:uiPriority w:val="0"/>
    <w:pPr>
      <w:ind w:left="420" w:leftChars="200"/>
    </w:p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1">
    <w:name w:val="Title"/>
    <w:basedOn w:val="1"/>
    <w:qFormat/>
    <w:uiPriority w:val="0"/>
    <w:pPr>
      <w:spacing w:after="100" w:afterLines="100"/>
      <w:jc w:val="center"/>
      <w:outlineLvl w:val="0"/>
    </w:pPr>
    <w:rPr>
      <w:rFonts w:asciiTheme="majorHAnsi" w:hAnsiTheme="majorHAnsi" w:eastAsiaTheme="majorEastAsia"/>
      <w:b/>
      <w:bCs/>
      <w:sz w:val="44"/>
      <w:szCs w:val="44"/>
    </w:rPr>
  </w:style>
  <w:style w:type="table" w:styleId="23">
    <w:name w:val="Table Grid"/>
    <w:basedOn w:val="22"/>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qFormat/>
    <w:uiPriority w:val="0"/>
    <w:rPr>
      <w:b/>
    </w:rPr>
  </w:style>
  <w:style w:type="character" w:styleId="26">
    <w:name w:val="page number"/>
    <w:qFormat/>
    <w:uiPriority w:val="0"/>
    <w:rPr>
      <w:rFonts w:cs="Times New Roman" w:asciiTheme="minorHAnsi" w:hAnsiTheme="minorHAnsi" w:eastAsiaTheme="minorEastAsia"/>
      <w:color w:val="262626" w:themeColor="text1" w:themeTint="D9"/>
      <w:spacing w:val="-6"/>
      <w:kern w:val="2"/>
      <w:sz w:val="28"/>
      <w:szCs w:val="28"/>
      <w:lang w:val="en-US" w:eastAsia="zh-CN" w:bidi="ar-SA"/>
      <w14:textFill>
        <w14:solidFill>
          <w14:schemeClr w14:val="tx1">
            <w14:lumMod w14:val="85000"/>
            <w14:lumOff w14:val="15000"/>
          </w14:schemeClr>
        </w14:solidFill>
      </w14:textFill>
    </w:rPr>
  </w:style>
  <w:style w:type="character" w:styleId="27">
    <w:name w:val="Hyperlink"/>
    <w:basedOn w:val="24"/>
    <w:unhideWhenUsed/>
    <w:qFormat/>
    <w:uiPriority w:val="99"/>
    <w:rPr>
      <w:color w:val="0026E5" w:themeColor="hyperlink"/>
      <w:u w:val="single"/>
      <w14:textFill>
        <w14:solidFill>
          <w14:schemeClr w14:val="hlink"/>
        </w14:solidFill>
      </w14:textFill>
    </w:rPr>
  </w:style>
  <w:style w:type="character" w:styleId="28">
    <w:name w:val="annotation reference"/>
    <w:qFormat/>
    <w:uiPriority w:val="0"/>
    <w:rPr>
      <w:sz w:val="21"/>
      <w:szCs w:val="21"/>
    </w:rPr>
  </w:style>
  <w:style w:type="paragraph" w:customStyle="1" w:styleId="29">
    <w:name w:val="表格标题"/>
    <w:basedOn w:val="1"/>
    <w:qFormat/>
    <w:uiPriority w:val="0"/>
    <w:pPr>
      <w:ind w:firstLine="0" w:firstLineChars="0"/>
      <w:jc w:val="center"/>
    </w:pPr>
    <w:rPr>
      <w:rFonts w:cs="Times New Roman" w:eastAsiaTheme="minorEastAsia"/>
      <w:b/>
      <w:bCs/>
    </w:rPr>
  </w:style>
  <w:style w:type="paragraph" w:customStyle="1" w:styleId="30">
    <w:name w:val="表内文字"/>
    <w:basedOn w:val="1"/>
    <w:qFormat/>
    <w:uiPriority w:val="0"/>
    <w:pPr>
      <w:spacing w:line="300" w:lineRule="exact"/>
      <w:jc w:val="left"/>
    </w:pPr>
    <w:rPr>
      <w:rFonts w:eastAsia="宋体" w:cs="Times New Roman"/>
      <w:kern w:val="0"/>
      <w:sz w:val="21"/>
      <w:szCs w:val="21"/>
    </w:rPr>
  </w:style>
  <w:style w:type="paragraph" w:styleId="31">
    <w:name w:val="List Paragraph"/>
    <w:basedOn w:val="1"/>
    <w:semiHidden/>
    <w:unhideWhenUsed/>
    <w:qFormat/>
    <w:uiPriority w:val="99"/>
    <w:pPr>
      <w:ind w:firstLine="420" w:firstLineChars="200"/>
    </w:pPr>
  </w:style>
  <w:style w:type="character" w:customStyle="1" w:styleId="32">
    <w:name w:val="正文缩进 Char"/>
    <w:link w:val="4"/>
    <w:qFormat/>
    <w:uiPriority w:val="99"/>
    <w:rPr>
      <w:rFonts w:ascii="Times New Roman" w:hAnsi="Times New Roman" w:eastAsia="宋体"/>
    </w:rPr>
  </w:style>
  <w:style w:type="paragraph" w:customStyle="1" w:styleId="33">
    <w:name w:val="表格内容"/>
    <w:qFormat/>
    <w:uiPriority w:val="0"/>
    <w:pPr>
      <w:spacing w:line="240" w:lineRule="auto"/>
      <w:ind w:firstLine="0" w:firstLineChars="0"/>
      <w:jc w:val="center"/>
    </w:pPr>
    <w:rPr>
      <w:rFonts w:ascii="Times New Roman" w:hAnsi="Times New Roman" w:eastAsia="方正仿宋_GBK" w:cs="Times New Roman"/>
      <w:sz w:val="20"/>
    </w:rPr>
  </w:style>
  <w:style w:type="character" w:customStyle="1" w:styleId="34">
    <w:name w:val="标题 4 Char"/>
    <w:link w:val="6"/>
    <w:qFormat/>
    <w:uiPriority w:val="0"/>
    <w:rPr>
      <w:rFonts w:hint="eastAsia" w:ascii="宋体" w:hAnsi="宋体" w:eastAsia="宋体" w:cs="宋体"/>
      <w:b/>
      <w:bCs/>
      <w:kern w:val="0"/>
      <w:sz w:val="24"/>
      <w:szCs w:val="24"/>
      <w:lang w:val="en-US" w:eastAsia="zh-CN" w:bidi="ar"/>
    </w:rPr>
  </w:style>
  <w:style w:type="paragraph" w:customStyle="1" w:styleId="35">
    <w:name w:val="表格"/>
    <w:basedOn w:val="1"/>
    <w:qFormat/>
    <w:uiPriority w:val="0"/>
    <w:pPr>
      <w:spacing w:line="260" w:lineRule="exact"/>
      <w:ind w:firstLine="0" w:firstLineChars="0"/>
      <w:jc w:val="center"/>
    </w:pPr>
    <w:rPr>
      <w:rFonts w:cs="Times New Roman"/>
      <w:sz w:val="21"/>
      <w:szCs w:val="18"/>
    </w:rPr>
  </w:style>
  <w:style w:type="paragraph" w:customStyle="1" w:styleId="36">
    <w:name w:val="无间隔1"/>
    <w:basedOn w:val="1"/>
    <w:qFormat/>
    <w:uiPriority w:val="0"/>
    <w:pPr>
      <w:adjustRightInd/>
      <w:spacing w:line="240" w:lineRule="auto"/>
      <w:jc w:val="center"/>
    </w:pPr>
    <w:rPr>
      <w:rFonts w:cs="Times New Roman"/>
      <w:kern w:val="0"/>
      <w:sz w:val="21"/>
      <w:szCs w:val="21"/>
    </w:rPr>
  </w:style>
  <w:style w:type="paragraph" w:customStyle="1" w:styleId="37">
    <w:name w:val="报告正文"/>
    <w:basedOn w:val="1"/>
    <w:qFormat/>
    <w:uiPriority w:val="0"/>
    <w:pPr>
      <w:spacing w:line="360" w:lineRule="auto"/>
      <w:ind w:firstLine="200" w:firstLineChars="200"/>
    </w:pPr>
    <w:rPr>
      <w:rFonts w:ascii="Times New Roman" w:hAnsi="Times New Roman"/>
      <w:sz w:val="24"/>
    </w:rPr>
  </w:style>
  <w:style w:type="character" w:customStyle="1" w:styleId="38">
    <w:name w:val="表格内容 Char"/>
    <w:qFormat/>
    <w:uiPriority w:val="0"/>
    <w:rPr>
      <w:rFonts w:ascii="Times New Roman" w:hAnsi="Times New Roman" w:eastAsia="宋体"/>
      <w:sz w:val="21"/>
    </w:rPr>
  </w:style>
  <w:style w:type="character" w:customStyle="1" w:styleId="39">
    <w:name w:val="font11"/>
    <w:basedOn w:val="24"/>
    <w:qFormat/>
    <w:uiPriority w:val="0"/>
    <w:rPr>
      <w:rFonts w:hint="eastAsia" w:ascii="宋体" w:hAnsi="宋体" w:eastAsia="宋体" w:cs="宋体"/>
      <w:color w:val="0000FF"/>
      <w:sz w:val="20"/>
      <w:szCs w:val="20"/>
      <w:u w:val="none"/>
    </w:rPr>
  </w:style>
  <w:style w:type="character" w:customStyle="1" w:styleId="40">
    <w:name w:val="font21"/>
    <w:basedOn w:val="24"/>
    <w:qFormat/>
    <w:uiPriority w:val="0"/>
    <w:rPr>
      <w:rFonts w:hint="default" w:ascii="Times New Roman" w:hAnsi="Times New Roman" w:cs="Times New Roman"/>
      <w:color w:val="0000FF"/>
      <w:sz w:val="20"/>
      <w:szCs w:val="20"/>
      <w:u w:val="none"/>
    </w:rPr>
  </w:style>
  <w:style w:type="paragraph" w:customStyle="1" w:styleId="41">
    <w:name w:val="表标题"/>
    <w:basedOn w:val="1"/>
    <w:next w:val="1"/>
    <w:qFormat/>
    <w:uiPriority w:val="0"/>
    <w:pPr>
      <w:numPr>
        <w:ilvl w:val="5"/>
        <w:numId w:val="2"/>
      </w:numPr>
      <w:snapToGrid/>
      <w:spacing w:line="240" w:lineRule="auto"/>
      <w:ind w:left="0" w:firstLine="0" w:firstLineChars="0"/>
      <w:jc w:val="center"/>
    </w:pPr>
    <w:rPr>
      <w:rFonts w:eastAsia="黑体"/>
      <w:snapToGrid w:val="0"/>
      <w:color w:val="000000"/>
      <w:kern w:val="0"/>
    </w:rPr>
  </w:style>
  <w:style w:type="paragraph" w:customStyle="1" w:styleId="42">
    <w:name w:val="图标题"/>
    <w:basedOn w:val="1"/>
    <w:qFormat/>
    <w:uiPriority w:val="0"/>
    <w:pPr>
      <w:autoSpaceDE/>
      <w:autoSpaceDN/>
      <w:spacing w:line="240" w:lineRule="auto"/>
      <w:ind w:firstLine="0" w:firstLineChars="0"/>
      <w:jc w:val="center"/>
    </w:pPr>
    <w:rPr>
      <w:rFonts w:eastAsia="黑体" w:cstheme="minorBidi"/>
      <w:kern w:val="2"/>
      <w:szCs w:val="22"/>
    </w:rPr>
  </w:style>
  <w:style w:type="character" w:customStyle="1" w:styleId="43">
    <w:name w:val="font01"/>
    <w:basedOn w:val="24"/>
    <w:qFormat/>
    <w:uiPriority w:val="0"/>
    <w:rPr>
      <w:rFonts w:hint="eastAsia" w:ascii="宋体" w:hAnsi="宋体" w:eastAsia="宋体" w:cs="宋体"/>
      <w:color w:val="000000"/>
      <w:sz w:val="22"/>
      <w:szCs w:val="22"/>
      <w:u w:val="none"/>
    </w:rPr>
  </w:style>
  <w:style w:type="character" w:customStyle="1" w:styleId="44">
    <w:name w:val="font31"/>
    <w:basedOn w:val="24"/>
    <w:qFormat/>
    <w:uiPriority w:val="0"/>
    <w:rPr>
      <w:rFonts w:hint="eastAsia" w:ascii="宋体" w:hAnsi="宋体" w:eastAsia="宋体" w:cs="宋体"/>
      <w:b/>
      <w:bCs/>
      <w:color w:val="000000"/>
      <w:sz w:val="22"/>
      <w:szCs w:val="22"/>
      <w:u w:val="none"/>
    </w:rPr>
  </w:style>
  <w:style w:type="character" w:customStyle="1" w:styleId="45">
    <w:name w:val="font61"/>
    <w:qFormat/>
    <w:uiPriority w:val="0"/>
    <w:rPr>
      <w:rFonts w:hint="default" w:ascii="Times New Roman" w:hAnsi="Times New Roman" w:cs="Times New Roman"/>
      <w:color w:val="000000"/>
      <w:sz w:val="18"/>
      <w:szCs w:val="18"/>
      <w:u w:val="none"/>
      <w:vertAlign w:val="superscript"/>
    </w:rPr>
  </w:style>
  <w:style w:type="character" w:customStyle="1" w:styleId="46">
    <w:name w:val="正文文本缩进 Char"/>
    <w:link w:val="14"/>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numbering" Target="numbering.xml"/><Relationship Id="rId5" Type="http://schemas.openxmlformats.org/officeDocument/2006/relationships/header" Target="header1.xml"/><Relationship Id="rId49" Type="http://schemas.openxmlformats.org/officeDocument/2006/relationships/customXml" Target="../customXml/item1.xml"/><Relationship Id="rId48" Type="http://schemas.openxmlformats.org/officeDocument/2006/relationships/image" Target="media/image29.png"/><Relationship Id="rId47" Type="http://schemas.openxmlformats.org/officeDocument/2006/relationships/image" Target="media/image28.wmf"/><Relationship Id="rId46" Type="http://schemas.openxmlformats.org/officeDocument/2006/relationships/oleObject" Target="embeddings/oleObject3.bin"/><Relationship Id="rId45" Type="http://schemas.openxmlformats.org/officeDocument/2006/relationships/image" Target="media/image27.wmf"/><Relationship Id="rId44" Type="http://schemas.openxmlformats.org/officeDocument/2006/relationships/oleObject" Target="embeddings/oleObject2.bin"/><Relationship Id="rId43" Type="http://schemas.openxmlformats.org/officeDocument/2006/relationships/image" Target="media/image26.wmf"/><Relationship Id="rId42" Type="http://schemas.openxmlformats.org/officeDocument/2006/relationships/oleObject" Target="embeddings/oleObject1.bin"/><Relationship Id="rId41" Type="http://schemas.openxmlformats.org/officeDocument/2006/relationships/image" Target="media/image25.png"/><Relationship Id="rId40" Type="http://schemas.openxmlformats.org/officeDocument/2006/relationships/chart" Target="charts/chart1.xml"/><Relationship Id="rId4" Type="http://schemas.openxmlformats.org/officeDocument/2006/relationships/endnotes" Target="endnotes.xml"/><Relationship Id="rId39" Type="http://schemas.openxmlformats.org/officeDocument/2006/relationships/image" Target="media/image24.jpe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footnotes" Target="footnotes.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header" Target="header4.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E:\20260616&#26354;&#38742;&#24066;&#21335;&#30424;&#27743;&#27969;&#22495;&#32508;&#21512;&#35268;&#21010;\0SF&#22788;&#29702;26\3&#34920;\&#25935;&#24863;&#21306;&#26680;&#26597;26070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自然保护地整合优化前后对比</a:t>
            </a:r>
          </a:p>
        </c:rich>
      </c:tx>
      <c:layout/>
      <c:overlay val="0"/>
      <c:spPr>
        <a:noFill/>
        <a:ln>
          <a:noFill/>
        </a:ln>
        <a:effectLst/>
      </c:spPr>
    </c:title>
    <c:autoTitleDeleted val="0"/>
    <c:plotArea>
      <c:layout/>
      <c:barChart>
        <c:barDir val="col"/>
        <c:grouping val="clustered"/>
        <c:varyColors val="0"/>
        <c:ser>
          <c:idx val="0"/>
          <c:order val="0"/>
          <c:tx>
            <c:strRef>
              <c:f>'[敏感区核查260707.xlsx]敏感区 (曲靖市南盘江流域)'!$P$4</c:f>
              <c:strCache>
                <c:ptCount val="1"/>
                <c:pt idx="0">
                  <c:v>现状自然保护地</c:v>
                </c:pt>
              </c:strCache>
            </c:strRef>
          </c:tx>
          <c:spPr>
            <a:solidFill>
              <a:schemeClr val="accent1"/>
            </a:solidFill>
            <a:ln>
              <a:noFill/>
            </a:ln>
            <a:effectLst/>
          </c:spPr>
          <c:invertIfNegative val="0"/>
          <c:dLbls>
            <c:delete val="1"/>
          </c:dLbls>
          <c:cat>
            <c:strRef>
              <c:f>'[敏感区核查260707.xlsx]敏感区 (曲靖市南盘江流域)'!$O$5:$O$10</c:f>
              <c:strCache>
                <c:ptCount val="6"/>
                <c:pt idx="0">
                  <c:v>自然保护区</c:v>
                </c:pt>
                <c:pt idx="1">
                  <c:v>风景名胜区</c:v>
                </c:pt>
                <c:pt idx="2">
                  <c:v>森林公园</c:v>
                </c:pt>
                <c:pt idx="3">
                  <c:v>地质公园</c:v>
                </c:pt>
                <c:pt idx="4">
                  <c:v>湿地公园</c:v>
                </c:pt>
                <c:pt idx="5">
                  <c:v>沙漠公园</c:v>
                </c:pt>
              </c:strCache>
            </c:strRef>
          </c:cat>
          <c:val>
            <c:numRef>
              <c:f>'[敏感区核查260707.xlsx]敏感区 (曲靖市南盘江流域)'!$P$5:$P$10</c:f>
              <c:numCache>
                <c:formatCode>General</c:formatCode>
                <c:ptCount val="6"/>
                <c:pt idx="0">
                  <c:v>15</c:v>
                </c:pt>
                <c:pt idx="1">
                  <c:v>5</c:v>
                </c:pt>
                <c:pt idx="2">
                  <c:v>4</c:v>
                </c:pt>
                <c:pt idx="3">
                  <c:v>1</c:v>
                </c:pt>
                <c:pt idx="4">
                  <c:v>1</c:v>
                </c:pt>
                <c:pt idx="5">
                  <c:v>1</c:v>
                </c:pt>
              </c:numCache>
            </c:numRef>
          </c:val>
        </c:ser>
        <c:ser>
          <c:idx val="1"/>
          <c:order val="1"/>
          <c:tx>
            <c:strRef>
              <c:f>'[敏感区核查260707.xlsx]敏感区 (曲靖市南盘江流域)'!$Q$4</c:f>
              <c:strCache>
                <c:ptCount val="1"/>
                <c:pt idx="0">
                  <c:v>优化后自然保护地</c:v>
                </c:pt>
              </c:strCache>
            </c:strRef>
          </c:tx>
          <c:spPr>
            <a:solidFill>
              <a:schemeClr val="accent2"/>
            </a:solidFill>
            <a:ln>
              <a:noFill/>
            </a:ln>
            <a:effectLst/>
          </c:spPr>
          <c:invertIfNegative val="0"/>
          <c:dLbls>
            <c:delete val="1"/>
          </c:dLbls>
          <c:cat>
            <c:strRef>
              <c:f>'[敏感区核查260707.xlsx]敏感区 (曲靖市南盘江流域)'!$O$5:$O$10</c:f>
              <c:strCache>
                <c:ptCount val="6"/>
                <c:pt idx="0">
                  <c:v>自然保护区</c:v>
                </c:pt>
                <c:pt idx="1">
                  <c:v>风景名胜区</c:v>
                </c:pt>
                <c:pt idx="2">
                  <c:v>森林公园</c:v>
                </c:pt>
                <c:pt idx="3">
                  <c:v>地质公园</c:v>
                </c:pt>
                <c:pt idx="4">
                  <c:v>湿地公园</c:v>
                </c:pt>
                <c:pt idx="5">
                  <c:v>沙漠公园</c:v>
                </c:pt>
              </c:strCache>
            </c:strRef>
          </c:cat>
          <c:val>
            <c:numRef>
              <c:f>'[敏感区核查260707.xlsx]敏感区 (曲靖市南盘江流域)'!$Q$5:$Q$10</c:f>
              <c:numCache>
                <c:formatCode>General</c:formatCode>
                <c:ptCount val="6"/>
                <c:pt idx="0">
                  <c:v>4</c:v>
                </c:pt>
                <c:pt idx="1">
                  <c:v>5</c:v>
                </c:pt>
                <c:pt idx="2">
                  <c:v>5</c:v>
                </c:pt>
                <c:pt idx="3">
                  <c:v>1</c:v>
                </c:pt>
                <c:pt idx="4">
                  <c:v>2</c:v>
                </c:pt>
              </c:numCache>
            </c:numRef>
          </c:val>
        </c:ser>
        <c:dLbls>
          <c:showLegendKey val="0"/>
          <c:showVal val="0"/>
          <c:showCatName val="0"/>
          <c:showSerName val="0"/>
          <c:showPercent val="0"/>
          <c:showBubbleSize val="0"/>
        </c:dLbls>
        <c:gapWidth val="246"/>
        <c:overlap val="-28"/>
        <c:axId val="88590922"/>
        <c:axId val="804213474"/>
      </c:barChart>
      <c:catAx>
        <c:axId val="8859092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4213474"/>
        <c:crosses val="autoZero"/>
        <c:auto val="1"/>
        <c:lblAlgn val="ctr"/>
        <c:lblOffset val="100"/>
        <c:noMultiLvlLbl val="0"/>
      </c:catAx>
      <c:valAx>
        <c:axId val="80421347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859092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3561c0b-bc21-436c-ba35-3f23dedf09e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ce5dfc4b-390e-48ea-805d-3439e844dad6</errorID>
      <errorWord>。</errorWord>
      <group>L1_Grammar</group>
      <groupName>语法问题</groupName>
      <ability>L2_Grammar</ability>
      <abilityName>语法错误</abilityName>
      <candidateList>
        <item>，现开展本评价工作。</item>
      </candidateList>
      <explain/>
      <paraID>  A92C6D</paraID>
      <start>85</start>
      <end>86</end>
      <status>unmodified</status>
      <modifiedWord/>
      <trackRevisions>false</trackRevisions>
    </reviewItem>
    <reviewItem>
      <errorID>ba1ce566-e8d7-4bd0-9bcb-500b018be398</errorID>
      <errorWord>，</errorWord>
      <group>L1_Punc</group>
      <groupName>标点问题</groupName>
      <ability>L2_Punc_CN</ability>
      <abilityName>标点符号问题</abilityName>
      <candidateList>
        <item>、</item>
      </candidateList>
      <explain/>
      <paraID>4CCD928D</paraID>
      <start>249</start>
      <end>250</end>
      <status>unmodified</status>
      <modifiedWord/>
      <trackRevisions>false</trackRevisions>
    </reviewItem>
    <reviewItem>
      <errorID>b199ffcc-77e2-492d-8fe0-2cd076a8cc63</errorID>
      <errorWord>，</errorWord>
      <group>L1_Punc</group>
      <groupName>标点问题</groupName>
      <ability>L2_Punc_CN</ability>
      <abilityName>标点符号问题</abilityName>
      <candidateList>
        <item>、</item>
      </candidateList>
      <explain/>
      <paraID> 1B58521</paraID>
      <start>7</start>
      <end>8</end>
      <status>unmodified</status>
      <modifiedWord/>
      <trackRevisions>false</trackRevisions>
    </reviewItem>
    <reviewItem>
      <errorID>f7ae8a49-828c-4ff3-9553-6fd81aeb53eb</errorID>
      <errorWord>HJ2</errorWord>
      <group>L1_Word</group>
      <groupName>字词问题</groupName>
      <ability>L2_Typo</ability>
      <abilityName>字词错误</abilityName>
      <candidateList>
        <item>HJ 2</item>
      </candidateList>
      <explain/>
      <paraID>1A494777</paraID>
      <start>19</start>
      <end>22</end>
      <status>unmodified</status>
      <modifiedWord/>
      <trackRevisions>false</trackRevisions>
    </reviewItem>
    <reviewItem>
      <errorID>23f7dfd9-16fb-4b76-ad89-9f8f95aab831</errorID>
      <errorWord>HJ610</errorWord>
      <group>L1_Word</group>
      <groupName>字词问题</groupName>
      <ability>L2_Typo</ability>
      <abilityName>字词错误</abilityName>
      <candidateList>
        <item>HJ 610</item>
      </candidateList>
      <explain/>
      <paraID>1F7A0791</paraID>
      <start>19</start>
      <end>24</end>
      <status>unmodified</status>
      <modifiedWord/>
      <trackRevisions>false</trackRevisions>
    </reviewItem>
    <reviewItem>
      <errorID>111af3bc-8a8a-4e8b-b40a-3c4e64cf9780</errorID>
      <errorWord>HJ2</errorWord>
      <group>L1_Word</group>
      <groupName>字词问题</groupName>
      <ability>L2_Typo</ability>
      <abilityName>字词错误</abilityName>
      <candidateList>
        <item>HJ 2</item>
      </candidateList>
      <explain/>
      <paraID>7126ECCD</paraID>
      <start>17</start>
      <end>20</end>
      <status>unmodified</status>
      <modifiedWord/>
      <trackRevisions>false</trackRevisions>
    </reviewItem>
    <reviewItem>
      <errorID>ff92982a-8b94-4bd6-9bfa-17d92016b7fe</errorID>
      <errorWord>HJ19</errorWord>
      <group>L1_Word</group>
      <groupName>字词问题</groupName>
      <ability>L2_Typo</ability>
      <abilityName>字词错误</abilityName>
      <candidateList>
        <item>HJ 19</item>
      </candidateList>
      <explain/>
      <paraID>7E1A4910</paraID>
      <start>18</start>
      <end>22</end>
      <status>unmodified</status>
      <modifiedWord/>
      <trackRevisions>false</trackRevisions>
    </reviewItem>
    <reviewItem>
      <errorID>48731ca8-0f0f-4c91-8797-41a4e195c3e0</errorID>
      <errorWord>农用地</errorWord>
      <group>L1_Word</group>
      <groupName>字词问题</groupName>
      <ability>L2_Typo</ability>
      <abilityName>字词错误</abilityName>
      <candidateList>
        <item> 农用地</item>
      </candidateList>
      <explain/>
      <paraID>152771AB</paraID>
      <start>7</start>
      <end>10</end>
      <status>unmodified</status>
      <modifiedWord/>
      <trackRevisions>false</trackRevisions>
    </reviewItem>
    <reviewItem>
      <errorID>96430581-d983-471a-9713-1b401b2918fe</errorID>
      <errorWord>GB15618</errorWord>
      <group>L1_Word</group>
      <groupName>字词问题</groupName>
      <ability>L2_Typo</ability>
      <abilityName>字词错误</abilityName>
      <candidateList>
        <item>GB 15618</item>
      </candidateList>
      <explain/>
      <paraID>152771AB</paraID>
      <start>26</start>
      <end>33</end>
      <status>unmodified</status>
      <modifiedWord/>
      <trackRevisions>false</trackRevisions>
    </reviewItem>
    <reviewItem>
      <errorID>383888c4-674b-4374-becb-f33561799a35</errorID>
      <errorWord>T88</errorWord>
      <group>L1_Word</group>
      <groupName>字词问题</groupName>
      <ability>L2_Typo</ability>
      <abilityName>字词错误</abilityName>
      <candidateList>
        <item>T 88</item>
      </candidateList>
      <explain/>
      <paraID> 97AF4D4</paraID>
      <start>23</start>
      <end>26</end>
      <status>unmodified</status>
      <modifiedWord/>
      <trackRevisions>false</trackRevisions>
    </reviewItem>
    <reviewItem>
      <errorID>a0891185-57a7-492e-a36a-ed0a4c5c4f7e</errorID>
      <errorWord>T91</errorWord>
      <group>L1_Word</group>
      <groupName>字词问题</groupName>
      <ability>L2_Typo</ability>
      <abilityName>字词错误</abilityName>
      <candidateList>
        <item>T 91</item>
      </candidateList>
      <explain/>
      <paraID>2EB3EA42</paraID>
      <start>18</start>
      <end>21</end>
      <status>unmodified</status>
      <modifiedWord/>
      <trackRevisions>false</trackRevisions>
    </reviewItem>
    <reviewItem>
      <errorID>68ad8683-4686-4353-a808-61f8e048510c</errorID>
      <errorWord>GB5749</errorWord>
      <group>L1_Word</group>
      <groupName>字词问题</groupName>
      <ability>L2_Typo</ability>
      <abilityName>字词错误</abilityName>
      <candidateList>
        <item>GB 5749</item>
      </candidateList>
      <explain/>
      <paraID>328E43F4</paraID>
      <start>12</start>
      <end>18</end>
      <status>unmodified</status>
      <modifiedWord/>
      <trackRevisions>false</trackRevisions>
    </reviewItem>
    <reviewItem>
      <errorID>d39489bb-3629-48e2-a692-f40c56a2f1c2</errorID>
      <errorWord>GB3838</errorWord>
      <group>L1_Word</group>
      <groupName>字词问题</groupName>
      <ability>L2_Typo</ability>
      <abilityName>字词错误</abilityName>
      <candidateList>
        <item>GB 3838</item>
      </candidateList>
      <explain/>
      <paraID>391E0FD7</paraID>
      <start>12</start>
      <end>18</end>
      <status>unmodified</status>
      <modifiedWord/>
      <trackRevisions>false</trackRevisions>
    </reviewItem>
    <reviewItem>
      <errorID>8aa184d6-1d0e-4de2-b81e-3c084d0b42ec</errorID>
      <errorWord>GB11607－</errorWord>
      <group>L1_Word</group>
      <groupName>字词问题</groupName>
      <ability>L2_Typo</ability>
      <abilityName>字词错误</abilityName>
      <candidateList>
        <item>GB 11607-</item>
      </candidateList>
      <explain/>
      <paraID>781D61FD</paraID>
      <start>9</start>
      <end>17</end>
      <status>unmodified</status>
      <modifiedWord/>
      <trackRevisions>false</trackRevisions>
    </reviewItem>
    <reviewItem>
      <errorID>49624b10-0dfb-4213-aa5e-ea18da873c14</errorID>
      <errorWord>GB8978</errorWord>
      <group>L1_Word</group>
      <groupName>字词问题</groupName>
      <ability>L2_Typo</ability>
      <abilityName>字词错误</abilityName>
      <candidateList>
        <item>GB 8978</item>
      </candidateList>
      <explain/>
      <paraID>568CD9D8</paraID>
      <start>11</start>
      <end>17</end>
      <status>unmodified</status>
      <modifiedWord/>
      <trackRevisions>false</trackRevisions>
    </reviewItem>
    <reviewItem>
      <errorID>22453005-ab28-4a96-aa24-e427f245c56e</errorID>
      <errorWord>GB18599</errorWord>
      <group>L1_Word</group>
      <groupName>字词问题</groupName>
      <ability>L2_Typo</ability>
      <abilityName>字词错误</abilityName>
      <candidateList>
        <item>GB 18599</item>
      </candidateList>
      <explain/>
      <paraID>1AE6658E</paraID>
      <start>22</start>
      <end>29</end>
      <status>unmodified</status>
      <modifiedWord/>
      <trackRevisions>false</trackRevisions>
    </reviewItem>
    <reviewItem>
      <errorID>da3b264a-e6ac-4767-8d29-49fc7095cc0b</errorID>
      <errorWord>1所示</errorWord>
      <group>L1_Grammar</group>
      <groupName>语法问题</groupName>
      <ability>L2_Grammar</ability>
      <abilityName>语法错误</abilityName>
      <candidateList>
        <item>1</item>
      </candidateList>
      <explain/>
      <paraID>7255B793</paraID>
      <start>89</start>
      <end>92</end>
      <status>unmodified</status>
      <modifiedWord/>
      <trackRevisions>false</trackRevisions>
    </reviewItem>
    <reviewItem>
      <errorID>4d78b68d-de05-4e1c-a4f6-c264055bd6fa</errorID>
      <errorWord>，</errorWord>
      <group>L1_Punc</group>
      <groupName>标点问题</groupName>
      <ability>L2_Punc_CN</ability>
      <abilityName>标点符号问题</abilityName>
      <candidateList>
        <item>。</item>
      </candidateList>
      <explain/>
      <paraID> 79E48AE</paraID>
      <start>118</start>
      <end>119</end>
      <status>unmodified</status>
      <modifiedWord/>
      <trackRevisions>false</trackRevisions>
    </reviewItem>
    <reviewItem>
      <errorID>eef202e1-19e5-4c34-b690-b5feffd4ce96</errorID>
      <errorWord>划分为</errorWord>
      <group>L1_Word</group>
      <groupName>字词问题</groupName>
      <ability>L2_Typo</ability>
      <abilityName>字词错误</abilityName>
      <candidateList>
        <item>分为</item>
      </candidateList>
      <explain/>
      <paraID>42EBC727</paraID>
      <start>24</start>
      <end>27</end>
      <status>unmodified</status>
      <modifiedWord/>
      <trackRevisions>false</trackRevisions>
    </reviewItem>
    <reviewItem>
      <errorID>4b0b9dbf-9bad-4273-8ad1-25601148721e</errorID>
      <errorWord>；</errorWord>
      <group>L1_Word</group>
      <groupName>字词问题</groupName>
      <ability>L2_Typo</ability>
      <abilityName>字词错误</abilityName>
      <candidateList>
        <item>；是</item>
      </candidateList>
      <explain/>
      <paraID>63D379F2</paraID>
      <start>128</start>
      <end>129</end>
      <status>unmodified</status>
      <modifiedWord/>
      <trackRevisions>false</trackRevisions>
    </reviewItem>
    <reviewItem>
      <errorID>2bb07b77-8046-4b88-a3a2-04cb32fc3310</errorID>
      <errorWord>；</errorWord>
      <group>L1_Word</group>
      <groupName>字词问题</groupName>
      <ability>L2_Typo</ability>
      <abilityName>字词错误</abilityName>
      <candidateList>
        <item>；是</item>
      </candidateList>
      <explain/>
      <paraID>63D379F2</paraID>
      <start>153</start>
      <end>154</end>
      <status>unmodified</status>
      <modifiedWord/>
      <trackRevisions>false</trackRevisions>
    </reviewItem>
    <reviewItem>
      <errorID>01708334-fd2f-4176-9ebe-3b4cbd91e363</errorID>
      <errorWord>饮用</errorWord>
      <group>L1_Grammar</group>
      <groupName>语法问题</groupName>
      <ability>L2_Grammar</ability>
      <abilityName>语法错误</abilityName>
      <candidateList>
        <item>1个饮用</item>
      </candidateList>
      <explain/>
      <paraID>4F6BCC41</paraID>
      <start>31</start>
      <end>33</end>
      <status>unmodified</status>
      <modifiedWord/>
      <trackRevisions>false</trackRevisions>
    </reviewItem>
    <reviewItem>
      <errorID>aba05398-6ec9-41fe-8786-bd43f109e566</errorID>
      <errorWord>杜公河</errorWord>
      <group>L1_Word</group>
      <groupName>字词问题</groupName>
      <ability>L2_Typo</ability>
      <abilityName>字词错误</abilityName>
      <candidateList>
        <item>湄公河</item>
      </candidateList>
      <explain/>
      <paraID>787BE9F1</paraID>
      <start>0</start>
      <end>3</end>
      <status>unmodified</status>
      <modifiedWord/>
      <trackRevisions>false</trackRevisions>
    </reviewItem>
    <reviewItem>
      <errorID>21314646-a7ac-45f8-a3c2-8596a574c238</errorID>
      <errorWord>杜公河</errorWord>
      <group>L1_Word</group>
      <groupName>字词问题</groupName>
      <ability>L2_Typo</ability>
      <abilityName>字词错误</abilityName>
      <candidateList>
        <item>湄公河</item>
      </candidateList>
      <explain/>
      <paraID>5DF7A3DF</paraID>
      <start>0</start>
      <end>3</end>
      <status>unmodified</status>
      <modifiedWord/>
      <trackRevisions>false</trackRevisions>
    </reviewItem>
    <reviewItem>
      <errorID>f916539b-df47-47ed-b7a0-c7fcad68a764</errorID>
      <errorWord> </errorWord>
      <group>L1_Punc</group>
      <groupName>标点问题</groupName>
      <ability>L2_Punc_CN</ability>
      <abilityName>标点符号问题</abilityName>
      <candidateList>
        <item/>
      </candidateList>
      <explain>此处空格冗余，建议删除。</explain>
      <paraID>1C43F538</paraID>
      <start>38</start>
      <end>39</end>
      <status>unmodified</status>
      <modifiedWord/>
      <trackRevisions>false</trackRevisions>
    </reviewItem>
    <reviewItem>
      <errorID>4c2627ed-6602-44a4-b21c-fc29b2a6ac91</errorID>
      <errorWord> </errorWord>
      <group>L1_Punc</group>
      <groupName>标点问题</groupName>
      <ability>L2_Punc_CN</ability>
      <abilityName>标点符号问题</abilityName>
      <candidateList>
        <item/>
      </candidateList>
      <explain>此处空格冗余，建议删除。</explain>
      <paraID>1C43F538</paraID>
      <start>40</start>
      <end>41</end>
      <status>unmodified</status>
      <modifiedWord/>
      <trackRevisions>false</trackRevisions>
    </reviewItem>
    <reviewItem>
      <errorID>7db996aa-9768-44a0-9a25-415c1d47a207</errorID>
      <errorWord> </errorWord>
      <group>L1_Punc</group>
      <groupName>标点问题</groupName>
      <ability>L2_Punc_CN</ability>
      <abilityName>标点符号问题</abilityName>
      <candidateList>
        <item>—</item>
      </candidateList>
      <explain/>
      <paraID>1C43F538</paraID>
      <start>57</start>
      <end>58</end>
      <status>unmodified</status>
      <modifiedWord/>
      <trackRevisions>false</trackRevisions>
    </reviewItem>
    <reviewItem>
      <errorID>2090ebac-c6f4-46f5-b91b-b7e8dea01d90</errorID>
      <errorWord> </errorWord>
      <group>L1_Punc</group>
      <groupName>标点问题</groupName>
      <ability>L2_Punc_CN</ability>
      <abilityName>标点符号问题</abilityName>
      <candidateList>
        <item/>
      </candidateList>
      <explain>此处空格冗余，建议删除。</explain>
      <paraID>1C43F538</paraID>
      <start>85</start>
      <end>86</end>
      <status>unmodified</status>
      <modifiedWord/>
      <trackRevisions>false</trackRevisions>
    </reviewItem>
    <reviewItem>
      <errorID>e66f68ec-482a-4c68-af1e-5d0c0c1c27ca</errorID>
      <errorWord>—</errorWord>
      <group>L1_Punc</group>
      <groupName>标点问题</groupName>
      <ability>L2_Punc_CN</ability>
      <abilityName>标点符号问题</abilityName>
      <candidateList>
        <item>，</item>
      </candidateList>
      <explain/>
      <paraID>1C43F538</paraID>
      <start>109</start>
      <end>110</end>
      <status>unmodified</status>
      <modifiedWord/>
      <trackRevisions>false</trackRevisions>
    </reviewItem>
    <reviewItem>
      <errorID>a5af12ca-cf5d-4a2a-be70-5173ee255a89</errorID>
      <errorWord> </errorWord>
      <group>L1_Punc</group>
      <groupName>标点问题</groupName>
      <ability>L2_Punc_CN</ability>
      <abilityName>标点符号问题</abilityName>
      <candidateList>
        <item/>
      </candidateList>
      <explain>此处空格冗余，建议删除。</explain>
      <paraID>1C43F538</paraID>
      <start>129</start>
      <end>130</end>
      <status>unmodified</status>
      <modifiedWord/>
      <trackRevisions>false</trackRevisions>
    </reviewItem>
    <reviewItem>
      <errorID>9037ae6b-52d2-4044-80c8-732449ada3e2</errorID>
      <errorWord> </errorWord>
      <group>L1_Punc</group>
      <groupName>标点问题</groupName>
      <ability>L2_Punc_CN</ability>
      <abilityName>标点符号问题</abilityName>
      <candidateList>
        <item/>
      </candidateList>
      <explain>此处空格冗余，建议删除。</explain>
      <paraID>1C43F538</paraID>
      <start>154</start>
      <end>155</end>
      <status>unmodified</status>
      <modifiedWord/>
      <trackRevisions>false</trackRevisions>
    </reviewItem>
    <reviewItem>
      <errorID>be628006-8f2a-4b42-bc05-48d083d75da6</errorID>
      <errorWord> </errorWord>
      <group>L1_Punc</group>
      <groupName>标点问题</groupName>
      <ability>L2_Punc_CN</ability>
      <abilityName>标点符号问题</abilityName>
      <candidateList>
        <item/>
      </candidateList>
      <explain>此处空格冗余，建议删除。</explain>
      <paraID>1C43F538</paraID>
      <start>180</start>
      <end>181</end>
      <status>unmodified</status>
      <modifiedWord/>
      <trackRevisions>false</trackRevisions>
    </reviewItem>
    <reviewItem>
      <errorID>009c4225-d74a-42f7-9cb9-ded5ed685ad2</errorID>
      <errorWord> </errorWord>
      <group>L1_Punc</group>
      <groupName>标点问题</groupName>
      <ability>L2_Punc_CN</ability>
      <abilityName>标点符号问题</abilityName>
      <candidateList>
        <item/>
      </candidateList>
      <explain>此处空格冗余，建议删除。</explain>
      <paraID>1C43F538</paraID>
      <start>207</start>
      <end>208</end>
      <status>unmodified</status>
      <modifiedWord/>
      <trackRevisions>false</trackRevisions>
    </reviewItem>
    <reviewItem>
      <errorID>ced44152-fc9b-4043-8887-2994a2327be5</errorID>
      <errorWord> </errorWord>
      <group>L1_Punc</group>
      <groupName>标点问题</groupName>
      <ability>L2_Punc_CN</ability>
      <abilityName>标点符号问题</abilityName>
      <candidateList>
        <item/>
      </candidateList>
      <explain>此处空格冗余，建议删除。</explain>
      <paraID>1C43F538</paraID>
      <start>234</start>
      <end>235</end>
      <status>unmodified</status>
      <modifiedWord/>
      <trackRevisions>false</trackRevisions>
    </reviewItem>
    <reviewItem>
      <errorID>3a3e39c3-9085-436c-a3d7-173fffedcacd</errorID>
      <errorWord> </errorWord>
      <group>L1_Punc</group>
      <groupName>标点问题</groupName>
      <ability>L2_Punc_CN</ability>
      <abilityName>标点符号问题</abilityName>
      <candidateList>
        <item/>
      </candidateList>
      <explain>此处空格冗余，建议删除。</explain>
      <paraID>1C43F538</paraID>
      <start>258</start>
      <end>259</end>
      <status>unmodified</status>
      <modifiedWord/>
      <trackRevisions>false</trackRevisions>
    </reviewItem>
    <reviewItem>
      <errorID>58ebb15f-c427-472d-8e56-9d2b13b93616</errorID>
      <errorWord>丘原</errorWord>
      <group>L1_Word</group>
      <groupName>字词问题</groupName>
      <ability>L2_Typo</ability>
      <abilityName>字词错误</abilityName>
      <candidateList>
        <item>丘陵</item>
      </candidateList>
      <explain/>
      <paraID> B629221</paraID>
      <start>10</start>
      <end>12</end>
      <status>unmodified</status>
      <modifiedWord/>
      <trackRevisions>false</trackRevisions>
    </reviewItem>
    <reviewItem>
      <errorID>1733a415-f539-408a-8778-ebde5ef7c50d</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67488E7E</paraID>
      <start>10</start>
      <end>13</end>
      <status>unmodified</status>
      <modifiedWord/>
      <trackRevisions>false</trackRevisions>
    </reviewItem>
    <reviewItem>
      <errorID>b095d7a4-35a9-4a09-b386-64e884a88e0b</errorID>
      <errorWord>覆盖</errorWord>
      <group>L1_Word</group>
      <groupName>字词问题</groupName>
      <ability>L2_Typo</ability>
      <abilityName>字词错误</abilityName>
      <candidateList>
        <item>覆盖率</item>
      </candidateList>
      <explain/>
      <paraID>3677638A</paraID>
      <start>11</start>
      <end>13</end>
      <status>unmodified</status>
      <modifiedWord/>
      <trackRevisions>false</trackRevisions>
    </reviewItem>
    <reviewItem>
      <errorID>799b0d38-fada-4adc-a4f4-b3a3890e5f81</errorID>
      <errorWord>改善</errorWord>
      <group>L1_Word</group>
      <groupName>字词问题</groupName>
      <ability>L2_Typo</ability>
      <abilityName>字词错误</abilityName>
      <candidateList>
        <item>增加</item>
      </candidateList>
      <explain/>
      <paraID>16894E45</paraID>
      <start>21</start>
      <end>23</end>
      <status>unmodified</status>
      <modifiedWord/>
      <trackRevisions>false</trackRevisions>
    </reviewItem>
    <reviewItem>
      <errorID>8544dd68-1999-42cc-b080-afe6fa5ff099</errorID>
      <errorWord>；</errorWord>
      <group>L1_Grammar</group>
      <groupName>语法问题</groupName>
      <ability>L2_Grammar</ability>
      <abilityName>语法错误</abilityName>
      <candidateList>
        <item>政策；</item>
      </candidateList>
      <explain/>
      <paraID>2C46BE22</paraID>
      <start>18</start>
      <end>19</end>
      <status>unmodified</status>
      <modifiedWord/>
      <trackRevisions>false</trackRevisions>
    </reviewItem>
    <reviewItem>
      <errorID>3bd6c114-2252-4661-8b0c-adbf26bfe888</errorID>
      <errorWord>水生生境</errorWord>
      <group>L1_Word</group>
      <groupName>字词问题</groupName>
      <ability>L2_Typo</ability>
      <abilityName>字词错误</abilityName>
      <candidateList>
        <item>水生环境</item>
      </candidateList>
      <explain/>
      <paraID>43EED7C8</paraID>
      <start>11</start>
      <end>15</end>
      <status>unmodified</status>
      <modifiedWord/>
      <trackRevisions>false</trackRevisions>
    </reviewItem>
    <reviewItem>
      <errorID>b8e03d45-c71a-4e3b-8817-e25eedfa88bc</errorID>
      <errorWord>涉及</errorWord>
      <group>L1_Punc</group>
      <groupName>标点问题</groupName>
      <ability>L2_Punc_CN</ability>
      <abilityName>标点符号问题</abilityName>
      <candidateList>
        <item>，涉及</item>
      </candidateList>
      <explain/>
      <paraID> 4BBCDA3</paraID>
      <start>30</start>
      <end>32</end>
      <status>unmodified</status>
      <modifiedWord/>
      <trackRevisions>false</trackRevisions>
    </reviewItem>
    <reviewItem>
      <errorID>a9fb1409-aa64-4511-8743-b7efd9916cd4</errorID>
      <errorWord>，</errorWord>
      <group>L1_Punc</group>
      <groupName>标点问题</groupName>
      <ability>L2_Punc_CN</ability>
      <abilityName>标点符号问题</abilityName>
      <candidateList>
        <item>；</item>
      </candidateList>
      <explain/>
      <paraID> 4BBCDA3</paraID>
      <start>47</start>
      <end>48</end>
      <status>unmodified</status>
      <modifiedWord/>
      <trackRevisions>false</trackRevisions>
    </reviewItem>
    <reviewItem>
      <errorID>45972f7c-f1b2-484f-80b6-2776a4c57f69</errorID>
      <errorWord>涉及</errorWord>
      <group>L1_Punc</group>
      <groupName>标点问题</groupName>
      <ability>L2_Punc_CN</ability>
      <abilityName>标点符号问题</abilityName>
      <candidateList>
        <item>，涉及</item>
      </candidateList>
      <explain/>
      <paraID> 4BBCDA3</paraID>
      <start>60</start>
      <end>62</end>
      <status>unmodified</status>
      <modifiedWord/>
      <trackRevisions>false</trackRevisions>
    </reviewItem>
    <reviewItem>
      <errorID>29f8e837-ab66-482f-9eeb-7dea6da9d481</errorID>
      <errorWord>涉及</errorWord>
      <group>L1_Punc</group>
      <groupName>标点问题</groupName>
      <ability>L2_Punc_CN</ability>
      <abilityName>标点符号问题</abilityName>
      <candidateList>
        <item>，涉及</item>
      </candidateList>
      <explain/>
      <paraID>2D5ECEBF</paraID>
      <start>30</start>
      <end>32</end>
      <status>unmodified</status>
      <modifiedWord/>
      <trackRevisions>false</trackRevisions>
    </reviewItem>
    <reviewItem>
      <errorID>e1b2734d-27e3-4a0c-8e32-adece6069f3d</errorID>
      <errorWord>实验区</errorWord>
      <group>L1_Punc</group>
      <groupName>标点问题</groupName>
      <ability>L2_Punc_CN</ability>
      <abilityName>标点符号问题</abilityName>
      <candidateList>
        <item>实验区。</item>
      </candidateList>
      <explain/>
      <paraID>2D5ECEBF</paraID>
      <start>42</start>
      <end>45</end>
      <status>unmodified</status>
      <modifiedWord/>
      <trackRevisions>false</trackRevisions>
    </reviewItem>
    <reviewItem>
      <errorID>8e167eb5-799f-402b-bb39-82f9749c752a</errorID>
      <errorWord>GB3838</errorWord>
      <group>L1_Word</group>
      <groupName>字词问题</groupName>
      <ability>L2_Typo</ability>
      <abilityName>字词错误</abilityName>
      <candidateList>
        <item>GB 3838</item>
      </candidateList>
      <explain/>
      <paraID>59639A90</paraID>
      <start>118</start>
      <end>124</end>
      <status>unmodified</status>
      <modifiedWord/>
      <trackRevisions>false</trackRevisions>
    </reviewItem>
    <reviewItem>
      <errorID>8a359bc6-688e-4883-a563-69e79ee266e8</errorID>
      <errorWord>质量标准限制</errorWord>
      <group>L1_Grammar</group>
      <groupName>语法问题</groupName>
      <ability>L2_Grammar</ability>
      <abilityName>语法错误</abilityName>
      <candidateList>
        <item>质量标准</item>
      </candidateList>
      <explain/>
      <paraID>59639A90</paraID>
      <start>140</start>
      <end>146</end>
      <status>unmodified</status>
      <modifiedWord/>
      <trackRevisions>false</trackRevisions>
    </reviewItem>
    <reviewItem>
      <errorID>68e208c5-7627-4fd8-acc6-7b8a3d8c3a58</errorID>
      <errorWord>，</errorWord>
      <group>L1_Grammar</group>
      <groupName>语法问题</groupName>
      <ability>L2_Grammar</ability>
      <abilityName>语法错误</abilityName>
      <candidateList>
        <item>标准，</item>
      </candidateList>
      <explain/>
      <paraID>6C31D779</paraID>
      <start>39</start>
      <end>40</end>
      <status>unmodified</status>
      <modifiedWord/>
      <trackRevisions>false</trackRevisions>
    </reviewItem>
    <reviewItem>
      <errorID>6e2bc3c7-0b9c-40b8-b2cb-d31e02dd4a51</errorID>
      <errorWord>3所示</errorWord>
      <group>L1_Grammar</group>
      <groupName>语法问题</groupName>
      <ability>L2_Grammar</ability>
      <abilityName>语法错误</abilityName>
      <candidateList>
        <item>3</item>
      </candidateList>
      <explain/>
      <paraID>150509E0</paraID>
      <start>77</start>
      <end>80</end>
      <status>unmodified</status>
      <modifiedWord/>
      <trackRevisions>false</trackRevisions>
    </reviewItem>
    <reviewItem>
      <errorID>2f00cae4-4cf9-4a23-8634-6169f81a5f02</errorID>
      <errorWord>农用地</errorWord>
      <group>L1_Word</group>
      <groupName>字词问题</groupName>
      <ability>L2_Typo</ability>
      <abilityName>字词错误</abilityName>
      <candidateList>
        <item> 农用地</item>
      </candidateList>
      <explain/>
      <paraID>125BBAAE</paraID>
      <start>35</start>
      <end>38</end>
      <status>unmodified</status>
      <modifiedWord/>
      <trackRevisions>false</trackRevisions>
    </reviewItem>
    <reviewItem>
      <errorID>2708c1ce-e34d-4db2-8622-39fe13328a12</errorID>
      <errorWord>GB15618</errorWord>
      <group>L1_Word</group>
      <groupName>字词问题</groupName>
      <ability>L2_Typo</ability>
      <abilityName>字词错误</abilityName>
      <candidateList>
        <item>GB 15618</item>
      </candidateList>
      <explain/>
      <paraID>125BBAAE</paraID>
      <start>54</start>
      <end>61</end>
      <status>unmodified</status>
      <modifiedWord/>
      <trackRevisions>false</trackRevisions>
    </reviewItem>
    <reviewItem>
      <errorID>25aad430-d1e3-45ad-92f8-744075249383</errorID>
      <errorWord>GB36600</errorWord>
      <group>L1_Word</group>
      <groupName>字词问题</groupName>
      <ability>L2_Typo</ability>
      <abilityName>字词错误</abilityName>
      <candidateList>
        <item>GB 36600</item>
      </candidateList>
      <explain/>
      <paraID>125BBAAE</paraID>
      <start>130</start>
      <end>137</end>
      <status>unmodified</status>
      <modifiedWord/>
      <trackRevisions>false</trackRevisions>
    </reviewItem>
    <reviewItem>
      <errorID>3348d0d7-ccc6-4a1b-bfbb-4df656f99d1c</errorID>
      <errorWord>管制</errorWord>
      <group>L1_Word</group>
      <groupName>字词问题</groupName>
      <ability>L2_Typo</ability>
      <abilityName>字词错误</abilityName>
      <candidateList>
        <item>管控</item>
      </candidateList>
      <explain/>
      <paraID>38061027</paraID>
      <start>19</start>
      <end>21</end>
      <status>unmodified</status>
      <modifiedWord/>
      <trackRevisions>false</trackRevisions>
    </reviewItem>
    <reviewItem>
      <errorID>ec8ff726-67ad-4604-a21c-94af6d50ccee</errorID>
      <errorWord>无不</errorWord>
      <group>L1_Word</group>
      <groupName>字词问题</groupName>
      <ability>L2_Typo</ability>
      <abilityName>字词错误</abilityName>
      <candidateList>
        <item>无比</item>
      </candidateList>
      <explain>存在发音相近字词的误用。</explain>
      <paraID>44333DF9</paraID>
      <start>0</start>
      <end>2</end>
      <status>unmodified</status>
      <modifiedWord/>
      <trackRevisions>false</trackRevisions>
    </reviewItem>
    <reviewItem>
      <errorID>6898ec98-1e7a-4f7c-bd8b-8ed85345955e</errorID>
      <errorWord>无不</errorWord>
      <group>L1_Word</group>
      <groupName>字词问题</groupName>
      <ability>L2_Typo</ability>
      <abilityName>字词错误</abilityName>
      <candidateList>
        <item>无比</item>
      </candidateList>
      <explain>存在发音相近字词的误用。</explain>
      <paraID>7CDD449B</paraID>
      <start>0</start>
      <end>2</end>
      <status>unmodified</status>
      <modifiedWord/>
      <trackRevisions>false</trackRevisions>
    </reviewItem>
    <reviewItem>
      <errorID>e4003518-0dca-4c5a-b78a-b2b67ca4278b</errorID>
      <errorWord> </errorWord>
      <group>L1_Punc</group>
      <groupName>标点问题</groupName>
      <ability>L2_Punc_CN</ability>
      <abilityName>标点符号问题</abilityName>
      <candidateList>
        <item>-</item>
      </candidateList>
      <explain/>
      <paraID>4D119EB3</paraID>
      <start>24</start>
      <end>25</end>
      <status>unmodified</status>
      <modifiedWord/>
      <trackRevisions>false</trackRevisions>
    </reviewItem>
    <reviewItem>
      <errorID>dd1c3c4f-d6f2-4314-928f-ab2a1bd7de32</errorID>
      <errorWord> </errorWord>
      <group>L1_Punc</group>
      <groupName>标点问题</groupName>
      <ability>L2_Punc_CN</ability>
      <abilityName>标点符号问题</abilityName>
      <candidateList>
        <item>-</item>
      </candidateList>
      <explain/>
      <paraID>36B0118F</paraID>
      <start>24</start>
      <end>25</end>
      <status>unmodified</status>
      <modifiedWord/>
      <trackRevisions>false</trackRevisions>
    </reviewItem>
    <reviewItem>
      <errorID>30797732-61ea-43dd-afec-ae60f8787686</errorID>
      <errorWord> </errorWord>
      <group>L1_Punc</group>
      <groupName>标点问题</groupName>
      <ability>L2_Punc_CN</ability>
      <abilityName>标点符号问题</abilityName>
      <candidateList>
        <item>、</item>
      </candidateList>
      <explain/>
      <paraID>74C6E6EB</paraID>
      <start>27</start>
      <end>28</end>
      <status>unmodified</status>
      <modifiedWord/>
      <trackRevisions>false</trackRevisions>
    </reviewItem>
    <reviewItem>
      <errorID>f0bc8646-5a36-4c54-a089-b9a6d1bcb4ed</errorID>
      <errorWord> </errorWord>
      <group>L1_Punc</group>
      <groupName>标点问题</groupName>
      <ability>L2_Punc_CN</ability>
      <abilityName>标点符号问题</abilityName>
      <candidateList>
        <item>、</item>
      </candidateList>
      <explain/>
      <paraID>74C6E6EB</paraID>
      <start>30</start>
      <end>31</end>
      <status>unmodified</status>
      <modifiedWord/>
      <trackRevisions>false</trackRevisions>
    </reviewItem>
    <reviewItem>
      <errorID>5ba3f171-82fb-41f2-8d70-44b446c4cc71</errorID>
      <errorWord> </errorWord>
      <group>L1_Punc</group>
      <groupName>标点问题</groupName>
      <ability>L2_Punc_CN</ability>
      <abilityName>标点符号问题</abilityName>
      <candidateList>
        <item>、</item>
      </candidateList>
      <explain/>
      <paraID>74C6E6EB</paraID>
      <start>33</start>
      <end>34</end>
      <status>unmodified</status>
      <modifiedWord/>
      <trackRevisions>false</trackRevisions>
    </reviewItem>
    <reviewItem>
      <errorID>12780a58-9695-44cf-b481-8f62e5d6dc39</errorID>
      <errorWord>观念</errorWord>
      <group>L1_Word</group>
      <groupName>字词问题</groupName>
      <ability>L2_Typo</ability>
      <abilityName>字词错误</abilityName>
      <candidateList>
        <item>理念</item>
      </candidateList>
      <explain/>
      <paraID>6D4B312B</paraID>
      <start>21</start>
      <end>23</end>
      <status>unmodified</status>
      <modifiedWord/>
      <trackRevisions>false</trackRevisions>
    </reviewItem>
    <reviewItem>
      <errorID>9546026d-a5b0-4080-a34a-da32ef548215</errorID>
      <errorWord>%以上</errorWord>
      <group>L1_Grammar</group>
      <groupName>语法问题</groupName>
      <ability>L2_Grammar</ability>
      <abilityName>语法错误</abilityName>
      <candidateList>
        <item>%</item>
      </candidateList>
      <explain/>
      <paraID>24561722</paraID>
      <start>70</start>
      <end>73</end>
      <status>unmodified</status>
      <modifiedWord/>
      <trackRevisions>false</trackRevisions>
    </reviewItem>
    <reviewItem>
      <errorID>c854f64c-049b-4d27-af2c-eb23705bfb27</errorID>
      <errorWord>%以上</errorWord>
      <group>L1_Grammar</group>
      <groupName>语法问题</groupName>
      <ability>L2_Grammar</ability>
      <abilityName>语法错误</abilityName>
      <candidateList>
        <item>%</item>
      </candidateList>
      <explain/>
      <paraID>24561722</paraID>
      <start>84</start>
      <end>87</end>
      <status>unmodified</status>
      <modifiedWord/>
      <trackRevisions>false</trackRevisions>
    </reviewItem>
    <reviewItem>
      <errorID>458d7528-e970-4c54-99bf-e01eb1d41e8f</errorID>
      <errorWord>%以上</errorWord>
      <group>L1_Grammar</group>
      <groupName>语法问题</groupName>
      <ability>L2_Grammar</ability>
      <abilityName>语法错误</abilityName>
      <candidateList>
        <item>%</item>
      </candidateList>
      <explain/>
      <paraID>24561722</paraID>
      <start>142</start>
      <end>145</end>
      <status>unmodified</status>
      <modifiedWord/>
      <trackRevisions>false</trackRevisions>
    </reviewItem>
    <reviewItem>
      <errorID>f6d7a15e-65aa-44ed-a61e-b05ac5e486d0</errorID>
      <errorWord>主要以工业及农业灌溉用水为主</errorWord>
      <group>L1_Grammar</group>
      <groupName>语法问题</groupName>
      <ability>L2_Grammar</ability>
      <abilityName>语法错误</abilityName>
      <candidateList>
        <item>以工业及农业灌溉用水为主</item>
      </candidateList>
      <explain>该表达中的“主要以工业及农业灌溉用水为主”存在语义重复。</explain>
      <paraID>7A97C151</paraID>
      <start>178</start>
      <end>192</end>
      <status>unmodified</status>
      <modifiedWord/>
      <trackRevisions>false</trackRevisions>
    </reviewItem>
    <reviewItem>
      <errorID>91628ac0-f91a-478c-88d4-2588e1fc80b8</errorID>
      <errorWord>.</errorWord>
      <group>L1_Format</group>
      <groupName>格式问题</groupName>
      <ability>L2_HalfPunc_CN</ability>
      <abilityName>全半角问题</abilityName>
      <candidateList>
        <item>。</item>
      </candidateList>
      <explain>文本全半角错误。</explain>
      <paraID>51FC2E76</paraID>
      <start>4</start>
      <end>5</end>
      <status>unmodified</status>
      <modifiedWord/>
      <trackRevisions>false</trackRevisions>
    </reviewItem>
    <reviewItem>
      <errorID>726e4679-7ea4-4a70-9e31-8d865fa1b9d6</errorID>
      <errorWord>.</errorWord>
      <group>L1_Format</group>
      <groupName>格式问题</groupName>
      <ability>L2_HalfPunc_CN</ability>
      <abilityName>全半角问题</abilityName>
      <candidateList>
        <item>。</item>
      </candidateList>
      <explain>文本全半角错误。</explain>
      <paraID>5DA768F1</paraID>
      <start>12</start>
      <end>13</end>
      <status>unmodified</status>
      <modifiedWord/>
      <trackRevisions>false</trackRevisions>
    </reviewItem>
    <reviewItem>
      <errorID>54d4ae87-e9f2-4dba-aaa3-6412420f6273</errorID>
      <errorWord>属</errorWord>
      <group>L1_Word</group>
      <groupName>字词问题</groupName>
      <ability>L2_Typo</ability>
      <abilityName>字词错误</abilityName>
      <candidateList>
        <item>属于</item>
      </candidateList>
      <explain/>
      <paraID> 41760E3</paraID>
      <start>200</start>
      <end>201</end>
      <status>unmodified</status>
      <modifiedWord/>
      <trackRevisions>false</trackRevisions>
    </reviewItem>
    <reviewItem>
      <errorID>1566fa78-78d3-4c1c-82af-5b0757951787</errorID>
      <errorWord>(</errorWord>
      <group>L1_Format</group>
      <groupName>格式问题</groupName>
      <ability>L2_HalfPunc_CN</ability>
      <abilityName>全半角问题</abilityName>
      <candidateList>
        <item>（</item>
      </candidateList>
      <explain>文本全半角错误。</explain>
      <paraID>7D9AE465</paraID>
      <start>1</start>
      <end>2</end>
      <status>unmodified</status>
      <modifiedWord/>
      <trackRevisions>false</trackRevisions>
    </reviewItem>
    <reviewItem>
      <errorID>a7bc13d5-0c37-48d5-b1de-cab997619e91</errorID>
      <errorWord>)</errorWord>
      <group>L1_Format</group>
      <groupName>格式问题</groupName>
      <ability>L2_HalfPunc_CN</ability>
      <abilityName>全半角问题</abilityName>
      <candidateList>
        <item>）</item>
      </candidateList>
      <explain>文本全半角错误。</explain>
      <paraID>7D9AE465</paraID>
      <start>3</start>
      <end>4</end>
      <status>unmodified</status>
      <modifiedWord/>
      <trackRevisions>false</trackRevisions>
    </reviewItem>
    <reviewItem>
      <errorID>ccc2a6ec-14f6-4c57-aec6-9a131aea29c2</errorID>
      <errorWord>(</errorWord>
      <group>L1_Format</group>
      <groupName>格式问题</groupName>
      <ability>L2_HalfPunc_CN</ability>
      <abilityName>全半角问题</abilityName>
      <candidateList>
        <item>（</item>
      </candidateList>
      <explain>文本全半角错误。</explain>
      <paraID> E0FF282</paraID>
      <start>4</start>
      <end>5</end>
      <status>unmodified</status>
      <modifiedWord/>
      <trackRevisions>false</trackRevisions>
    </reviewItem>
    <reviewItem>
      <errorID>6a915d01-b2f1-4c0e-9f0e-3f616148caf9</errorID>
      <errorWord>)</errorWord>
      <group>L1_Format</group>
      <groupName>格式问题</groupName>
      <ability>L2_HalfPunc_CN</ability>
      <abilityName>全半角问题</abilityName>
      <candidateList>
        <item>）</item>
      </candidateList>
      <explain>文本全半角错误。</explain>
      <paraID> E0FF282</paraID>
      <start>8</start>
      <end>9</end>
      <status>unmodified</status>
      <modifiedWord/>
      <trackRevisions>false</trackRevisions>
    </reviewItem>
    <reviewItem>
      <errorID>2dddb0e9-3615-446c-babc-6883492b82e9</errorID>
      <errorWord>(</errorWord>
      <group>L1_Format</group>
      <groupName>格式问题</groupName>
      <ability>L2_HalfPunc_CN</ability>
      <abilityName>全半角问题</abilityName>
      <candidateList>
        <item>（</item>
      </candidateList>
      <explain>文本全半角错误。</explain>
      <paraID>5F9D7B32</paraID>
      <start>3</start>
      <end>4</end>
      <status>unmodified</status>
      <modifiedWord/>
      <trackRevisions>false</trackRevisions>
    </reviewItem>
    <reviewItem>
      <errorID>b274fc31-d3a7-4c49-b369-841302dbe597</errorID>
      <errorWord>)</errorWord>
      <group>L1_Format</group>
      <groupName>格式问题</groupName>
      <ability>L2_HalfPunc_CN</ability>
      <abilityName>全半角问题</abilityName>
      <candidateList>
        <item>）</item>
      </candidateList>
      <explain>文本全半角错误。</explain>
      <paraID>5F9D7B32</paraID>
      <start>6</start>
      <end>7</end>
      <status>unmodified</status>
      <modifiedWord/>
      <trackRevisions>false</trackRevisions>
    </reviewItem>
    <reviewItem>
      <errorID>50c5a611-9e7f-4f83-a496-de0ca71bebca</errorID>
      <errorWord>(</errorWord>
      <group>L1_Word</group>
      <groupName>字词问题</groupName>
      <ability>L2_Typo</ability>
      <abilityName>字词错误</abilityName>
      <candidateList>
        <item>(一</item>
      </candidateList>
      <explain/>
      <paraID>6BC4FAD5</paraID>
      <start>0</start>
      <end>1</end>
      <status>unmodified</status>
      <modifiedWord/>
      <trackRevisions>false</trackRevisions>
    </reviewItem>
    <reviewItem>
      <errorID>b1ad5ab3-3610-4b2d-8fa0-03ad60f9f027</errorID>
      <errorWord>)</errorWord>
      <group>L1_Format</group>
      <groupName>格式问题</groupName>
      <ability>L2_HalfPunc_CN</ability>
      <abilityName>全半角问题</abilityName>
      <candidateList>
        <item>）</item>
      </candidateList>
      <explain>文本全半角错误。</explain>
      <paraID>6BC4FAD5</paraID>
      <start>4</start>
      <end>5</end>
      <status>unmodified</status>
      <modifiedWord/>
      <trackRevisions>false</trackRevisions>
    </reviewItem>
    <reviewItem>
      <errorID>3049cb90-7ae0-49f7-a960-6ccd2626c4f5</errorID>
      <errorWord>(</errorWord>
      <group>L1_Format</group>
      <groupName>格式问题</groupName>
      <ability>L2_HalfPunc_CN</ability>
      <abilityName>全半角问题</abilityName>
      <candidateList>
        <item>（</item>
      </candidateList>
      <explain>文本全半角错误。</explain>
      <paraID>4479BDA6</paraID>
      <start>3</start>
      <end>4</end>
      <status>unmodified</status>
      <modifiedWord/>
      <trackRevisions>false</trackRevisions>
    </reviewItem>
    <reviewItem>
      <errorID>0e039490-5902-4b66-b47a-b190a25338fa</errorID>
      <errorWord>)</errorWord>
      <group>L1_Format</group>
      <groupName>格式问题</groupName>
      <ability>L2_HalfPunc_CN</ability>
      <abilityName>全半角问题</abilityName>
      <candidateList>
        <item>）</item>
      </candidateList>
      <explain>文本全半角错误。</explain>
      <paraID>4479BDA6</paraID>
      <start>6</start>
      <end>7</end>
      <status>unmodified</status>
      <modifiedWord/>
      <trackRevisions>false</trackRevisions>
    </reviewItem>
    <reviewItem>
      <errorID>f6a771ba-0e0a-41d5-87dd-836a2a453536</errorID>
      <errorWord>(</errorWord>
      <group>L1_Format</group>
      <groupName>格式问题</groupName>
      <ability>L2_HalfPunc_CN</ability>
      <abilityName>全半角问题</abilityName>
      <candidateList>
        <item>（</item>
      </candidateList>
      <explain>文本全半角错误。</explain>
      <paraID>5206E51D</paraID>
      <start>0</start>
      <end>1</end>
      <status>unmodified</status>
      <modifiedWord/>
      <trackRevisions>false</trackRevisions>
    </reviewItem>
    <reviewItem>
      <errorID>556b1571-4ad5-408c-a9d4-8688a6b704c0</errorID>
      <errorWord>)</errorWord>
      <group>L1_Format</group>
      <groupName>格式问题</groupName>
      <ability>L2_HalfPunc_CN</ability>
      <abilityName>全半角问题</abilityName>
      <candidateList>
        <item>）</item>
      </candidateList>
      <explain>文本全半角错误。</explain>
      <paraID>5206E51D</paraID>
      <start>2</start>
      <end>3</end>
      <status>unmodified</status>
      <modifiedWord/>
      <trackRevisions>false</trackRevisions>
    </reviewItem>
    <reviewItem>
      <errorID>79c16a35-da6c-4047-b1fb-79eb14eef064</errorID>
      <errorWord>(</errorWord>
      <group>L1_Format</group>
      <groupName>格式问题</groupName>
      <ability>L2_HalfPunc_CN</ability>
      <abilityName>全半角问题</abilityName>
      <candidateList>
        <item>（</item>
      </candidateList>
      <explain>文本全半角错误。</explain>
      <paraID>47147AB4</paraID>
      <start>0</start>
      <end>1</end>
      <status>unmodified</status>
      <modifiedWord/>
      <trackRevisions>false</trackRevisions>
    </reviewItem>
    <reviewItem>
      <errorID>1b32c975-ee01-427d-8b0f-d4c361db33fd</errorID>
      <errorWord>)</errorWord>
      <group>L1_Format</group>
      <groupName>格式问题</groupName>
      <ability>L2_HalfPunc_CN</ability>
      <abilityName>全半角问题</abilityName>
      <candidateList>
        <item>）</item>
      </candidateList>
      <explain>文本全半角错误。</explain>
      <paraID>47147AB4</paraID>
      <start>3</start>
      <end>4</end>
      <status>unmodified</status>
      <modifiedWord/>
      <trackRevisions>false</trackRevisions>
    </reviewItem>
    <reviewItem>
      <errorID>e4bf5fc6-856d-4f89-96bc-e2e41979ca80</errorID>
      <errorWord>-</errorWord>
      <group>L1_Format</group>
      <groupName>格式问题</groupName>
      <ability>L2_HalfPunc_CN</ability>
      <abilityName>全半角问题</abilityName>
      <candidateList>
        <item>－</item>
      </candidateList>
      <explain>文本全半角错误。</explain>
      <paraID>3155F466</paraID>
      <start>4</start>
      <end>5</end>
      <status>unmodified</status>
      <modifiedWord/>
      <trackRevisions>false</trackRevisions>
    </reviewItem>
    <reviewItem>
      <errorID>d39200d7-602f-4dd2-84f6-c3e080697178</errorID>
      <errorWord>-</errorWord>
      <group>L1_Format</group>
      <groupName>格式问题</groupName>
      <ability>L2_HalfPunc_CN</ability>
      <abilityName>全半角问题</abilityName>
      <candidateList>
        <item>－</item>
      </candidateList>
      <explain>文本全半角错误。</explain>
      <paraID>6353EBD3</paraID>
      <start>5</start>
      <end>6</end>
      <status>unmodified</status>
      <modifiedWord/>
      <trackRevisions>false</trackRevisions>
    </reviewItem>
    <reviewItem>
      <errorID>511a7eb4-4a81-433b-8e60-86c62336dd73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91583D7</paraID>
      <start>47</start>
      <end>48</end>
      <status>unmodified</status>
      <modifiedWord/>
      <trackRevisions>false</trackRevisions>
    </reviewItem>
    <reviewItem>
      <errorID>daca12f5-598a-434c-b5a0-8f9e0b93e4c8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91583D7</paraID>
      <start>71</start>
      <end>72</end>
      <status>unmodified</status>
      <modifiedWord/>
      <trackRevisions>false</trackRevisions>
    </reviewItem>
    <reviewItem>
      <errorID>8a06a06f-1560-4219-8f25-388453162f5a</errorID>
      <errorWord>(</errorWord>
      <group>L1_Format</group>
      <groupName>格式问题</groupName>
      <ability>L2_HalfPunc_CN</ability>
      <abilityName>全半角问题</abilityName>
      <candidateList>
        <item>（</item>
      </candidateList>
      <explain>文本全半角错误。</explain>
      <paraID> 8428EFE</paraID>
      <start>1</start>
      <end>2</end>
      <status>unmodified</status>
      <modifiedWord/>
      <trackRevisions>false</trackRevisions>
    </reviewItem>
    <reviewItem>
      <errorID>8a1ee0ee-92f6-44da-b05d-1dc422e41e3f</errorID>
      <errorWord>)</errorWord>
      <group>L1_Format</group>
      <groupName>格式问题</groupName>
      <ability>L2_HalfPunc_CN</ability>
      <abilityName>全半角问题</abilityName>
      <candidateList>
        <item>）</item>
      </candidateList>
      <explain>文本全半角错误。</explain>
      <paraID> 8428EFE</paraID>
      <start>3</start>
      <end>4</end>
      <status>unmodified</status>
      <modifiedWord/>
      <trackRevisions>false</trackRevisions>
    </reviewItem>
    <reviewItem>
      <errorID>5da37914-7de8-4da7-93aa-79c4d46112ae</errorID>
      <errorWord>(</errorWord>
      <group>L1_Format</group>
      <groupName>格式问题</groupName>
      <ability>L2_HalfPunc_CN</ability>
      <abilityName>全半角问题</abilityName>
      <candidateList>
        <item>（</item>
      </candidateList>
      <explain>文本全半角错误。</explain>
      <paraID>15C27A28</paraID>
      <start>3</start>
      <end>4</end>
      <status>unmodified</status>
      <modifiedWord/>
      <trackRevisions>false</trackRevisions>
    </reviewItem>
    <reviewItem>
      <errorID>4af5011b-9b07-4af8-a029-cdfe414819a7</errorID>
      <errorWord>)</errorWord>
      <group>L1_Format</group>
      <groupName>格式问题</groupName>
      <ability>L2_HalfPunc_CN</ability>
      <abilityName>全半角问题</abilityName>
      <candidateList>
        <item>）</item>
      </candidateList>
      <explain>文本全半角错误。</explain>
      <paraID>15C27A28</paraID>
      <start>6</start>
      <end>7</end>
      <status>unmodified</status>
      <modifiedWord/>
      <trackRevisions>false</trackRevisions>
    </reviewItem>
    <reviewItem>
      <errorID>36347825-6f64-4093-a1ff-e002a4902dce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784463ED</paraID>
      <start>90</start>
      <end>91</end>
      <status>unmodified</status>
      <modifiedWord/>
      <trackRevisions>false</trackRevisions>
    </reviewItem>
    <reviewItem>
      <errorID>c2bbae15-de72-4bed-ba0a-19463015a4b2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784463ED</paraID>
      <start>114</start>
      <end>115</end>
      <status>unmodified</status>
      <modifiedWord/>
      <trackRevisions>false</trackRevisions>
    </reviewItem>
    <reviewItem>
      <errorID>3f5cc0c8-23d2-41d0-90a0-8faf0382a0ec</errorID>
      <errorWord>(</errorWord>
      <group>L1_Format</group>
      <groupName>格式问题</groupName>
      <ability>L2_HalfPunc_CN</ability>
      <abilityName>全半角问题</abilityName>
      <candidateList>
        <item>（</item>
      </candidateList>
      <explain>文本全半角错误。</explain>
      <paraID> 148B248</paraID>
      <start>0</start>
      <end>1</end>
      <status>unmodified</status>
      <modifiedWord/>
      <trackRevisions>false</trackRevisions>
    </reviewItem>
    <reviewItem>
      <errorID>dd130fee-fdf9-4ed8-88a5-a29c9ea8814b</errorID>
      <errorWord>)</errorWord>
      <group>L1_Format</group>
      <groupName>格式问题</groupName>
      <ability>L2_HalfPunc_CN</ability>
      <abilityName>全半角问题</abilityName>
      <candidateList>
        <item>）</item>
      </candidateList>
      <explain>文本全半角错误。</explain>
      <paraID> 148B248</paraID>
      <start>2</start>
      <end>3</end>
      <status>unmodified</status>
      <modifiedWord/>
      <trackRevisions>false</trackRevisions>
    </reviewItem>
    <reviewItem>
      <errorID>9a3099da-0377-4a34-9929-c913b855a052</errorID>
      <errorWord>(</errorWord>
      <group>L1_Format</group>
      <groupName>格式问题</groupName>
      <ability>L2_HalfPunc_CN</ability>
      <abilityName>全半角问题</abilityName>
      <candidateList>
        <item>（</item>
      </candidateList>
      <explain>文本全半角错误。</explain>
      <paraID>45F7B910</paraID>
      <start>0</start>
      <end>1</end>
      <status>unmodified</status>
      <modifiedWord/>
      <trackRevisions>false</trackRevisions>
    </reviewItem>
    <reviewItem>
      <errorID>eac75948-a0a2-4a4a-9b10-9bf420aa5919</errorID>
      <errorWord>)</errorWord>
      <group>L1_Format</group>
      <groupName>格式问题</groupName>
      <ability>L2_HalfPunc_CN</ability>
      <abilityName>全半角问题</abilityName>
      <candidateList>
        <item>）</item>
      </candidateList>
      <explain>文本全半角错误。</explain>
      <paraID>45F7B910</paraID>
      <start>3</start>
      <end>4</end>
      <status>unmodified</status>
      <modifiedWord/>
      <trackRevisions>false</trackRevisions>
    </reviewItem>
    <reviewItem>
      <errorID>ade3f92c-e2ef-4bfe-89ad-d62d800b372f</errorID>
      <errorWord>(</errorWord>
      <group>L1_Format</group>
      <groupName>格式问题</groupName>
      <ability>L2_HalfPunc_CN</ability>
      <abilityName>全半角问题</abilityName>
      <candidateList>
        <item>（</item>
      </candidateList>
      <explain>文本全半角错误。</explain>
      <paraID>1D5A1D04</paraID>
      <start>0</start>
      <end>1</end>
      <status>unmodified</status>
      <modifiedWord/>
      <trackRevisions>false</trackRevisions>
    </reviewItem>
    <reviewItem>
      <errorID>523bf705-4252-4e01-8937-f71e3d08ff63</errorID>
      <errorWord>)</errorWord>
      <group>L1_Format</group>
      <groupName>格式问题</groupName>
      <ability>L2_HalfPunc_CN</ability>
      <abilityName>全半角问题</abilityName>
      <candidateList>
        <item>）</item>
      </candidateList>
      <explain>文本全半角错误。</explain>
      <paraID>1D5A1D04</paraID>
      <start>3</start>
      <end>4</end>
      <status>unmodified</status>
      <modifiedWord/>
      <trackRevisions>false</trackRevisions>
    </reviewItem>
    <reviewItem>
      <errorID>e9818228-1001-4a8f-a637-4152fb69cc88</errorID>
      <errorWord>(</errorWord>
      <group>L1_Format</group>
      <groupName>格式问题</groupName>
      <ability>L2_HalfPunc_CN</ability>
      <abilityName>全半角问题</abilityName>
      <candidateList>
        <item>（</item>
      </candidateList>
      <explain>文本全半角错误。</explain>
      <paraID>52E2524B</paraID>
      <start>3</start>
      <end>4</end>
      <status>unmodified</status>
      <modifiedWord/>
      <trackRevisions>false</trackRevisions>
    </reviewItem>
    <reviewItem>
      <errorID>88250e41-12ee-473f-ade1-57147183c891</errorID>
      <errorWord>)</errorWord>
      <group>L1_Format</group>
      <groupName>格式问题</groupName>
      <ability>L2_HalfPunc_CN</ability>
      <abilityName>全半角问题</abilityName>
      <candidateList>
        <item>）</item>
      </candidateList>
      <explain>文本全半角错误。</explain>
      <paraID>52E2524B</paraID>
      <start>6</start>
      <end>7</end>
      <status>unmodified</status>
      <modifiedWord/>
      <trackRevisions>false</trackRevisions>
    </reviewItem>
    <reviewItem>
      <errorID>6255f002-f7c3-4fc3-937d-071e482872ca</errorID>
      <errorWord>,</errorWord>
      <group>L1_Format</group>
      <groupName>格式问题</groupName>
      <ability>L2_HalfPunc_CN</ability>
      <abilityName>全半角问题</abilityName>
      <candidateList>
        <item>，</item>
      </candidateList>
      <explain>文本全半角错误。</explain>
      <paraID>3AE43171</paraID>
      <start>14</start>
      <end>15</end>
      <status>unmodified</status>
      <modifiedWord/>
      <trackRevisions>false</trackRevisions>
    </reviewItem>
    <reviewItem>
      <errorID>b21eb09f-f9df-472a-a9b4-e85c85e68cc6</errorID>
      <errorWord>,</errorWord>
      <group>L1_Format</group>
      <groupName>格式问题</groupName>
      <ability>L2_HalfPunc_CN</ability>
      <abilityName>全半角问题</abilityName>
      <candidateList>
        <item>，</item>
      </candidateList>
      <explain>文本全半角错误。</explain>
      <paraID>3AE43171</paraID>
      <start>22</start>
      <end>23</end>
      <status>unmodified</status>
      <modifiedWord/>
      <trackRevisions>false</trackRevisions>
    </reviewItem>
    <reviewItem>
      <errorID>72637ea9-f430-496b-bb8f-145d5421cb03</errorID>
      <errorWord>,</errorWord>
      <group>L1_Format</group>
      <groupName>格式问题</groupName>
      <ability>L2_HalfPunc_CN</ability>
      <abilityName>全半角问题</abilityName>
      <candidateList>
        <item>，</item>
      </candidateList>
      <explain>文本全半角错误。</explain>
      <paraID>3AE43171</paraID>
      <start>32</start>
      <end>33</end>
      <status>unmodified</status>
      <modifiedWord/>
      <trackRevisions>false</trackRevisions>
    </reviewItem>
    <reviewItem>
      <errorID>5f74eabc-fe1f-42de-9e5f-6d28ae9c37c3</errorID>
      <errorWord>,</errorWord>
      <group>L1_Format</group>
      <groupName>格式问题</groupName>
      <ability>L2_HalfPunc_CN</ability>
      <abilityName>全半角问题</abilityName>
      <candidateList>
        <item>，</item>
      </candidateList>
      <explain>文本全半角错误。</explain>
      <paraID>3AE43171</paraID>
      <start>41</start>
      <end>42</end>
      <status>unmodified</status>
      <modifiedWord/>
      <trackRevisions>false</trackRevisions>
    </reviewItem>
    <reviewItem>
      <errorID>43a15c89-f008-47d5-b97f-9c4a050a2d1b</errorID>
      <errorWord>,</errorWord>
      <group>L1_Format</group>
      <groupName>格式问题</groupName>
      <ability>L2_HalfPunc_CN</ability>
      <abilityName>全半角问题</abilityName>
      <candidateList>
        <item>，</item>
      </candidateList>
      <explain>文本全半角错误。</explain>
      <paraID>3AE43171</paraID>
      <start>50</start>
      <end>51</end>
      <status>unmodified</status>
      <modifiedWord/>
      <trackRevisions>false</trackRevisions>
    </reviewItem>
    <reviewItem>
      <errorID>2ffea303-c81b-440e-b9bb-7f92f69bdc2f</errorID>
      <errorWord>,</errorWord>
      <group>L1_Format</group>
      <groupName>格式问题</groupName>
      <ability>L2_HalfPunc_CN</ability>
      <abilityName>全半角问题</abilityName>
      <candidateList>
        <item>，</item>
      </candidateList>
      <explain>文本全半角错误。</explain>
      <paraID>3AE43171</paraID>
      <start>61</start>
      <end>62</end>
      <status>unmodified</status>
      <modifiedWord/>
      <trackRevisions>false</trackRevisions>
    </reviewItem>
    <reviewItem>
      <errorID>8901658b-179f-4e92-8647-7ff876183ef3</errorID>
      <errorWord>,</errorWord>
      <group>L1_Format</group>
      <groupName>格式问题</groupName>
      <ability>L2_HalfPunc_CN</ability>
      <abilityName>全半角问题</abilityName>
      <candidateList>
        <item>，</item>
      </candidateList>
      <explain>文本全半角错误。</explain>
      <paraID>3AE43171</paraID>
      <start>75</start>
      <end>76</end>
      <status>unmodified</status>
      <modifiedWord/>
      <trackRevisions>false</trackRevisions>
    </reviewItem>
    <reviewItem>
      <errorID>e44cb850-939d-44e1-b837-7e9cdd6ef95f</errorID>
      <errorWord>,</errorWord>
      <group>L1_Format</group>
      <groupName>格式问题</groupName>
      <ability>L2_HalfPunc_CN</ability>
      <abilityName>全半角问题</abilityName>
      <candidateList>
        <item>，</item>
      </candidateList>
      <explain>文本全半角错误。</explain>
      <paraID>3AE43171</paraID>
      <start>87</start>
      <end>88</end>
      <status>unmodified</status>
      <modifiedWord/>
      <trackRevisions>false</trackRevisions>
    </reviewItem>
    <reviewItem>
      <errorID>54e77c7f-87f2-416a-8b25-491a2ad8c685</errorID>
      <errorWord>,</errorWord>
      <group>L1_Format</group>
      <groupName>格式问题</groupName>
      <ability>L2_HalfPunc_CN</ability>
      <abilityName>全半角问题</abilityName>
      <candidateList>
        <item>，</item>
      </candidateList>
      <explain>文本全半角错误。</explain>
      <paraID>3AE43171</paraID>
      <start>99</start>
      <end>100</end>
      <status>unmodified</status>
      <modifiedWord/>
      <trackRevisions>false</trackRevisions>
    </reviewItem>
    <reviewItem>
      <errorID>39b32ce5-c45d-4356-b438-8436ab802e51</errorID>
      <errorWord>,</errorWord>
      <group>L1_Format</group>
      <groupName>格式问题</groupName>
      <ability>L2_HalfPunc_CN</ability>
      <abilityName>全半角问题</abilityName>
      <candidateList>
        <item>，</item>
      </candidateList>
      <explain>文本全半角错误。</explain>
      <paraID>3AE43171</paraID>
      <start>112</start>
      <end>113</end>
      <status>unmodified</status>
      <modifiedWord/>
      <trackRevisions>false</trackRevisions>
    </reviewItem>
    <reviewItem>
      <errorID>007ea67c-b63f-4485-9af7-6094d2352544</errorID>
      <errorWord>,</errorWord>
      <group>L1_Format</group>
      <groupName>格式问题</groupName>
      <ability>L2_HalfPunc_CN</ability>
      <abilityName>全半角问题</abilityName>
      <candidateList>
        <item>，</item>
      </candidateList>
      <explain>文本全半角错误。</explain>
      <paraID>3AE43171</paraID>
      <start>124</start>
      <end>125</end>
      <status>unmodified</status>
      <modifiedWord/>
      <trackRevisions>false</trackRevisions>
    </reviewItem>
    <reviewItem>
      <errorID>23c2a286-9b4c-4fae-9db3-d0d46e39c101</errorID>
      <errorWord>,</errorWord>
      <group>L1_Format</group>
      <groupName>格式问题</groupName>
      <ability>L2_HalfPunc_CN</ability>
      <abilityName>全半角问题</abilityName>
      <candidateList>
        <item>，</item>
      </candidateList>
      <explain>文本全半角错误。</explain>
      <paraID>3AE43171</paraID>
      <start>136</start>
      <end>137</end>
      <status>unmodified</status>
      <modifiedWord/>
      <trackRevisions>false</trackRevisions>
    </reviewItem>
    <reviewItem>
      <errorID>e9cb00b9-f13f-4ca9-ba90-2e4629b2502f</errorID>
      <errorWord>,</errorWord>
      <group>L1_Format</group>
      <groupName>格式问题</groupName>
      <ability>L2_HalfPunc_CN</ability>
      <abilityName>全半角问题</abilityName>
      <candidateList>
        <item>，</item>
      </candidateList>
      <explain>文本全半角错误。</explain>
      <paraID>3AE43171</paraID>
      <start>172</start>
      <end>173</end>
      <status>unmodified</status>
      <modifiedWord/>
      <trackRevisions>false</trackRevisions>
    </reviewItem>
    <reviewItem>
      <errorID>e6f38b38-a3d9-461d-8b3d-d91873d6caa4</errorID>
      <errorWord>,</errorWord>
      <group>L1_Format</group>
      <groupName>格式问题</groupName>
      <ability>L2_HalfPunc_CN</ability>
      <abilityName>全半角问题</abilityName>
      <candidateList>
        <item>，</item>
      </candidateList>
      <explain>文本全半角错误。</explain>
      <paraID>3AE43171</paraID>
      <start>182</start>
      <end>183</end>
      <status>unmodified</status>
      <modifiedWord/>
      <trackRevisions>false</trackRevisions>
    </reviewItem>
    <reviewItem>
      <errorID>85d9a624-9e0b-4e46-9de6-7f8419e8493f</errorID>
      <errorWord>,</errorWord>
      <group>L1_Format</group>
      <groupName>格式问题</groupName>
      <ability>L2_HalfPunc_CN</ability>
      <abilityName>全半角问题</abilityName>
      <candidateList>
        <item>，</item>
      </candidateList>
      <explain>文本全半角错误。</explain>
      <paraID>3AE43171</paraID>
      <start>192</start>
      <end>193</end>
      <status>unmodified</status>
      <modifiedWord/>
      <trackRevisions>false</trackRevisions>
    </reviewItem>
    <reviewItem>
      <errorID>3ed477c2-7935-4990-aadb-f0e96955f329</errorID>
      <errorWord>,</errorWord>
      <group>L1_Format</group>
      <groupName>格式问题</groupName>
      <ability>L2_HalfPunc_CN</ability>
      <abilityName>全半角问题</abilityName>
      <candidateList>
        <item>，</item>
      </candidateList>
      <explain>文本全半角错误。</explain>
      <paraID>3AE43171</paraID>
      <start>205</start>
      <end>206</end>
      <status>unmodified</status>
      <modifiedWord/>
      <trackRevisions>false</trackRevisions>
    </reviewItem>
    <reviewItem>
      <errorID>27fb498a-73c9-4b87-a571-bca2898af177</errorID>
      <errorWord>,</errorWord>
      <group>L1_Format</group>
      <groupName>格式问题</groupName>
      <ability>L2_HalfPunc_CN</ability>
      <abilityName>全半角问题</abilityName>
      <candidateList>
        <item>，</item>
      </candidateList>
      <explain>文本全半角错误。</explain>
      <paraID>3AE43171</paraID>
      <start>216</start>
      <end>217</end>
      <status>unmodified</status>
      <modifiedWord/>
      <trackRevisions>false</trackRevisions>
    </reviewItem>
    <reviewItem>
      <errorID>8ee3e79f-4834-4123-9d5b-eaaa8e7093e8</errorID>
      <errorWord>,</errorWord>
      <group>L1_Format</group>
      <groupName>格式问题</groupName>
      <ability>L2_HalfPunc_CN</ability>
      <abilityName>全半角问题</abilityName>
      <candidateList>
        <item>，</item>
      </candidateList>
      <explain>文本全半角错误。</explain>
      <paraID>3AE43171</paraID>
      <start>236</start>
      <end>237</end>
      <status>unmodified</status>
      <modifiedWord/>
      <trackRevisions>false</trackRevisions>
    </reviewItem>
    <reviewItem>
      <errorID>e4b25caa-12d2-4a24-85b5-a845e2de68f6</errorID>
      <errorWord>,</errorWord>
      <group>L1_Format</group>
      <groupName>格式问题</groupName>
      <ability>L2_HalfPunc_CN</ability>
      <abilityName>全半角问题</abilityName>
      <candidateList>
        <item>，</item>
      </candidateList>
      <explain>文本全半角错误。</explain>
      <paraID>3AE43171</paraID>
      <start>248</start>
      <end>249</end>
      <status>unmodified</status>
      <modifiedWord/>
      <trackRevisions>false</trackRevisions>
    </reviewItem>
    <reviewItem>
      <errorID>50c96099-7b28-429b-a5e0-a5972e4f5ceb</errorID>
      <errorWord>,</errorWord>
      <group>L1_Format</group>
      <groupName>格式问题</groupName>
      <ability>L2_HalfPunc_CN</ability>
      <abilityName>全半角问题</abilityName>
      <candidateList>
        <item>，</item>
      </candidateList>
      <explain>文本全半角错误。</explain>
      <paraID>3AE43171</paraID>
      <start>259</start>
      <end>260</end>
      <status>unmodified</status>
      <modifiedWord/>
      <trackRevisions>false</trackRevisions>
    </reviewItem>
    <reviewItem>
      <errorID>ebb67fe3-f42d-49fe-8065-de110e5f84e7</errorID>
      <errorWord>,</errorWord>
      <group>L1_Format</group>
      <groupName>格式问题</groupName>
      <ability>L2_HalfPunc_CN</ability>
      <abilityName>全半角问题</abilityName>
      <candidateList>
        <item>，</item>
      </candidateList>
      <explain>文本全半角错误。</explain>
      <paraID>3AE43171</paraID>
      <start>266</start>
      <end>267</end>
      <status>unmodified</status>
      <modifiedWord/>
      <trackRevisions>false</trackRevisions>
    </reviewItem>
    <reviewItem>
      <errorID>2b7b58d9-2537-4283-aff0-592aaf319982</errorID>
      <errorWord>,</errorWord>
      <group>L1_Format</group>
      <groupName>格式问题</groupName>
      <ability>L2_HalfPunc_CN</ability>
      <abilityName>全半角问题</abilityName>
      <candidateList>
        <item>，</item>
      </candidateList>
      <explain>文本全半角错误。</explain>
      <paraID>3AE43171</paraID>
      <start>274</start>
      <end>275</end>
      <status>unmodified</status>
      <modifiedWord/>
      <trackRevisions>false</trackRevisions>
    </reviewItem>
    <reviewItem>
      <errorID>53181a2c-690e-4b26-9769-cbeae9b2d4cd</errorID>
      <errorWord>,</errorWord>
      <group>L1_Format</group>
      <groupName>格式问题</groupName>
      <ability>L2_HalfPunc_CN</ability>
      <abilityName>全半角问题</abilityName>
      <candidateList>
        <item>，</item>
      </candidateList>
      <explain>文本全半角错误。</explain>
      <paraID>3AE43171</paraID>
      <start>284</start>
      <end>285</end>
      <status>unmodified</status>
      <modifiedWord/>
      <trackRevisions>false</trackRevisions>
    </reviewItem>
    <reviewItem>
      <errorID>a9f329c0-c92c-437c-9931-76359526d3c2</errorID>
      <errorWord>,</errorWord>
      <group>L1_Format</group>
      <groupName>格式问题</groupName>
      <ability>L2_HalfPunc_CN</ability>
      <abilityName>全半角问题</abilityName>
      <candidateList>
        <item>，</item>
      </candidateList>
      <explain>文本全半角错误。</explain>
      <paraID>3AE43171</paraID>
      <start>292</start>
      <end>293</end>
      <status>unmodified</status>
      <modifiedWord/>
      <trackRevisions>false</trackRevisions>
    </reviewItem>
    <reviewItem>
      <errorID>ae68aff7-94e9-490f-8149-893cc16f5e34</errorID>
      <errorWord>,</errorWord>
      <group>L1_Format</group>
      <groupName>格式问题</groupName>
      <ability>L2_HalfPunc_CN</ability>
      <abilityName>全半角问题</abilityName>
      <candidateList>
        <item>，</item>
      </candidateList>
      <explain>文本全半角错误。</explain>
      <paraID>3AE43171</paraID>
      <start>300</start>
      <end>301</end>
      <status>unmodified</status>
      <modifiedWord/>
      <trackRevisions>false</trackRevisions>
    </reviewItem>
    <reviewItem>
      <errorID>b6e07d9f-fd70-4d78-92a7-c02b32e420c6</errorID>
      <errorWord>,</errorWord>
      <group>L1_Format</group>
      <groupName>格式问题</groupName>
      <ability>L2_HalfPunc_CN</ability>
      <abilityName>全半角问题</abilityName>
      <candidateList>
        <item>，</item>
      </candidateList>
      <explain>文本全半角错误。</explain>
      <paraID>3AE43171</paraID>
      <start>307</start>
      <end>308</end>
      <status>unmodified</status>
      <modifiedWord/>
      <trackRevisions>false</trackRevisions>
    </reviewItem>
    <reviewItem>
      <errorID>5328c9ef-d202-4208-a37b-5befdfdbb10d</errorID>
      <errorWord>,</errorWord>
      <group>L1_Format</group>
      <groupName>格式问题</groupName>
      <ability>L2_HalfPunc_CN</ability>
      <abilityName>全半角问题</abilityName>
      <candidateList>
        <item>，</item>
      </candidateList>
      <explain>文本全半角错误。</explain>
      <paraID>3AE43171</paraID>
      <start>315</start>
      <end>316</end>
      <status>unmodified</status>
      <modifiedWord/>
      <trackRevisions>false</trackRevisions>
    </reviewItem>
    <reviewItem>
      <errorID>86beae63-215c-4f1d-a66f-5a684059ad8c</errorID>
      <errorWord>,</errorWord>
      <group>L1_Format</group>
      <groupName>格式问题</groupName>
      <ability>L2_HalfPunc_CN</ability>
      <abilityName>全半角问题</abilityName>
      <candidateList>
        <item>，</item>
      </candidateList>
      <explain>文本全半角错误。</explain>
      <paraID>3AE43171</paraID>
      <start>326</start>
      <end>327</end>
      <status>unmodified</status>
      <modifiedWord/>
      <trackRevisions>false</trackRevisions>
    </reviewItem>
    <reviewItem>
      <errorID>ade15ea3-ac1c-4be6-add3-b2133b44c7ae</errorID>
      <errorWord>,</errorWord>
      <group>L1_Format</group>
      <groupName>格式问题</groupName>
      <ability>L2_HalfPunc_CN</ability>
      <abilityName>全半角问题</abilityName>
      <candidateList>
        <item>，</item>
      </candidateList>
      <explain>文本全半角错误。</explain>
      <paraID>3AE43171</paraID>
      <start>344</start>
      <end>345</end>
      <status>unmodified</status>
      <modifiedWord/>
      <trackRevisions>false</trackRevisions>
    </reviewItem>
    <reviewItem>
      <errorID>fe687742-2794-4ef8-8c93-6a922aec1814</errorID>
      <errorWord>,</errorWord>
      <group>L1_Format</group>
      <groupName>格式问题</groupName>
      <ability>L2_HalfPunc_CN</ability>
      <abilityName>全半角问题</abilityName>
      <candidateList>
        <item>，</item>
      </candidateList>
      <explain>文本全半角错误。</explain>
      <paraID>3AE43171</paraID>
      <start>357</start>
      <end>358</end>
      <status>unmodified</status>
      <modifiedWord/>
      <trackRevisions>false</trackRevisions>
    </reviewItem>
    <reviewItem>
      <errorID>2e9407ca-56d0-491a-9593-a36c32a71ac3</errorID>
      <errorWord>,</errorWord>
      <group>L1_Format</group>
      <groupName>格式问题</groupName>
      <ability>L2_HalfPunc_CN</ability>
      <abilityName>全半角问题</abilityName>
      <candidateList>
        <item>，</item>
      </candidateList>
      <explain>文本全半角错误。</explain>
      <paraID>3AE43171</paraID>
      <start>374</start>
      <end>375</end>
      <status>unmodified</status>
      <modifiedWord/>
      <trackRevisions>false</trackRevisions>
    </reviewItem>
    <reviewItem>
      <errorID>9614e7c8-ccb9-48be-b097-e4dc9668c17f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37E19955</paraID>
      <start>64</start>
      <end>65</end>
      <status>unmodified</status>
      <modifiedWord/>
      <trackRevisions>false</trackRevisions>
    </reviewItem>
    <reviewItem>
      <errorID>0c26893d-8218-42fd-872a-b13b6a159411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37E19955</paraID>
      <start>87</start>
      <end>88</end>
      <status>unmodified</status>
      <modifiedWord/>
      <trackRevisions>false</trackRevisions>
    </reviewItem>
    <reviewItem>
      <errorID>9531447e-ca51-4735-9759-9d8eb75ceb15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38229304</paraID>
      <start>49</start>
      <end>50</end>
      <status>unmodified</status>
      <modifiedWord/>
      <trackRevisions>false</trackRevisions>
    </reviewItem>
    <reviewItem>
      <errorID>993cc721-47da-473a-a341-76c39fdc1401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38229304</paraID>
      <start>71</start>
      <end>72</end>
      <status>unmodified</status>
      <modifiedWord/>
      <trackRevisions>false</trackRevisions>
    </reviewItem>
    <reviewItem>
      <errorID>4fa230a7-d841-422d-a394-e215f6370ea3</errorID>
      <errorWord>(</errorWord>
      <group>L1_Format</group>
      <groupName>格式问题</groupName>
      <ability>L2_HalfPunc_CN</ability>
      <abilityName>全半角问题</abilityName>
      <candidateList>
        <item>（</item>
      </candidateList>
      <explain>文本全半角错误。</explain>
      <paraID>1BE47B0C</paraID>
      <start>1</start>
      <end>2</end>
      <status>unmodified</status>
      <modifiedWord/>
      <trackRevisions>false</trackRevisions>
    </reviewItem>
    <reviewItem>
      <errorID>99b802e6-c60c-4a9e-9585-7e4e945b465b</errorID>
      <errorWord>)</errorWord>
      <group>L1_Format</group>
      <groupName>格式问题</groupName>
      <ability>L2_HalfPunc_CN</ability>
      <abilityName>全半角问题</abilityName>
      <candidateList>
        <item>）</item>
      </candidateList>
      <explain>文本全半角错误。</explain>
      <paraID>1BE47B0C</paraID>
      <start>3</start>
      <end>4</end>
      <status>unmodified</status>
      <modifiedWord/>
      <trackRevisions>false</trackRevisions>
    </reviewItem>
    <reviewItem>
      <errorID>52898744-d8b5-4d81-a2ba-7be943ac3b61</errorID>
      <errorWord>县(市、区)</errorWord>
      <group>L1_Political</group>
      <groupName>政治性问题</groupName>
      <ability>L2_Unpolitical</ability>
      <abilityName>政治敏感错误</abilityName>
      <candidateList>
        <item>县（市、区）</item>
      </candidateList>
      <explain/>
      <paraID>6B8F16CC</paraID>
      <start>0</start>
      <end>6</end>
      <status>unmodified</status>
      <modifiedWord/>
      <trackRevisions>false</trackRevisions>
    </reviewItem>
    <reviewItem>
      <errorID>93040f81-7f97-496c-9e18-e8cb833f7666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5613CF94</paraID>
      <start>4</start>
      <end>5</end>
      <status>unmodified</status>
      <modifiedWord/>
      <trackRevisions>false</trackRevisions>
    </reviewItem>
    <reviewItem>
      <errorID>8b99ba21-44d7-45ba-95b9-af1a4c26154a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465700A4</paraID>
      <start>4</start>
      <end>5</end>
      <status>unmodified</status>
      <modifiedWord/>
      <trackRevisions>false</trackRevisions>
    </reviewItem>
    <reviewItem>
      <errorID>887da2ab-3d4d-4cd6-aad7-3f6df9be91a3</errorID>
      <errorWord>-</errorWord>
      <group>L1_Format</group>
      <groupName>格式问题</groupName>
      <ability>L2_HalfPunc_CN</ability>
      <abilityName>全半角问题</abilityName>
      <candidateList>
        <item>－</item>
      </candidateList>
      <explain>文本全半角错误。</explain>
      <paraID>52804D71</paraID>
      <start>48</start>
      <end>49</end>
      <status>unmodified</status>
      <modifiedWord/>
      <trackRevisions>false</trackRevisions>
    </reviewItem>
    <reviewItem>
      <errorID>c4a577cb-ed0a-49e0-9086-94cd8a633f75</errorID>
      <errorWord>县(市、区)</errorWord>
      <group>L1_Political</group>
      <groupName>政治性问题</groupName>
      <ability>L2_Unpolitical</ability>
      <abilityName>政治敏感错误</abilityName>
      <candidateList>
        <item>县（市、区）</item>
      </candidateList>
      <explain/>
      <paraID> 77AC8E9</paraID>
      <start>0</start>
      <end>6</end>
      <status>unmodified</status>
      <modifiedWord/>
      <trackRevisions>false</trackRevisions>
    </reviewItem>
    <reviewItem>
      <errorID>3122cdab-1834-415a-bc38-f64ea9256e75</errorID>
      <errorWord>大跃进</errorWord>
      <group>L1_Sensitive</group>
      <groupName>敏感问题</groupName>
      <ability>L2_Sensitive</ability>
      <abilityName>敏感内容</abilityName>
      <candidateList/>
      <explain>【敏感内容】句中涉及敏感性内容的违规表述，请注意甄别。</explain>
      <paraID>6DBE911E</paraID>
      <start>152</start>
      <end>155</end>
      <status>unmodified</status>
      <modifiedWord/>
      <trackRevisions>false</trackRevisions>
    </reviewItem>
    <reviewItem>
      <errorID>622629d0-2869-4cfb-b634-f6b39ff5d00a</errorID>
      <errorWord>大把</errorWord>
      <group>L1_Word</group>
      <groupName>字词问题</groupName>
      <ability>L2_Typo</ability>
      <abilityName>字词错误</abilityName>
      <candidateList>
        <item>大坝</item>
      </candidateList>
      <explain>存在发音相同字词的误用。</explain>
      <paraID>62E18B9C</paraID>
      <start>241</start>
      <end>243</end>
      <status>unmodified</status>
      <modifiedWord/>
      <trackRevisions>false</trackRevisions>
    </reviewItem>
    <reviewItem>
      <errorID>d03e51ee-54dd-4c7c-8419-6dd0c4608efc</errorID>
      <errorWord>75%~80%</errorWord>
      <group>L1_Knowledge</group>
      <groupName>知识性问题</groupName>
      <ability>L2_Knowledge</ability>
      <abilityName>其他知识</abilityName>
      <candidateList>
        <item>75%～80%</item>
      </candidateList>
      <explain>1. “75%~80%”中的单位“%”仅出现在后一个数字上，容易引起歧义；根据《现代汉语标点符号数字用法规范手册》，数字表示范围两边需要使用统一的格式。2. 根据标点国标 4.13 中的规则，数字、时间或地域连接符应使用（视觉上更长的）“—”或“～”。</explain>
      <paraID>141583A0</paraID>
      <start>350</start>
      <end>357</end>
      <status>unmodified</status>
      <modifiedWord/>
      <trackRevisions>false</trackRevisions>
    </reviewItem>
    <reviewItem>
      <errorID>26195d96-0a99-40fe-9b64-f52b1afa2cdc</errorID>
      <errorWord>85%~90%</errorWord>
      <group>L1_Knowledge</group>
      <groupName>知识性问题</groupName>
      <ability>L2_Knowledge</ability>
      <abilityName>其他知识</abilityName>
      <candidateList>
        <item>85%～90%</item>
      </candidateList>
      <explain>1. “85%~90%”中的单位“%”仅出现在后一个数字上，容易引起歧义；根据《现代汉语标点符号数字用法规范手册》，数字表示范围两边需要使用统一的格式。2. 根据标点国标 4.13 中的规则，数字、时间或地域连接符应使用（视觉上更长的）“—”或“～”。</explain>
      <paraID>141583A0</paraID>
      <start>373</start>
      <end>380</end>
      <status>unmodified</status>
      <modifiedWord/>
      <trackRevisions>false</trackRevisions>
    </reviewItem>
    <reviewItem>
      <errorID>9c284f6e-4c67-4fcd-a303-d8e2fba5c648</errorID>
      <errorWord>(</errorWord>
      <group>L1_Format</group>
      <groupName>格式问题</groupName>
      <ability>L2_HalfPunc_CN</ability>
      <abilityName>全半角问题</abilityName>
      <candidateList>
        <item>（</item>
      </candidateList>
      <explain>文本全半角错误。</explain>
      <paraID>29A53138</paraID>
      <start>4</start>
      <end>5</end>
      <status>unmodified</status>
      <modifiedWord/>
      <trackRevisions>false</trackRevisions>
    </reviewItem>
    <reviewItem>
      <errorID>ba6df403-dfc6-4768-a568-2a7394ac006e</errorID>
      <errorWord>)</errorWord>
      <group>L1_Format</group>
      <groupName>格式问题</groupName>
      <ability>L2_HalfPunc_CN</ability>
      <abilityName>全半角问题</abilityName>
      <candidateList>
        <item>）</item>
      </candidateList>
      <explain>文本全半角错误。</explain>
      <paraID>29A53138</paraID>
      <start>8</start>
      <end>9</end>
      <status>unmodified</status>
      <modifiedWord/>
      <trackRevisions>false</trackRevisions>
    </reviewItem>
    <reviewItem>
      <errorID>a911082c-9520-46b1-823c-11e05f473e69</errorID>
      <errorWord>(</errorWord>
      <group>L1_Format</group>
      <groupName>格式问题</groupName>
      <ability>L2_HalfPunc_CN</ability>
      <abilityName>全半角问题</abilityName>
      <candidateList>
        <item>（</item>
      </candidateList>
      <explain>文本全半角错误。</explain>
      <paraID>11D78337</paraID>
      <start>2</start>
      <end>3</end>
      <status>unmodified</status>
      <modifiedWord/>
      <trackRevisions>false</trackRevisions>
    </reviewItem>
    <reviewItem>
      <errorID>8c04552c-852a-4da4-aa92-56a04f4d230c</errorID>
      <errorWord>)</errorWord>
      <group>L1_Format</group>
      <groupName>格式问题</groupName>
      <ability>L2_HalfPunc_CN</ability>
      <abilityName>全半角问题</abilityName>
      <candidateList>
        <item>）</item>
      </candidateList>
      <explain>文本全半角错误。</explain>
      <paraID>11D78337</paraID>
      <start>5</start>
      <end>6</end>
      <status>unmodified</status>
      <modifiedWord/>
      <trackRevisions>false</trackRevisions>
    </reviewItem>
    <reviewItem>
      <errorID>72928872-5ab7-46ae-9288-cd8a7c489d7e</errorID>
      <errorWord>(</errorWord>
      <group>L1_Format</group>
      <groupName>格式问题</groupName>
      <ability>L2_HalfPunc_CN</ability>
      <abilityName>全半角问题</abilityName>
      <candidateList>
        <item>（</item>
      </candidateList>
      <explain>文本全半角错误。</explain>
      <paraID>31044C29</paraID>
      <start>4</start>
      <end>5</end>
      <status>unmodified</status>
      <modifiedWord/>
      <trackRevisions>false</trackRevisions>
    </reviewItem>
    <reviewItem>
      <errorID>b575d90b-079e-41f1-ade7-aa012aaed900</errorID>
      <errorWord>)</errorWord>
      <group>L1_Format</group>
      <groupName>格式问题</groupName>
      <ability>L2_HalfPunc_CN</ability>
      <abilityName>全半角问题</abilityName>
      <candidateList>
        <item>）</item>
      </candidateList>
      <explain>文本全半角错误。</explain>
      <paraID>31044C29</paraID>
      <start>6</start>
      <end>7</end>
      <status>unmodified</status>
      <modifiedWord/>
      <trackRevisions>false</trackRevisions>
    </reviewItem>
    <reviewItem>
      <errorID>2fef5a10-98a9-4d79-9ecf-22584a752aba</errorID>
      <errorWord>(</errorWord>
      <group>L1_Format</group>
      <groupName>格式问题</groupName>
      <ability>L2_HalfPunc_CN</ability>
      <abilityName>全半角问题</abilityName>
      <candidateList>
        <item>（</item>
      </candidateList>
      <explain>文本全半角错误。</explain>
      <paraID>7BB154DC</paraID>
      <start>4</start>
      <end>5</end>
      <status>unmodified</status>
      <modifiedWord/>
      <trackRevisions>false</trackRevisions>
    </reviewItem>
    <reviewItem>
      <errorID>42bad591-432f-4111-8a85-6c2efd201887</errorID>
      <errorWord>)</errorWord>
      <group>L1_Format</group>
      <groupName>格式问题</groupName>
      <ability>L2_HalfPunc_CN</ability>
      <abilityName>全半角问题</abilityName>
      <candidateList>
        <item>）</item>
      </candidateList>
      <explain>文本全半角错误。</explain>
      <paraID>7BB154DC</paraID>
      <start>6</start>
      <end>7</end>
      <status>unmodified</status>
      <modifiedWord/>
      <trackRevisions>false</trackRevisions>
    </reviewItem>
    <reviewItem>
      <errorID>e9fbacdd-267d-4e40-b6b7-b4482d3f36fe</errorID>
      <errorWord>(</errorWord>
      <group>L1_Format</group>
      <groupName>格式问题</groupName>
      <ability>L2_HalfPunc_CN</ability>
      <abilityName>全半角问题</abilityName>
      <candidateList>
        <item>（</item>
      </candidateList>
      <explain>文本全半角错误。</explain>
      <paraID>540827E1</paraID>
      <start>4</start>
      <end>5</end>
      <status>unmodified</status>
      <modifiedWord/>
      <trackRevisions>false</trackRevisions>
    </reviewItem>
    <reviewItem>
      <errorID>41ce949d-4162-46dc-9871-c985887c255f</errorID>
      <errorWord>)</errorWord>
      <group>L1_Format</group>
      <groupName>格式问题</groupName>
      <ability>L2_HalfPunc_CN</ability>
      <abilityName>全半角问题</abilityName>
      <candidateList>
        <item>）</item>
      </candidateList>
      <explain>文本全半角错误。</explain>
      <paraID>540827E1</paraID>
      <start>6</start>
      <end>7</end>
      <status>unmodified</status>
      <modifiedWord/>
      <trackRevisions>false</trackRevisions>
    </reviewItem>
    <reviewItem>
      <errorID>f2343eb0-4e42-40e5-a4d6-2edbfbc0c7f5</errorID>
      <errorWord>(</errorWord>
      <group>L1_Format</group>
      <groupName>格式问题</groupName>
      <ability>L2_HalfPunc_CN</ability>
      <abilityName>全半角问题</abilityName>
      <candidateList>
        <item>（</item>
      </candidateList>
      <explain>文本全半角错误。</explain>
      <paraID>7104EA4B</paraID>
      <start>4</start>
      <end>5</end>
      <status>unmodified</status>
      <modifiedWord/>
      <trackRevisions>false</trackRevisions>
    </reviewItem>
    <reviewItem>
      <errorID>cc945442-e814-4ad2-84c8-ee22fabcbd36</errorID>
      <errorWord>)</errorWord>
      <group>L1_Format</group>
      <groupName>格式问题</groupName>
      <ability>L2_HalfPunc_CN</ability>
      <abilityName>全半角问题</abilityName>
      <candidateList>
        <item>）</item>
      </candidateList>
      <explain>文本全半角错误。</explain>
      <paraID>7104EA4B</paraID>
      <start>6</start>
      <end>7</end>
      <status>unmodified</status>
      <modifiedWord/>
      <trackRevisions>false</trackRevisions>
    </reviewItem>
    <reviewItem>
      <errorID>4eee8501-a8b4-486a-8025-81b779dd8564</errorID>
      <errorWord>(</errorWord>
      <group>L1_Format</group>
      <groupName>格式问题</groupName>
      <ability>L2_HalfPunc_CN</ability>
      <abilityName>全半角问题</abilityName>
      <candidateList>
        <item>（</item>
      </candidateList>
      <explain>文本全半角错误。</explain>
      <paraID> D75EE79</paraID>
      <start>1</start>
      <end>2</end>
      <status>unmodified</status>
      <modifiedWord/>
      <trackRevisions>false</trackRevisions>
    </reviewItem>
    <reviewItem>
      <errorID>b8a03a4a-ee04-4639-9598-fce668498ddf</errorID>
      <errorWord>)</errorWord>
      <group>L1_Format</group>
      <groupName>格式问题</groupName>
      <ability>L2_HalfPunc_CN</ability>
      <abilityName>全半角问题</abilityName>
      <candidateList>
        <item>）</item>
      </candidateList>
      <explain>文本全半角错误。</explain>
      <paraID> D75EE79</paraID>
      <start>3</start>
      <end>4</end>
      <status>unmodified</status>
      <modifiedWord/>
      <trackRevisions>false</trackRevisions>
    </reviewItem>
    <reviewItem>
      <errorID>43e3a923-4ce5-494c-9621-e82bac2c8481</errorID>
      <errorWord>(</errorWord>
      <group>L1_Format</group>
      <groupName>格式问题</groupName>
      <ability>L2_HalfPunc_CN</ability>
      <abilityName>全半角问题</abilityName>
      <candidateList>
        <item>（</item>
      </candidateList>
      <explain>文本全半角错误。</explain>
      <paraID>3FB9D5C0</paraID>
      <start>1</start>
      <end>2</end>
      <status>unmodified</status>
      <modifiedWord/>
      <trackRevisions>false</trackRevisions>
    </reviewItem>
    <reviewItem>
      <errorID>70039a76-9cb8-4618-a7dc-a5d750cd40a4</errorID>
      <errorWord>)</errorWord>
      <group>L1_Format</group>
      <groupName>格式问题</groupName>
      <ability>L2_HalfPunc_CN</ability>
      <abilityName>全半角问题</abilityName>
      <candidateList>
        <item>）</item>
      </candidateList>
      <explain>文本全半角错误。</explain>
      <paraID>3FB9D5C0</paraID>
      <start>3</start>
      <end>4</end>
      <status>unmodified</status>
      <modifiedWord/>
      <trackRevisions>false</trackRevisions>
    </reviewItem>
    <reviewItem>
      <errorID>629cd165-d577-4275-9b53-d5f288a45c50</errorID>
      <errorWord>(</errorWord>
      <group>L1_Format</group>
      <groupName>格式问题</groupName>
      <ability>L2_HalfPunc_CN</ability>
      <abilityName>全半角问题</abilityName>
      <candidateList>
        <item>（</item>
      </candidateList>
      <explain>文本全半角错误。</explain>
      <paraID>1A20DC9D</paraID>
      <start>15</start>
      <end>16</end>
      <status>unmodified</status>
      <modifiedWord/>
      <trackRevisions>false</trackRevisions>
    </reviewItem>
    <reviewItem>
      <errorID>1afc2f76-a536-4f57-845b-9bc8dd50ad2a</errorID>
      <errorWord>)</errorWord>
      <group>L1_Format</group>
      <groupName>格式问题</groupName>
      <ability>L2_HalfPunc_CN</ability>
      <abilityName>全半角问题</abilityName>
      <candidateList>
        <item>）</item>
      </candidateList>
      <explain>文本全半角错误。</explain>
      <paraID>1A20DC9D</paraID>
      <start>50</start>
      <end>51</end>
      <status>unmodified</status>
      <modifiedWord/>
      <trackRevisions>false</trackRevisions>
    </reviewItem>
    <reviewItem>
      <errorID>b3c6dabd-c1d9-46c7-b05c-b6170cb08781</errorID>
      <errorWord>(</errorWord>
      <group>L1_Format</group>
      <groupName>格式问题</groupName>
      <ability>L2_HalfPunc_CN</ability>
      <abilityName>全半角问题</abilityName>
      <candidateList>
        <item>（</item>
      </candidateList>
      <explain>文本全半角错误。</explain>
      <paraID>4B13EAE2</paraID>
      <start>4</start>
      <end>5</end>
      <status>unmodified</status>
      <modifiedWord/>
      <trackRevisions>false</trackRevisions>
    </reviewItem>
    <reviewItem>
      <errorID>8e41d6a7-267c-4f19-bec8-5f6c3a063bec</errorID>
      <errorWord>)</errorWord>
      <group>L1_Format</group>
      <groupName>格式问题</groupName>
      <ability>L2_HalfPunc_CN</ability>
      <abilityName>全半角问题</abilityName>
      <candidateList>
        <item>）</item>
      </candidateList>
      <explain>文本全半角错误。</explain>
      <paraID>4B13EAE2</paraID>
      <start>8</start>
      <end>9</end>
      <status>unmodified</status>
      <modifiedWord/>
      <trackRevisions>false</trackRevisions>
    </reviewItem>
    <reviewItem>
      <errorID>6c14f2b2-a709-4573-83da-5cff371f804c</errorID>
      <errorWord>(</errorWord>
      <group>L1_Format</group>
      <groupName>格式问题</groupName>
      <ability>L2_HalfPunc_CN</ability>
      <abilityName>全半角问题</abilityName>
      <candidateList>
        <item>（</item>
      </candidateList>
      <explain>文本全半角错误。</explain>
      <paraID>5855A45A</paraID>
      <start>2</start>
      <end>3</end>
      <status>unmodified</status>
      <modifiedWord/>
      <trackRevisions>false</trackRevisions>
    </reviewItem>
    <reviewItem>
      <errorID>dac2b60d-4d0c-4d54-a1e5-ffaed44b76a0</errorID>
      <errorWord>)</errorWord>
      <group>L1_Format</group>
      <groupName>格式问题</groupName>
      <ability>L2_HalfPunc_CN</ability>
      <abilityName>全半角问题</abilityName>
      <candidateList>
        <item>）</item>
      </candidateList>
      <explain>文本全半角错误。</explain>
      <paraID>5855A45A</paraID>
      <start>5</start>
      <end>6</end>
      <status>unmodified</status>
      <modifiedWord/>
      <trackRevisions>false</trackRevisions>
    </reviewItem>
    <reviewItem>
      <errorID>c87a46b6-6ea1-4a81-8180-2c80e11d545e</errorID>
      <errorWord>控</errorWord>
      <group>L1_Word</group>
      <groupName>字词问题</groupName>
      <ability>L2_Typo</ability>
      <abilityName>字词错误</abilityName>
      <candidateList>
        <item>控等</item>
      </candidateList>
      <explain/>
      <paraID>426DEE28</paraID>
      <start>139</start>
      <end>140</end>
      <status>unmodified</status>
      <modifiedWord/>
      <trackRevisions>false</trackRevisions>
    </reviewItem>
    <reviewItem>
      <errorID>bd33f969-f8f2-4962-8406-350533385054</errorID>
      <errorWord>山水林田湖草沙系统化治理</errorWord>
      <group>L1_Political</group>
      <groupName>政治性问题</groupName>
      <ability>L2_Keyword</ability>
      <abilityName>固定表述</abilityName>
      <candidateList>
        <item>山水林田湖草沙系统治理</item>
      </candidateList>
      <explain>词汇“山水林田湖草沙系统治理”在特定场景下为固定表述形式，请确认此处的“山水林田湖草沙系统化治理”是否存在不当。</explain>
      <paraID>73C1EA6A</paraID>
      <start>88</start>
      <end>100</end>
      <status>unmodified</status>
      <modifiedWord/>
      <trackRevisions>false</trackRevisions>
    </reviewItem>
    <reviewItem>
      <errorID>62b0945b-09d2-4f71-ad34-3f10757fc108</errorID>
      <errorWord>-</errorWord>
      <group>L1_Format</group>
      <groupName>格式问题</groupName>
      <ability>L2_HalfPunc_CN</ability>
      <abilityName>全半角问题</abilityName>
      <candidateList>
        <item>－</item>
      </candidateList>
      <explain>文本全半角错误。</explain>
      <paraID>73C1EA6A</paraID>
      <start>127</start>
      <end>128</end>
      <status>unmodified</status>
      <modifiedWord/>
      <trackRevisions>false</trackRevisions>
    </reviewItem>
    <reviewItem>
      <errorID>0f22f2d5-365d-49d1-b0b6-77ec7e3701ff</errorID>
      <errorWord>污水处厂</errorWord>
      <group>L1_Knowledge</group>
      <groupName>知识性问题</groupName>
      <ability>L2_Term</ability>
      <abilityName>专业术语</abilityName>
      <candidateList>
        <item>污水处理</item>
      </candidateList>
      <explain/>
      <paraID>7688EFDC</paraID>
      <start>3</start>
      <end>7</end>
      <status>modified</status>
      <modifiedWord>污水处理</modifiedWord>
      <trackRevisions>false</trackRevisions>
    </reviewItem>
    <reviewItem>
      <errorID>2df89989-6e23-4f4a-bede-92345e5d4fc7</errorID>
      <errorWord>-</errorWord>
      <group>L1_Format</group>
      <groupName>格式问题</groupName>
      <ability>L2_HalfPunc_CN</ability>
      <abilityName>全半角问题</abilityName>
      <candidateList>
        <item>－</item>
      </candidateList>
      <explain>文本全半角错误。</explain>
      <paraID>3A5C6BE1</paraID>
      <start>3</start>
      <end>4</end>
      <status>unmodified</status>
      <modifiedWord/>
      <trackRevisions>false</trackRevisions>
    </reviewItem>
    <reviewItem>
      <errorID>3dbd1074-f23b-47b2-ab77-54713252baf4</errorID>
      <errorWord>干干</errorWord>
      <group>L1_Word</group>
      <groupName>字词问题</groupName>
      <ability>L2_Typo</ability>
      <abilityName>字词错误</abilityName>
      <candidateList>
        <item>干</item>
      </candidateList>
      <explain/>
      <paraID>1D129094</paraID>
      <start>49</start>
      <end>51</end>
      <status>unmodified</status>
      <modifiedWord/>
      <trackRevisions>false</trackRevisions>
    </reviewItem>
    <reviewItem>
      <errorID>7fc62b12-908d-4ad8-be1d-fab6a15da598</errorID>
      <errorWord>~</errorWord>
      <group>L1_Format</group>
      <groupName>格式问题</groupName>
      <ability>L2_HalfPunc_CN</ability>
      <abilityName>全半角问题</abilityName>
      <candidateList>
        <item>～</item>
      </candidateList>
      <explain>文本全半角错误。</explain>
      <paraID>5E286972</paraID>
      <start>12</start>
      <end>13</end>
      <status>unmodified</status>
      <modifiedWord/>
      <trackRevisions>false</trackRevisions>
    </reviewItem>
    <reviewItem>
      <errorID>7a0ed28c-b2b0-46d1-8fdd-4250241f3529</errorID>
      <errorWord>~</errorWord>
      <group>L1_Format</group>
      <groupName>格式问题</groupName>
      <ability>L2_HalfPunc_CN</ability>
      <abilityName>全半角问题</abilityName>
      <candidateList>
        <item>～</item>
      </candidateList>
      <explain>文本全半角错误。</explain>
      <paraID>5E286972</paraID>
      <start>34</start>
      <end>35</end>
      <status>unmodified</status>
      <modifiedWord/>
      <trackRevisions>false</trackRevisions>
    </reviewItem>
    <reviewItem>
      <errorID>c127ce44-d0e4-41f1-a271-e4647c3af71b</errorID>
      <errorWord>"</errorWord>
      <group>L1_Format</group>
      <groupName>格式问题</groupName>
      <ability>L2_HalfPunc_CN</ability>
      <abilityName>全半角问题</abilityName>
      <candidateList>
        <item>”</item>
      </candidateList>
      <explain>文本全半角错误。</explain>
      <paraID>6F336A25</paraID>
      <start>135</start>
      <end>136</end>
      <status>unmodified</status>
      <modifiedWord/>
      <trackRevisions>false</trackRevisions>
    </reviewItem>
    <reviewItem>
      <errorID>cf553c89-5bab-46d8-88c3-4ef0fe549f73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6F336A25</paraID>
      <start>150</start>
      <end>151</end>
      <status>unmodified</status>
      <modifiedWord/>
      <trackRevisions>false</trackRevisions>
    </reviewItem>
    <reviewItem>
      <errorID>664e1e71-3663-4997-8878-d6059f2c17b6</errorID>
      <errorWord>件</errorWord>
      <group>L1_Knowledge</group>
      <groupName>知识性问题</groupName>
      <ability>L2_Knowledge</ability>
      <abilityName>其他知识</abilityName>
      <candidateList>
        <item>座</item>
      </candidateList>
      <explain>请检查“件”是否为量词使用错误，建议修改为“座”。</explain>
      <paraID>541B714C</paraID>
      <start>273</start>
      <end>274</end>
      <status>unmodified</status>
      <modifiedWord/>
      <trackRevisions>false</trackRevisions>
    </reviewItem>
    <reviewItem>
      <errorID>ee6b9a94-bc16-48d7-850e-480cb3fda22e</errorID>
      <errorWord>生态空间分区管控</errorWord>
      <group>L1_Political</group>
      <groupName>政治性问题</groupName>
      <ability>L2_Keyword</ability>
      <abilityName>固定表述</abilityName>
      <candidateList>
        <item>生态环境分区管控</item>
      </candidateList>
      <explain>词汇“生态环境分区管控”在特定场景下为固定表述形式，请确认此处的“生态空间分区管控”是否存在不当。</explain>
      <paraID>7F491C41</paraID>
      <start>56</start>
      <end>64</end>
      <status>unmodified</status>
      <modifiedWord/>
      <trackRevisions>false</trackRevisions>
    </reviewItem>
    <reviewItem>
      <errorID>5ece285c-2ee1-4e93-bf7b-7e9a774c5cce</errorID>
      <errorWord>国家投资主管部门</errorWord>
      <group>L1_Political</group>
      <groupName>政治性问题</groupName>
      <ability>L2_Keyword</ability>
      <abilityName>固定表述</abilityName>
      <candidateList>
        <item>国务院投资主管部门</item>
      </candidateList>
      <explain>词汇“国务院投资主管部门”在特定场景下为固定表述形式，请确认此处的“国家投资主管部门”是否存在不当。</explain>
      <paraID>15E6C5C2</paraID>
      <start>26</start>
      <end>34</end>
      <status>unmodified</status>
      <modifiedWord/>
      <trackRevisions>false</trackRevisions>
    </reviewItem>
    <reviewItem>
      <errorID>6058653b-7c34-43e3-aeef-709e3fe15d60</errorID>
      <errorWord>（</errorWord>
      <group>L1_Punc</group>
      <groupName>标点问题</groupName>
      <ability>L2_Punc_CN</ability>
      <abilityName>标点符号问题</abilityName>
      <candidateList/>
      <explain>同一形式括号套用。</explain>
      <paraID>40F30582</paraID>
      <start>98</start>
      <end>99</end>
      <status>unmodified</status>
      <modifiedWord/>
      <trackRevisions>false</trackRevisions>
    </reviewItem>
    <reviewItem>
      <errorID>406c98af-ae9c-43b2-aeff-6ecef42eb250</errorID>
      <errorWord>）</errorWord>
      <group>L1_Punc</group>
      <groupName>标点问题</groupName>
      <ability>L2_Punc_CN</ability>
      <abilityName>标点符号问题</abilityName>
      <candidateList/>
      <explain>同一形式括号套用。</explain>
      <paraID>40F30582</paraID>
      <start>103</start>
      <end>104</end>
      <status>unmodified</status>
      <modifiedWord/>
      <trackRevisions>false</trackRevisions>
    </reviewItem>
    <reviewItem>
      <errorID>996eda68-8d8d-4c2c-a5f1-c29ff08ec081</errorID>
      <errorWord>跨区域调水</errorWord>
      <group>L1_Political</group>
      <groupName>政治性问题</groupName>
      <ability>L2_Keyword</ability>
      <abilityName>固定表述</abilityName>
      <candidateList>
        <item>跨流域调水</item>
      </candidateList>
      <explain>词汇“跨流域调水”在特定场景下为固定表述形式，请确认此处的“跨区域调水”是否存在不当。</explain>
      <paraID>7636AE3C</paraID>
      <start>151</start>
      <end>156</end>
      <status>unmodified</status>
      <modifiedWord/>
      <trackRevisions>false</trackRevisions>
    </reviewItem>
    <reviewItem>
      <errorID>6e2fe90d-47e6-4c98-85ca-8c99f2b0c663</errorID>
      <errorWord>标</errorWord>
      <group>L1_Word</group>
      <groupName>字词问题</groupName>
      <ability>L2_Typo</ability>
      <abilityName>字词错误</abilityName>
      <candidateList>
        <item>标和</item>
      </candidateList>
      <explain/>
      <paraID>6FD21BEE</paraID>
      <start>126</start>
      <end>127</end>
      <status>unmodified</status>
      <modifiedWord/>
      <trackRevisions>false</trackRevisions>
    </reviewItem>
    <reviewItem>
      <errorID>eed5739d-c639-4934-a878-a0c42db5ad56</errorID>
      <errorWord>（</errorWord>
      <group>L1_Punc</group>
      <groupName>标点问题</groupName>
      <ability>L2_Punc_CN</ability>
      <abilityName>标点符号问题</abilityName>
      <candidateList/>
      <explain>同一形式括号套用。</explain>
      <paraID> 8233B17</paraID>
      <start>149</start>
      <end>150</end>
      <status>unmodified</status>
      <modifiedWord/>
      <trackRevisions>false</trackRevisions>
    </reviewItem>
    <reviewItem>
      <errorID>0e5faeb9-0c3b-4385-aa0c-479cd3f794bd</errorID>
      <errorWord>）</errorWord>
      <group>L1_Punc</group>
      <groupName>标点问题</groupName>
      <ability>L2_Punc_CN</ability>
      <abilityName>标点符号问题</abilityName>
      <candidateList/>
      <explain>同一形式括号套用。</explain>
      <paraID> 8233B17</paraID>
      <start>154</start>
      <end>155</end>
      <status>unmodified</status>
      <modifiedWord/>
      <trackRevisions>false</trackRevisions>
    </reviewItem>
    <reviewItem>
      <errorID>c8571563-fbe6-4b3f-9c2d-7c9ee4d4e167</errorID>
      <errorWord>减污、降碳、扩绿、增长</errorWord>
      <group>L1_Political</group>
      <groupName>政治性问题</groupName>
      <ability>L2_Keyword</ability>
      <abilityName>固定表述</abilityName>
      <candidateList>
        <item>降碳、减污、扩绿、增长</item>
      </candidateList>
      <explain>词汇“降碳、减污、扩绿、增长”在特定场景下为固定表述形式，请确认此处的“减污、降碳、扩绿、增长”是否存在不当。</explain>
      <paraID>140CD7B3</paraID>
      <start>79</start>
      <end>90</end>
      <status>unmodified</status>
      <modifiedWord/>
      <trackRevisions>false</trackRevisions>
    </reviewItem>
    <reviewItem>
      <errorID>b820c643-a550-4e6c-957e-ce1a096f243e</errorID>
      <errorWord>经济社会全面绿色转型</errorWord>
      <group>L1_Political</group>
      <groupName>政治性问题</groupName>
      <ability>L2_Keyword</ability>
      <abilityName>固定表述</abilityName>
      <candidateList>
        <item>经济社会发展全面绿色转型</item>
      </candidateList>
      <explain>词汇“经济社会发展全面绿色转型”在特定场景下为固定表述形式，请确认此处的“经济社会全面绿色转型”是否存在不当。</explain>
      <paraID>140CD7B3</paraID>
      <start>93</start>
      <end>103</end>
      <status>unmodified</status>
      <modifiedWord/>
      <trackRevisions>false</trackRevisions>
    </reviewItem>
    <reviewItem>
      <errorID>6c4cd34d-f4bf-4fb0-9eca-04a7a47926d1</errorID>
      <errorWord>历史遗留废弃矿山修复</errorWord>
      <group>L1_Political</group>
      <groupName>政治性问题</groupName>
      <ability>L2_Keyword</ability>
      <abilityName>固定表述</abilityName>
      <candidateList>
        <item>历史遗留废弃矿山生态修复</item>
      </candidateList>
      <explain>词汇“历史遗留废弃矿山生态修复”在特定场景下为固定表述形式，请确认此处的“历史遗留废弃矿山修复”是否存在不当。</explain>
      <paraID>3D6B02F7</paraID>
      <start>103</start>
      <end>113</end>
      <status>unmodified</status>
      <modifiedWord/>
      <trackRevisions>false</trackRevisions>
    </reviewItem>
    <reviewItem>
      <errorID>8173bd2d-71e4-45d6-bbe8-37c3ac80542f</errorID>
      <errorWord>"</errorWord>
      <group>L1_Format</group>
      <groupName>格式问题</groupName>
      <ability>L2_HalfPunc_CN</ability>
      <abilityName>全半角问题</abilityName>
      <candidateList>
        <item>“</item>
      </candidateList>
      <explain>文本全半角错误。</explain>
      <paraID>133D1B1B</paraID>
      <start>18</start>
      <end>19</end>
      <status>unmodified</status>
      <modifiedWord/>
      <trackRevisions>false</trackRevisions>
    </reviewItem>
    <reviewItem>
      <errorID>900a7204-e674-419e-83be-ab4da5bbe14f</errorID>
      <errorWord>'</errorWord>
      <group>L1_Format</group>
      <groupName>格式问题</groupName>
      <ability>L2_HalfPunc_CN</ability>
      <abilityName>全半角问题</abilityName>
      <candidateList/>
      <explain>文本全半角错误。</explain>
      <paraID>133D1B1B</paraID>
      <start>25</start>
      <end>26</end>
      <status>unmodified</status>
      <modifiedWord/>
      <trackRevisions>false</trackRevisions>
    </reviewItem>
    <reviewItem>
      <errorID>3f0865d4-648c-495c-9a05-d929f7f1cd82</errorID>
      <errorWord>''</errorWord>
      <group>L1_Format</group>
      <groupName>格式问题</groupName>
      <ability>L2_HalfPunc_CN</ability>
      <abilityName>全半角问题</abilityName>
      <candidateList/>
      <explain>文本全半角错误。</explain>
      <paraID>133D1B1B</paraID>
      <start>29</start>
      <end>31</end>
      <status>unmodified</status>
      <modifiedWord/>
      <trackRevisions>false</trackRevisions>
    </reviewItem>
    <reviewItem>
      <errorID>71d322c5-c29f-43ea-bd8e-b659e96641c8</errorID>
      <errorWord>''</errorWord>
      <group>L1_Format</group>
      <groupName>格式问题</groupName>
      <ability>L2_HalfPunc_CN</ability>
      <abilityName>全半角问题</abilityName>
      <candidateList/>
      <explain>文本全半角错误。</explain>
      <paraID>133D1B1B</paraID>
      <start>34</start>
      <end>36</end>
      <status>unmodified</status>
      <modifiedWord/>
      <trackRevisions>false</trackRevisions>
    </reviewItem>
    <reviewItem>
      <errorID>9d2a7652-5b22-4595-a8a2-f507197a7781</errorID>
      <errorWord>'</errorWord>
      <group>L1_Format</group>
      <groupName>格式问题</groupName>
      <ability>L2_HalfPunc_CN</ability>
      <abilityName>全半角问题</abilityName>
      <candidateList/>
      <explain>文本全半角错误。</explain>
      <paraID>133D1B1B</paraID>
      <start>39</start>
      <end>40</end>
      <status>unmodified</status>
      <modifiedWord/>
      <trackRevisions>false</trackRevisions>
    </reviewItem>
    <reviewItem>
      <errorID>d061ffe5-dafa-47ed-855f-0dddc3ec115d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133D1B1B</paraID>
      <start>49</start>
      <end>50</end>
      <status>unmodified</status>
      <modifiedWord/>
      <trackRevisions>false</trackRevisions>
    </reviewItem>
    <reviewItem>
      <errorID>78329948-c192-4c58-840c-54b988d88251</errorID>
      <errorWord>"</errorWord>
      <group>L1_Format</group>
      <groupName>格式问题</groupName>
      <ability>L2_HalfPunc_CN</ability>
      <abilityName>全半角问题</abilityName>
      <candidateList>
        <item>“</item>
      </candidateList>
      <explain>文本全半角错误。</explain>
      <paraID>133D1B1B</paraID>
      <start>142</start>
      <end>143</end>
      <status>unmodified</status>
      <modifiedWord/>
      <trackRevisions>false</trackRevisions>
    </reviewItem>
    <reviewItem>
      <errorID>c6cd4616-4585-40f9-b7d7-893dc13535e2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133D1B1B</paraID>
      <start>179</start>
      <end>180</end>
      <status>unmodified</status>
      <modifiedWord/>
      <trackRevisions>false</trackRevisions>
    </reviewItem>
    <reviewItem>
      <errorID>dcccfbdf-2f97-4a56-91cb-f81a84328377</errorID>
      <errorWord>五横七纵</errorWord>
      <group>L1_Political</group>
      <groupName>政治性问题</groupName>
      <ability>L2_Keyword</ability>
      <abilityName>固定表述</abilityName>
      <candidateList>
        <item>‘五横七纵’</item>
      </candidateList>
      <explain>注意检查当前固定表述标点是否使用规范。</explain>
      <paraID>6F20D8CF</paraID>
      <start>230</start>
      <end>234</end>
      <status>unmodified</status>
      <modifiedWord/>
      <trackRevisions>false</trackRevisions>
    </reviewItem>
    <reviewItem>
      <errorID>7344957c-96ea-4eb0-bf9c-7cdf3665baea</errorID>
      <errorWord>四水四定</errorWord>
      <group>L1_Political</group>
      <groupName>政治性问题</groupName>
      <ability>L2_Keyword</ability>
      <abilityName>固定表述</abilityName>
      <candidateList>
        <item>“四水四定”</item>
      </candidateList>
      <explain>注意检查当前固定表述标点是否使用规范。</explain>
      <paraID>205A10F2</paraID>
      <start>48</start>
      <end>52</end>
      <status>unmodified</status>
      <modifiedWord/>
      <trackRevisions>false</trackRevisions>
    </reviewItem>
    <reviewItem>
      <errorID>ebd9d2db-98b2-4f00-878e-2573d2cea5ac</errorID>
      <errorWord>；</errorWord>
      <group>L1_Word</group>
      <groupName>字词问题</groupName>
      <ability>L2_Typo</ability>
      <abilityName>字词错误</abilityName>
      <candidateList>
        <item>；是</item>
      </candidateList>
      <explain/>
      <paraID>3A093CD1</paraID>
      <start>186</start>
      <end>187</end>
      <status>unmodified</status>
      <modifiedWord/>
      <trackRevisions>false</trackRevisions>
    </reviewItem>
    <reviewItem>
      <errorID>2a1b6e96-9a73-43e7-b1ad-2cf4bd32bc55</errorID>
      <errorWord>；</errorWord>
      <group>L1_Word</group>
      <groupName>字词问题</groupName>
      <ability>L2_Typo</ability>
      <abilityName>字词错误</abilityName>
      <candidateList>
        <item>；是</item>
      </candidateList>
      <explain/>
      <paraID>3A093CD1</paraID>
      <start>211</start>
      <end>212</end>
      <status>unmodified</status>
      <modifiedWord/>
      <trackRevisions>false</trackRevisions>
    </reviewItem>
    <reviewItem>
      <errorID>d51eb020-5707-40cc-bc97-2f5dd70be0d5</errorID>
      <errorWord>生态与环境保护</errorWord>
      <group>L1_Political</group>
      <groupName>政治性问题</groupName>
      <ability>L2_Keyword</ability>
      <abilityName>固定表述</abilityName>
      <candidateList>
        <item>生态环境保护</item>
      </candidateList>
      <explain>词汇“生态环境保护”在特定场景下为固定表述形式，请确认此处的“生态与环境保护”是否存在不当。</explain>
      <paraID> F6EDF44</paraID>
      <start>38</start>
      <end>45</end>
      <status>unmodified</status>
      <modifiedWord/>
      <trackRevisions>false</trackRevisions>
    </reviewItem>
    <reviewItem>
      <errorID>5fea8665-e40c-4d56-8d92-d88e1d915f64</errorID>
      <errorWord>"</errorWord>
      <group>L1_Format</group>
      <groupName>格式问题</groupName>
      <ability>L2_HalfPunc_CN</ability>
      <abilityName>全半角问题</abilityName>
      <candidateList>
        <item>“</item>
      </candidateList>
      <explain>文本全半角错误。</explain>
      <paraID>75ED3AB5</paraID>
      <start>74</start>
      <end>75</end>
      <status>unmodified</status>
      <modifiedWord/>
      <trackRevisions>false</trackRevisions>
    </reviewItem>
    <reviewItem>
      <errorID>6bebc51f-4509-476d-89f3-4a14901c3dfd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75ED3AB5</paraID>
      <start>93</start>
      <end>94</end>
      <status>unmodified</status>
      <modifiedWord/>
      <trackRevisions>false</trackRevisions>
    </reviewItem>
    <reviewItem>
      <errorID>e1735a12-41f6-4464-8ca2-0bba41612581</errorID>
      <errorWord>"</errorWord>
      <group>L1_Format</group>
      <groupName>格式问题</groupName>
      <ability>L2_HalfPunc_CN</ability>
      <abilityName>全半角问题</abilityName>
      <candidateList>
        <item>“</item>
      </candidateList>
      <explain>文本全半角错误。</explain>
      <paraID>75ED3AB5</paraID>
      <start>191</start>
      <end>192</end>
      <status>unmodified</status>
      <modifiedWord/>
      <trackRevisions>false</trackRevisions>
    </reviewItem>
    <reviewItem>
      <errorID>e9c4df52-42fe-4291-b38e-a7e53c2f5f5f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75ED3AB5</paraID>
      <start>210</start>
      <end>211</end>
      <status>unmodified</status>
      <modifiedWord/>
      <trackRevisions>false</trackRevisions>
    </reviewItem>
    <reviewItem>
      <errorID>f5f34709-c04a-4c5f-8f0e-3bd5d5739a60</errorID>
      <errorWord>"</errorWord>
      <group>L1_Format</group>
      <groupName>格式问题</groupName>
      <ability>L2_HalfPunc_CN</ability>
      <abilityName>全半角问题</abilityName>
      <candidateList>
        <item>“</item>
      </candidateList>
      <explain>文本全半角错误。</explain>
      <paraID>75ED3AB5</paraID>
      <start>271</start>
      <end>272</end>
      <status>unmodified</status>
      <modifiedWord/>
      <trackRevisions>false</trackRevisions>
    </reviewItem>
    <reviewItem>
      <errorID>ec3e2aa4-e249-43ec-9aa7-cec46fa8ab36</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75ED3AB5</paraID>
      <start>301</start>
      <end>302</end>
      <status>unmodified</status>
      <modifiedWord/>
      <trackRevisions>false</trackRevisions>
    </reviewItem>
    <reviewItem>
      <errorID>f5d270f0-3f1a-46b7-80b5-fed0fd1f9439</errorID>
      <errorWord>"</errorWord>
      <group>L1_Format</group>
      <groupName>格式问题</groupName>
      <ability>L2_HalfPunc_CN</ability>
      <abilityName>全半角问题</abilityName>
      <candidateList>
        <item>“</item>
      </candidateList>
      <explain>文本全半角错误。</explain>
      <paraID>75ED3AB5</paraID>
      <start>378</start>
      <end>379</end>
      <status>unmodified</status>
      <modifiedWord/>
      <trackRevisions>false</trackRevisions>
    </reviewItem>
    <reviewItem>
      <errorID>ea6d5e1d-e2c1-438e-a89c-a14ac593c29d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75ED3AB5</paraID>
      <start>397</start>
      <end>398</end>
      <status>unmodified</status>
      <modifiedWord/>
      <trackRevisions>false</trackRevisions>
    </reviewItem>
    <reviewItem>
      <errorID>230b3179-cce0-4ec5-8d13-fb7e0cba3100</errorID>
      <errorWord>"</errorWord>
      <group>L1_Format</group>
      <groupName>格式问题</groupName>
      <ability>L2_HalfPunc_CN</ability>
      <abilityName>全半角问题</abilityName>
      <candidateList>
        <item>“</item>
      </candidateList>
      <explain>文本全半角错误。</explain>
      <paraID>75ED3AB5</paraID>
      <start>612</start>
      <end>613</end>
      <status>unmodified</status>
      <modifiedWord/>
      <trackRevisions>false</trackRevisions>
    </reviewItem>
    <reviewItem>
      <errorID>3b0eae6c-2ce7-403d-9ac7-41814586e4b4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75ED3AB5</paraID>
      <start>626</start>
      <end>627</end>
      <status>unmodified</status>
      <modifiedWord/>
      <trackRevisions>false</trackRevisions>
    </reviewItem>
    <reviewItem>
      <errorID>d3040e2d-acc7-4328-93a8-043e6fd491d1</errorID>
      <errorWord>"</errorWord>
      <group>L1_Format</group>
      <groupName>格式问题</groupName>
      <ability>L2_HalfPunc_CN</ability>
      <abilityName>全半角问题</abilityName>
      <candidateList>
        <item>“</item>
      </candidateList>
      <explain>文本全半角错误。</explain>
      <paraID>75ED3AB5</paraID>
      <start>627</start>
      <end>628</end>
      <status>unmodified</status>
      <modifiedWord/>
      <trackRevisions>false</trackRevisions>
    </reviewItem>
    <reviewItem>
      <errorID>467c4068-3934-410c-b4f3-2dac9fd79ded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75ED3AB5</paraID>
      <start>650</start>
      <end>651</end>
      <status>unmodified</status>
      <modifiedWord/>
      <trackRevisions>false</trackRevisions>
    </reviewItem>
    <reviewItem>
      <errorID>4044fcdc-5533-4453-8d52-068b0101715a</errorID>
      <errorWord>生态与环境保护</errorWord>
      <group>L1_Political</group>
      <groupName>政治性问题</groupName>
      <ability>L2_Keyword</ability>
      <abilityName>固定表述</abilityName>
      <candidateList>
        <item>生态环境保护</item>
      </candidateList>
      <explain>词汇“生态环境保护”在特定场景下为固定表述形式，请确认此处的“生态与环境保护”是否存在不当。</explain>
      <paraID>7F1633A8</paraID>
      <start>356</start>
      <end>363</end>
      <status>unmodified</status>
      <modifiedWord/>
      <trackRevisions>false</trackRevisions>
    </reviewItem>
    <reviewItem>
      <errorID>813ac399-96b8-4334-8832-92c707712915</errorID>
      <errorWord>生态与环境保护</errorWord>
      <group>L1_Political</group>
      <groupName>政治性问题</groupName>
      <ability>L2_Keyword</ability>
      <abilityName>固定表述</abilityName>
      <candidateList>
        <item>生态环境保护</item>
      </candidateList>
      <explain>词汇“生态环境保护”在特定场景下为固定表述形式，请确认此处的“生态与环境保护”是否存在不当。</explain>
      <paraID>7F1633A8</paraID>
      <start>371</start>
      <end>378</end>
      <status>unmodified</status>
      <modifiedWord/>
      <trackRevisions>false</trackRevisions>
    </reviewItem>
    <reviewItem>
      <errorID>c5e0116f-5a7e-4900-aaa3-c9a38b113512</errorID>
      <errorWord>水</errorWord>
      <group>L1_Word</group>
      <groupName>字词问题</groupName>
      <ability>L2_Typo</ability>
      <abilityName>字词错误</abilityName>
      <candidateList>
        <item>水利</item>
      </candidateList>
      <explain/>
      <paraID>5C18858F</paraID>
      <start>89</start>
      <end>90</end>
      <status>unmodified</status>
      <modifiedWord/>
      <trackRevisions>false</trackRevisions>
    </reviewItem>
    <reviewItem>
      <errorID>3c6a90c4-817c-4ae7-a2c4-b3fd6f332b14</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6E9F917B</paraID>
      <start>2</start>
      <end>7</end>
      <status>unmodified</status>
      <modifiedWord/>
      <trackRevisions>false</trackRevisions>
    </reviewItem>
    <reviewItem>
      <errorID>023d0297-2448-4d50-80b0-9f5b8f84675c</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4237B855</paraID>
      <start>81</start>
      <end>86</end>
      <status>unmodified</status>
      <modifiedWord/>
      <trackRevisions>false</trackRevisions>
    </reviewItem>
    <reviewItem>
      <errorID>a1f05fc5-7c78-4664-bb44-4a9c3d29f285</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4237B855</paraID>
      <start>96</start>
      <end>101</end>
      <status>unmodified</status>
      <modifiedWord/>
      <trackRevisions>false</trackRevisions>
    </reviewItem>
    <reviewItem>
      <errorID>d8b90341-513b-4ea9-9b79-d2de52457c88</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3EC387B5</paraID>
      <start>1</start>
      <end>6</end>
      <status>unmodified</status>
      <modifiedWord/>
      <trackRevisions>false</trackRevisions>
    </reviewItem>
    <reviewItem>
      <errorID>78caa821-81bb-4b73-bf51-eff188a73f6e</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3EC387B5</paraID>
      <start>228</start>
      <end>233</end>
      <status>unmodified</status>
      <modifiedWord/>
      <trackRevisions>false</trackRevisions>
    </reviewItem>
    <reviewItem>
      <errorID>3c67a80f-b78f-4a6c-9000-31058f3a2718</errorID>
      <errorWord>国家林业局</errorWord>
      <group>L1_Knowledge</group>
      <groupName>知识性问题</groupName>
      <ability>L2_Organization</ability>
      <abilityName>机构检查</abilityName>
      <candidateList>
        <item>国家林业和草原局</item>
      </candidateList>
      <explain>2018年3月，中共中央印发了《深化党和国家机构改革方案》，将国家林业局的职责，整合到新组建的国家林业和草原局。</explain>
      <paraID>3EC387B5</paraID>
      <start>274</start>
      <end>279</end>
      <status>unmodified</status>
      <modifiedWord/>
      <trackRevisions>false</trackRevisions>
    </reviewItem>
    <reviewItem>
      <errorID>68752088-e31b-4506-93b9-238b45237f85</errorID>
      <errorWord>水生生境</errorWord>
      <group>L1_Word</group>
      <groupName>字词问题</groupName>
      <ability>L2_Typo</ability>
      <abilityName>字词错误</abilityName>
      <candidateList>
        <item>水生环境</item>
      </candidateList>
      <explain/>
      <paraID>35E5B048</paraID>
      <start>151</start>
      <end>155</end>
      <status>unmodified</status>
      <modifiedWord/>
      <trackRevisions>false</trackRevisions>
    </reviewItem>
    <reviewItem>
      <errorID>87e24551-3f70-4928-a8a9-60dd9baf03f1</errorID>
      <errorWord>农田灌溉水利用系数</errorWord>
      <group>L1_Political</group>
      <groupName>政治性问题</groupName>
      <ability>L2_Keyword</ability>
      <abilityName>固定表述</abilityName>
      <candidateList>
        <item>农田灌溉水有效利用系数</item>
      </candidateList>
      <explain>词汇“农田灌溉水有效利用系数”在特定场景下为固定表述形式，请确认此处的“农田灌溉水利用系数”是否存在不当。</explain>
      <paraID>4048A911</paraID>
      <start>399</start>
      <end>408</end>
      <status>unmodified</status>
      <modifiedWord/>
      <trackRevisions>false</trackRevisions>
    </reviewItem>
    <reviewItem>
      <errorID>f2e48cfa-0349-4bb7-9fac-c949c06c788a</errorID>
      <errorWord>改善</errorWord>
      <group>L1_Grammar</group>
      <groupName>语法问题</groupName>
      <ability>L2_Grammar</ability>
      <abilityName>语法错误</abilityName>
      <candidateList>
        <item>缓解</item>
      </candidateList>
      <explain>“改善～压力”搭配不当，建议修改为“缓解～压力”。</explain>
      <paraID>29FE4D05</paraID>
      <start>120</start>
      <end>122</end>
      <status>unmodified</status>
      <modifiedWord/>
      <trackRevisions>false</trackRevisions>
    </reviewItem>
    <reviewItem>
      <errorID>7e9b3e5d-6b2a-421b-a5bd-483e30a21c99</errorID>
      <errorWord>寻甸县</errorWord>
      <group>L1_Knowledge</group>
      <groupName>知识性问题</groupName>
      <ability>L2_Location</ability>
      <abilityName>地名检查</abilityName>
      <candidateList>
        <item>寻甸回族彝族自治县</item>
      </candidateList>
      <explain>自治区州县缩写不规范。《地名管理条例》第十八条规定，标识牌、公共平台发布的信息、各类公文证件、学习类公开出版物、地图、法律法规规定等场景范围内必须使用标准地名。</explain>
      <paraID> A0E4915</paraID>
      <start>160</start>
      <end>163</end>
      <status>unmodified</status>
      <modifiedWord/>
      <trackRevisions>false</trackRevisions>
    </reviewItem>
    <reviewItem>
      <errorID>b55157de-44a2-4b0b-a658-361d148b289c</errorID>
      <errorWord>石林县</errorWord>
      <group>L1_Knowledge</group>
      <groupName>知识性问题</groupName>
      <ability>L2_Location</ability>
      <abilityName>地名检查</abilityName>
      <candidateList>
        <item>石林彝族自治县</item>
      </candidateList>
      <explain>自治区州县缩写不规范。《地名管理条例》第十八条规定，标识牌、公共平台发布的信息、各类公文证件、学习类公开出版物、地图、法律法规规定等场景范围内必须使用标准地名。</explain>
      <paraID> A0E4915</paraID>
      <start>189</start>
      <end>192</end>
      <status>unmodified</status>
      <modifiedWord/>
      <trackRevisions>false</trackRevisions>
    </reviewItem>
    <reviewItem>
      <errorID>33c74126-25c9-4ebe-910c-6f31aa78b23c</errorID>
      <errorWord>威宁县</errorWord>
      <group>L1_Knowledge</group>
      <groupName>知识性问题</groupName>
      <ability>L2_Location</ability>
      <abilityName>地名检查</abilityName>
      <candidateList>
        <item>威宁彝族回族苗族自治县</item>
      </candidateList>
      <explain>自治区州县缩写不规范。《地名管理条例》第十八条规定，标识牌、公共平台发布的信息、各类公文证件、学习类公开出版物、地图、法律法规规定等场景范围内必须使用标准地名。</explain>
      <paraID> A0E4915</paraID>
      <start>213</start>
      <end>216</end>
      <status>unmodified</status>
      <modifiedWord/>
      <trackRevisions>false</trackRevisions>
    </reviewItem>
    <reviewItem>
      <errorID>39258326-cde2-4fa6-a1d7-cf80a140d541</errorID>
      <errorWord>丘原</errorWord>
      <group>L1_Word</group>
      <groupName>字词问题</groupName>
      <ability>L2_Typo</ability>
      <abilityName>字词错误</abilityName>
      <candidateList>
        <item>丘陵</item>
      </candidateList>
      <explain/>
      <paraID>5CFE881F</paraID>
      <start>122</start>
      <end>124</end>
      <status>unmodified</status>
      <modifiedWord/>
      <trackRevisions>false</trackRevisions>
    </reviewItem>
    <reviewItem>
      <errorID>80494097-247f-4903-84fb-322d991532da</errorID>
      <errorWord>主要以碳酸岩和碎屑岩的风化物为主</errorWord>
      <group>L1_Grammar</group>
      <groupName>语法问题</groupName>
      <ability>L2_Grammar</ability>
      <abilityName>语法错误</abilityName>
      <candidateList>
        <item>以碳酸岩和碎屑岩的风化物为主</item>
      </candidateList>
      <explain>该表达中的“主要以碳酸岩和碎屑岩的风化物为主”存在语义重复。</explain>
      <paraID> 785AA58</paraID>
      <start>6</start>
      <end>22</end>
      <status>unmodified</status>
      <modifiedWord/>
      <trackRevisions>false</trackRevisions>
    </reviewItem>
    <reviewItem>
      <errorID>e2f7b778-70ac-41b7-94a1-c0703c984f2d</errorID>
      <errorWord>）</errorWord>
      <group>L1_Format</group>
      <groupName>格式问题</groupName>
      <ability>L2_HalfPunc_CN</ability>
      <abilityName>全半角问题</abilityName>
      <candidateList>
        <item>)</item>
      </candidateList>
      <explain>文本全半角错误。</explain>
      <paraID>7AE682C2</paraID>
      <start>8</start>
      <end>9</end>
      <status>unmodified</status>
      <modifiedWord/>
      <trackRevisions>false</trackRevisions>
    </reviewItem>
    <reviewItem>
      <errorID>41678343-f020-4fc0-aeea-59ce5ae9f1c7</errorID>
      <errorWord>水库富营养化</errorWord>
      <group>L1_Political</group>
      <groupName>政治性问题</groupName>
      <ability>L2_Keyword</ability>
      <abilityName>固定表述</abilityName>
      <candidateList>
        <item>水体富营养化</item>
      </candidateList>
      <explain>词汇“水体富营养化”在特定场景下为固定表述形式，请确认此处的“水库富营养化”是否存在不当。</explain>
      <paraID>135D3827</paraID>
      <start>50</start>
      <end>56</end>
      <status>unmodified</status>
      <modifiedWord/>
      <trackRevisions>false</trackRevisions>
    </reviewItem>
    <reviewItem>
      <errorID>ad99df38-36eb-44c0-96ae-468ec187a0e9</errorID>
      <errorWord>）</errorWord>
      <group>L1_Format</group>
      <groupName>格式问题</groupName>
      <ability>L2_HalfPunc_CN</ability>
      <abilityName>全半角问题</abilityName>
      <candidateList>
        <item>)</item>
      </candidateList>
      <explain>文本全半角错误。</explain>
      <paraID>59FEEC15</paraID>
      <start>6</start>
      <end>7</end>
      <status>unmodified</status>
      <modifiedWord/>
      <trackRevisions>false</trackRevisions>
    </reviewItem>
    <reviewItem>
      <errorID>fa3f84e3-692b-4b1f-8911-919212cf1e8a</errorID>
      <errorWord>丘原</errorWord>
      <group>L1_Word</group>
      <groupName>字词问题</groupName>
      <ability>L2_Typo</ability>
      <abilityName>字词错误</abilityName>
      <candidateList>
        <item>丘陵</item>
      </candidateList>
      <explain/>
      <paraID>1210EBBD</paraID>
      <start>10</start>
      <end>12</end>
      <status>unmodified</status>
      <modifiedWord/>
      <trackRevisions>false</trackRevisions>
    </reviewItem>
    <reviewItem>
      <errorID>0b2709ce-84bf-41d1-bb57-046a90fbb4fb</errorID>
      <errorWord>丘原</errorWord>
      <group>L1_Word</group>
      <groupName>字词问题</groupName>
      <ability>L2_Typo</ability>
      <abilityName>字词错误</abilityName>
      <candidateList>
        <item>丘陵</item>
      </candidateList>
      <explain/>
      <paraID>71B9B99F</paraID>
      <start>4</start>
      <end>6</end>
      <status>unmodified</status>
      <modifiedWord/>
      <trackRevisions>false</trackRevisions>
    </reviewItem>
    <reviewItem>
      <errorID>7f56d5ac-179b-49be-99ad-6ab4133af8a6</errorID>
      <errorWord>盖</errorWord>
      <group>L1_Word</group>
      <groupName>字词问题</groupName>
      <ability>L2_Typo</ability>
      <abilityName>字词错误</abilityName>
      <candidateList>
        <item>盖率</item>
      </candidateList>
      <explain/>
      <paraID>1A1D19C8</paraID>
      <start>12</start>
      <end>13</end>
      <status>unmodified</status>
      <modifiedWord/>
      <trackRevisions>false</trackRevisions>
    </reviewItem>
    <reviewItem>
      <errorID>0c991297-00b6-47fe-93e9-61b300ef35ac</errorID>
      <errorWord>leavs</errorWord>
      <group>L1_English</group>
      <groupName>英文问题</groupName>
      <ability>L2_Spell</ability>
      <abilityName>拼写问题</abilityName>
      <candidateList>
        <item>leaved</item>
      </candidateList>
      <explain>疑似单词拼写有误，建议将leavs修改为leaved</explain>
      <paraID> 51D5891</paraID>
      <start>23</start>
      <end>28</end>
      <status>unmodified</status>
      <modifiedWord/>
      <trackRevisions>false</trackRevisions>
    </reviewItem>
    <reviewItem>
      <errorID>843944c0-3db4-40d8-9ae2-c0785072f4eb</errorID>
      <errorWord>Broadleavs</errorWord>
      <group>L1_English</group>
      <groupName>英文问题</groupName>
      <ability>L2_Other_Grammar</ability>
      <abilityName>其他语法问题</abilityName>
      <candidateList>
        <item>Broad-leaved</item>
      </candidateList>
      <explain>疑似单词/词组使用不当, 建议将Broadleavs修改为Broad-leaved</explain>
      <paraID>5DFC1AA4</paraID>
      <start>34</start>
      <end>44</end>
      <status>unmodified</status>
      <modifiedWord/>
      <trackRevisions>false</trackRevisions>
    </reviewItem>
    <reviewItem>
      <errorID>d97d3d67-7e34-45fa-812b-bde195b6da64</errorID>
      <errorWord>Quercussenescens</errorWord>
      <group>L1_English</group>
      <groupName>英文问题</groupName>
      <ability>L2_Other_Grammar</ability>
      <abilityName>其他语法问题</abilityName>
      <candidateList>
        <item>Quercus pubescens</item>
      </candidateList>
      <explain>名词使用不当, 建议将Quercussenescens修改为Quercus pubescens</explain>
      <paraID>7F0F190E</paraID>
      <start>18</start>
      <end>34</end>
      <status>unmodified</status>
      <modifiedWord/>
      <trackRevisions>false</trackRevisions>
    </reviewItem>
    <reviewItem>
      <errorID>44f4a99e-3104-4adf-a0ae-c890a7221fd8</errorID>
      <errorWord>攀援</errorWord>
      <group>L1_Word</group>
      <groupName>字词问题</groupName>
      <ability>L2_Alias</ability>
      <abilityName>也作/曾用词</abilityName>
      <candidateList>
        <item>攀缘</item>
      </candidateList>
      <explain>词汇[攀援]为不规范表述或旧称，其规范书面表述为[攀缘]。</explain>
      <paraID>53ED89BD</paraID>
      <start>7</start>
      <end>9</end>
      <status>unmodified</status>
      <modifiedWord/>
      <trackRevisions>false</trackRevisions>
    </reviewItem>
    <reviewItem>
      <errorID>456ce582-bfc4-4a48-a152-6095331d82f2</errorID>
      <errorWord>zhennan</errorWord>
      <group>L1_English</group>
      <groupName>英文问题</groupName>
      <ability>L2_Case</ability>
      <abilityName>大小写问题</abilityName>
      <candidateList>
        <item>Zhennan</item>
      </candidateList>
      <explain>疑似单词大小写错误，建议将zhennan修改为Zhennan</explain>
      <paraID>3AA15DE3</paraID>
      <start>7</start>
      <end>14</end>
      <status>unmodified</status>
      <modifiedWord/>
      <trackRevisions>false</trackRevisions>
    </reviewItem>
    <reviewItem>
      <errorID>52f391c2-3dc2-4bce-85d7-b0ebf8f23c44</errorID>
      <errorWord>Toona</errorWord>
      <group>L1_English</group>
      <groupName>英文问题</groupName>
      <ability>L2_Other_Grammar</ability>
      <abilityName>其他语法问题</abilityName>
      <candidateList>
        <item>Thunnus</item>
      </candidateList>
      <explain>名词使用不当, 建议将Toona修改为Thunnus</explain>
      <paraID>2A13D49F</paraID>
      <start>0</start>
      <end>5</end>
      <status>unmodified</status>
      <modifiedWord/>
      <trackRevisions>false</trackRevisions>
    </reviewItem>
    <reviewItem>
      <errorID>22f13cb8-3ad3-40cb-ab79-6bf961b46849</errorID>
      <errorWord>崖摩</errorWord>
      <group>L1_Word</group>
      <groupName>字词问题</groupName>
      <ability>L2_Typo</ability>
      <abilityName>字词错误</abilityName>
      <candidateList>
        <item>摩崖</item>
      </candidateList>
      <explain/>
      <paraID>69CB67F9</paraID>
      <start>641</start>
      <end>643</end>
      <status>unmodified</status>
      <modifiedWord/>
      <trackRevisions>false</trackRevisions>
    </reviewItem>
    <reviewItem>
      <errorID>0bfbf66a-caf6-46e2-8d87-420feaa7e2a0</errorID>
      <errorWord>白芨</errorWord>
      <group>L1_Knowledge</group>
      <groupName>知识性问题</groupName>
      <ability>L2_Term</ability>
      <abilityName>专业术语</abilityName>
      <candidateList>
        <item>白及</item>
      </candidateList>
      <explain>医学名词[白芨]为不规范表述或旧称，其规范书面表述为[白及]。</explain>
      <paraID>510FA410</paraID>
      <start>2</start>
      <end>4</end>
      <status>modified</status>
      <modifiedWord>白及</modifiedWord>
      <trackRevisions>false</trackRevisions>
    </reviewItem>
    <reviewItem>
      <errorID>cbe2301c-7bb4-4c6c-b750-6bbe6715a697</errorID>
      <errorWord>白芨</errorWord>
      <group>L1_Knowledge</group>
      <groupName>知识性问题</groupName>
      <ability>L2_Term</ability>
      <abilityName>专业术语</abilityName>
      <candidateList>
        <item>白及</item>
      </candidateList>
      <explain>医学名词[白芨]为不规范表述或旧称，其规范书面表述为[白及]。</explain>
      <paraID> A7EE120</paraID>
      <start>0</start>
      <end>2</end>
      <status>modified</status>
      <modifiedWord>白及</modifiedWord>
      <trackRevisions>false</trackRevisions>
    </reviewItem>
    <reviewItem>
      <errorID>178de31c-19e2-4fc7-9bc6-d4f551485ccd</errorID>
      <errorWord> blinii</errorWord>
      <group>L1_English</group>
      <groupName>英文问题</groupName>
      <ability>L2_Other_Grammar</ability>
      <abilityName>其他语法问题</abilityName>
      <candidateList>
        <item/>
      </candidateList>
      <explain>名词 blinii疑似冗余，建议删除</explain>
      <paraID>3C501430</paraID>
      <start>9</start>
      <end>16</end>
      <status>unmodified</status>
      <modifiedWord/>
      <trackRevisions>false</trackRevisions>
    </reviewItem>
    <reviewItem>
      <errorID>d74401f9-d3cc-4ff9-9dbc-d78bb4d06c6b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36E4A89B</paraID>
      <start>205</start>
      <end>206</end>
      <status>unmodified</status>
      <modifiedWord/>
      <trackRevisions>false</trackRevisions>
    </reviewItem>
    <reviewItem>
      <errorID>e7d5185b-d258-4585-96f9-5b7c6156198a</errorID>
      <errorWord>鴷</errorWord>
      <group>L1_Word</group>
      <groupName>字词问题</groupName>
      <ability>L2_Fanti</ability>
      <abilityName>繁转简</abilityName>
      <candidateList>
        <item>䴕</item>
      </candidateList>
      <explain/>
      <paraID>61B89F17</paraID>
      <start>436</start>
      <end>437</end>
      <status>modified</status>
      <modifiedWord>䴕</modifiedWord>
      <trackRevisions>false</trackRevisions>
    </reviewItem>
    <reviewItem>
      <errorID>bc584602-eb11-49a4-af9b-192fd8cc04b0</errorID>
      <errorWord>鳾</errorWord>
      <group>L1_Word</group>
      <groupName>字词问题</groupName>
      <ability>L2_Fanti</ability>
      <abilityName>繁转简</abilityName>
      <candidateList>
        <item>䴓</item>
      </candidateList>
      <explain/>
      <paraID>6E9064E8</paraID>
      <start>124</start>
      <end>125</end>
      <status>modified</status>
      <modifiedWord>䴓</modifiedWord>
      <trackRevisions>false</trackRevisions>
    </reviewItem>
    <reviewItem>
      <errorID>966ab036-69ce-4fbd-b967-7ca503bf4266</errorID>
      <errorWord>"</errorWord>
      <group>L1_Format</group>
      <groupName>格式问题</groupName>
      <ability>L2_HalfPunc_CN</ability>
      <abilityName>全半角问题</abilityName>
      <candidateList>
        <item>“</item>
      </candidateList>
      <explain>文本全半角错误。</explain>
      <paraID>1BAFCB33</paraID>
      <start>326</start>
      <end>327</end>
      <status>unmodified</status>
      <modifiedWord/>
      <trackRevisions>false</trackRevisions>
    </reviewItem>
    <reviewItem>
      <errorID>00ca705d-51f7-45c7-b992-d9024c85db01</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1BAFCB33</paraID>
      <start>336</start>
      <end>337</end>
      <status>unmodified</status>
      <modifiedWord/>
      <trackRevisions>false</trackRevisions>
    </reviewItem>
    <reviewItem>
      <errorID>7a22303d-07ed-4625-a7c5-27ac8fda5798</errorID>
      <errorWord>《黄泥河“一河一策”方案》（2024—2028年）</errorWord>
      <group>L1_Knowledge</group>
      <groupName>知识性问题</groupName>
      <ability>L2_Knowledge</ability>
      <abilityName>其他知识</abilityName>
      <candidateList>
        <item>《黄泥河“一河一策”方案（2024—2028年）》</item>
      </candidateList>
      <explain>疑似政策文件、法律法规名称等书写不规范，请注意检查。</explain>
      <paraID>60D4063C</paraID>
      <start>278</start>
      <end>303</end>
      <status>unmodified</status>
      <modifiedWord/>
      <trackRevisions>false</trackRevisions>
    </reviewItem>
    <reviewItem>
      <errorID>aff5da49-5805-4971-8bf5-0fd0d3d48c64</errorID>
      <errorWord>《黄泥河“一河一策”方案》（2024—2028年）</errorWord>
      <group>L1_Knowledge</group>
      <groupName>知识性问题</groupName>
      <ability>L2_Knowledge</ability>
      <abilityName>其他知识</abilityName>
      <candidateList>
        <item>《黄泥河“一河一策”方案（2024—2028年）》</item>
      </candidateList>
      <explain>疑似政策文件、法律法规名称等书写不规范，请注意检查。</explain>
      <paraID>257E4E5F</paraID>
      <start>112</start>
      <end>137</end>
      <status>unmodified</status>
      <modifiedWord/>
      <trackRevisions>false</trackRevisions>
    </reviewItem>
    <reviewItem>
      <errorID>e090b00d-a4d8-4e14-aa5b-06f8d238daeb</errorID>
      <errorWord>./</errorWord>
      <group>L1_Punc</group>
      <groupName>标点问题</groupName>
      <ability>L2_Punc_CN</ability>
      <abilityName>标点符号问题</abilityName>
      <candidateList>
        <item>.</item>
      </candidateList>
      <explain/>
      <paraID>16DD86D6</paraID>
      <start>44</start>
      <end>46</end>
      <status>unmodified</status>
      <modifiedWord/>
      <trackRevisions>false</trackRevisions>
    </reviewItem>
    <reviewItem>
      <errorID>99aa92a2-5ebc-45e7-88d9-ef21637b5dde</errorID>
      <errorWord>./</errorWord>
      <group>L1_Punc</group>
      <groupName>标点问题</groupName>
      <ability>L2_Punc_CN</ability>
      <abilityName>标点符号问题</abilityName>
      <candidateList>
        <item>.</item>
      </candidateList>
      <explain/>
      <paraID>16DD86D6</paraID>
      <start>76</start>
      <end>78</end>
      <status>unmodified</status>
      <modifiedWord/>
      <trackRevisions>false</trackRevisions>
    </reviewItem>
    <reviewItem>
      <errorID>f187776c-8b3e-4075-b814-1236d53d5f0d</errorID>
      <errorWord>./</errorWord>
      <group>L1_Punc</group>
      <groupName>标点问题</groupName>
      <ability>L2_Punc_CN</ability>
      <abilityName>标点符号问题</abilityName>
      <candidateList>
        <item>.</item>
      </candidateList>
      <explain/>
      <paraID>16DD86D6</paraID>
      <start>103</start>
      <end>105</end>
      <status>unmodified</status>
      <modifiedWord/>
      <trackRevisions>false</trackRevisions>
    </reviewItem>
    <reviewItem>
      <errorID>f20047d4-44fd-4e7e-ba8d-73b838a5668c</errorID>
      <errorWord>./</errorWord>
      <group>L1_Punc</group>
      <groupName>标点问题</groupName>
      <ability>L2_Punc_CN</ability>
      <abilityName>标点符号问题</abilityName>
      <candidateList>
        <item>.</item>
      </candidateList>
      <explain/>
      <paraID>16DD86D6</paraID>
      <start>151</start>
      <end>153</end>
      <status>unmodified</status>
      <modifiedWord/>
      <trackRevisions>false</trackRevisions>
    </reviewItem>
    <reviewItem>
      <errorID>bc203c2b-4552-42cd-99d2-68e5bb95321d</errorID>
      <errorWord>./</errorWord>
      <group>L1_Punc</group>
      <groupName>标点问题</groupName>
      <ability>L2_Punc_CN</ability>
      <abilityName>标点符号问题</abilityName>
      <candidateList>
        <item>.</item>
      </candidateList>
      <explain/>
      <paraID>16DD86D6</paraID>
      <start>180</start>
      <end>182</end>
      <status>unmodified</status>
      <modifiedWord/>
      <trackRevisions>false</trackRevisions>
    </reviewItem>
    <reviewItem>
      <errorID>6012944a-e23f-448b-9d40-9afd152713c3</errorID>
      <errorWord>.、</errorWord>
      <group>L1_Punc</group>
      <groupName>标点问题</groupName>
      <ability>L2_Punc_CN</ability>
      <abilityName>标点符号问题</abilityName>
      <candidateList>
        <item>.</item>
      </candidateList>
      <explain/>
      <paraID>69687F53</paraID>
      <start>201</start>
      <end>203</end>
      <status>unmodified</status>
      <modifiedWord/>
      <trackRevisions>false</trackRevisions>
    </reviewItem>
    <reviewItem>
      <errorID>e203599c-0a83-4963-83e2-bcd0186fbc38</errorID>
      <errorWord>.、</errorWord>
      <group>L1_Punc</group>
      <groupName>标点问题</groupName>
      <ability>L2_Punc_CN</ability>
      <abilityName>标点符号问题</abilityName>
      <candidateList>
        <item>.</item>
      </candidateList>
      <explain/>
      <paraID>69687F53</paraID>
      <start>217</start>
      <end>219</end>
      <status>unmodified</status>
      <modifiedWord/>
      <trackRevisions>false</trackRevisions>
    </reviewItem>
    <reviewItem>
      <errorID>e1990403-0143-4ce5-9ae0-7b16f19f5d77</errorID>
      <errorWord>.、</errorWord>
      <group>L1_Punc</group>
      <groupName>标点问题</groupName>
      <ability>L2_Punc_CN</ability>
      <abilityName>标点符号问题</abilityName>
      <candidateList>
        <item>.</item>
      </candidateList>
      <explain/>
      <paraID>69687F53</paraID>
      <start>261</start>
      <end>263</end>
      <status>unmodified</status>
      <modifiedWord/>
      <trackRevisions>false</trackRevisions>
    </reviewItem>
    <reviewItem>
      <errorID>ad1ec413-170e-47e8-b4a2-be6703278e82</errorID>
      <errorWord>的为务</errorWord>
      <group>L1_Word</group>
      <groupName>字词问题</groupName>
      <ability>L2_Typo</ability>
      <abilityName>字词错误</abilityName>
      <candidateList>
        <item>的业务</item>
      </candidateList>
      <explain/>
      <paraID>5371F114</paraID>
      <start>129</start>
      <end>132</end>
      <status>unmodified</status>
      <modifiedWord/>
      <trackRevisions>false</trackRevisions>
    </reviewItem>
    <reviewItem>
      <errorID>6582d1ad-8480-4ae1-a0f0-dd29713f5e92</errorID>
      <errorWord>.、</errorWord>
      <group>L1_Punc</group>
      <groupName>标点问题</groupName>
      <ability>L2_Punc_CN</ability>
      <abilityName>标点符号问题</abilityName>
      <candidateList>
        <item>.</item>
      </candidateList>
      <explain/>
      <paraID>1CB0E5DE</paraID>
      <start>218</start>
      <end>220</end>
      <status>unmodified</status>
      <modifiedWord/>
      <trackRevisions>false</trackRevisions>
    </reviewItem>
    <reviewItem>
      <errorID>d4af7145-ccad-49b4-8783-de6890c339de</errorID>
      <errorWord>./</errorWord>
      <group>L1_Punc</group>
      <groupName>标点问题</groupName>
      <ability>L2_Punc_CN</ability>
      <abilityName>标点符号问题</abilityName>
      <candidateList>
        <item>.</item>
      </candidateList>
      <explain/>
      <paraID>72ACABAF</paraID>
      <start>29</start>
      <end>31</end>
      <status>unmodified</status>
      <modifiedWord/>
      <trackRevisions>false</trackRevisions>
    </reviewItem>
    <reviewItem>
      <errorID>438ba82c-223a-40b6-b918-f808b28180d8</errorID>
      <errorWord>./</errorWord>
      <group>L1_Punc</group>
      <groupName>标点问题</groupName>
      <ability>L2_Punc_CN</ability>
      <abilityName>标点符号问题</abilityName>
      <candidateList>
        <item>.</item>
      </candidateList>
      <explain/>
      <paraID>72ACABAF</paraID>
      <start>77</start>
      <end>79</end>
      <status>unmodified</status>
      <modifiedWord/>
      <trackRevisions>false</trackRevisions>
    </reviewItem>
    <reviewItem>
      <errorID>b11e83d0-6c38-44ba-bf3f-5e3cd60a38cd</errorID>
      <errorWord>./</errorWord>
      <group>L1_Punc</group>
      <groupName>标点问题</groupName>
      <ability>L2_Punc_CN</ability>
      <abilityName>标点符号问题</abilityName>
      <candidateList>
        <item>.</item>
      </candidateList>
      <explain/>
      <paraID>72ACABAF</paraID>
      <start>107</start>
      <end>109</end>
      <status>unmodified</status>
      <modifiedWord/>
      <trackRevisions>false</trackRevisions>
    </reviewItem>
    <reviewItem>
      <errorID>01e3a3c8-3c24-4fc9-9d41-304289e5b659</errorID>
      <errorWord>./</errorWord>
      <group>L1_Punc</group>
      <groupName>标点问题</groupName>
      <ability>L2_Punc_CN</ability>
      <abilityName>标点符号问题</abilityName>
      <candidateList>
        <item>.</item>
      </candidateList>
      <explain/>
      <paraID>72ACABAF</paraID>
      <start>154</start>
      <end>156</end>
      <status>unmodified</status>
      <modifiedWord/>
      <trackRevisions>false</trackRevisions>
    </reviewItem>
    <reviewItem>
      <errorID>ad265413-da59-453e-85ca-6250f0aab582</errorID>
      <errorWord>./</errorWord>
      <group>L1_Punc</group>
      <groupName>标点问题</groupName>
      <ability>L2_Punc_CN</ability>
      <abilityName>标点符号问题</abilityName>
      <candidateList>
        <item>.</item>
      </candidateList>
      <explain/>
      <paraID>72ACABAF</paraID>
      <start>182</start>
      <end>184</end>
      <status>unmodified</status>
      <modifiedWord/>
      <trackRevisions>false</trackRevisions>
    </reviewItem>
    <reviewItem>
      <errorID>8f3bfe81-ef39-4741-951a-1a02632b5e14</errorID>
      <errorWord>根据以上文献及资料显示</errorWord>
      <group>L1_Grammar</group>
      <groupName>语法问题</groupName>
      <ability>L2_Grammar</ability>
      <abilityName>语法错误</abilityName>
      <candidateList>
        <item>根据以上文献及资料</item>
      </candidateList>
      <explain>该表达中的“根据以上文献及资料显示”存在语义重复。</explain>
      <paraID>5C7BD043</paraID>
      <start>210</start>
      <end>221</end>
      <status>unmodified</status>
      <modifiedWord/>
      <trackRevisions>false</trackRevisions>
    </reviewItem>
    <reviewItem>
      <errorID>311a6ca2-5465-4a01-a022-8405875fa46f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57105150</paraID>
      <start>56</start>
      <end>57</end>
      <status>unmodified</status>
      <modifiedWord/>
      <trackRevisions>false</trackRevisions>
    </reviewItem>
    <reviewItem>
      <errorID>7a532583-ba1c-4b60-9eb7-654e2cf8d6ac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4D6FBA35</paraID>
      <start>58</start>
      <end>59</end>
      <status>unmodified</status>
      <modifiedWord/>
      <trackRevisions>false</trackRevisions>
    </reviewItem>
    <reviewItem>
      <errorID>da0d5e93-8e1a-4506-aa48-8e96172cd595</errorID>
      <errorWord>"</errorWord>
      <group>L1_Format</group>
      <groupName>格式问题</groupName>
      <ability>L2_HalfPunc_CN</ability>
      <abilityName>全半角问题</abilityName>
      <candidateList/>
      <explain>文本全半角错误。</explain>
      <paraID>273FFCC7</paraID>
      <start>408</start>
      <end>409</end>
      <status>unmodified</status>
      <modifiedWord/>
      <trackRevisions>false</trackRevisions>
    </reviewItem>
    <reviewItem>
      <errorID>67c9c87a-1fde-418e-8824-483739d94ff9</errorID>
      <errorWord>“W”型</errorWord>
      <group>L1_Word</group>
      <groupName>字词问题</groupName>
      <ability>L2_Typo</ability>
      <abilityName>字词错误</abilityName>
      <candidateList>
        <item>“W”形</item>
      </candidateList>
      <explain/>
      <paraID>5CD126F9</paraID>
      <start>56</start>
      <end>60</end>
      <status>unmodified</status>
      <modifiedWord/>
      <trackRevisions>false</trackRevisions>
    </reviewItem>
    <reviewItem>
      <errorID>6f2e33c9-f9ff-42ce-898d-a51d2cff387c</errorID>
      <errorWord>"</errorWord>
      <group>L1_Format</group>
      <groupName>格式问题</groupName>
      <ability>L2_HalfPunc_CN</ability>
      <abilityName>全半角问题</abilityName>
      <candidateList/>
      <explain>文本全半角错误。</explain>
      <paraID>5CD126F9</paraID>
      <start>419</start>
      <end>420</end>
      <status>unmodified</status>
      <modifiedWord/>
      <trackRevisions>false</trackRevisions>
    </reviewItem>
    <reviewItem>
      <errorID>0de83498-f349-4556-9584-4d8a8cda2daa</errorID>
      <errorWord>农业部</errorWord>
      <group>L1_Knowledge</group>
      <groupName>知识性问题</groupName>
      <ability>L2_Knowledge</ability>
      <abilityName>其他知识</abilityName>
      <candidateList>
        <item>农业农村部</item>
      </candidateList>
      <explain/>
      <paraID> 2E025D6</paraID>
      <start>127</start>
      <end>130</end>
      <status>unmodified</status>
      <modifiedWord/>
      <trackRevisions>false</trackRevisions>
    </reviewItem>
    <reviewItem>
      <errorID>166ad29d-f005-43c8-805b-289109c874ab</errorID>
      <errorWord>"</errorWord>
      <group>L1_Format</group>
      <groupName>格式问题</groupName>
      <ability>L2_HalfPunc_CN</ability>
      <abilityName>全半角问题</abilityName>
      <candidateList/>
      <explain>文本全半角错误。</explain>
      <paraID> 2E025D6</paraID>
      <start>433</start>
      <end>434</end>
      <status>unmodified</status>
      <modifiedWord/>
      <trackRevisions>false</trackRevisions>
    </reviewItem>
    <reviewItem>
      <errorID>f31abb7f-b4e9-4b2e-b913-afbdd637a1e6</errorID>
      <errorWord>"</errorWord>
      <group>L1_Format</group>
      <groupName>格式问题</groupName>
      <ability>L2_HalfPunc_CN</ability>
      <abilityName>全半角问题</abilityName>
      <candidateList/>
      <explain>文本全半角错误。</explain>
      <paraID>75E80AE8</paraID>
      <start>61</start>
      <end>62</end>
      <status>unmodified</status>
      <modifiedWord/>
      <trackRevisions>false</trackRevisions>
    </reviewItem>
    <reviewItem>
      <errorID>5710512b-24bb-41d3-a860-fee2af859a67</errorID>
      <errorWord>"</errorWord>
      <group>L1_Format</group>
      <groupName>格式问题</groupName>
      <ability>L2_HalfPunc_CN</ability>
      <abilityName>全半角问题</abilityName>
      <candidateList/>
      <explain>文本全半角错误。</explain>
      <paraID>75E80AE8</paraID>
      <start>79</start>
      <end>80</end>
      <status>unmodified</status>
      <modifiedWord/>
      <trackRevisions>false</trackRevisions>
    </reviewItem>
    <reviewItem>
      <errorID>9ba8de95-3e98-4189-8d5c-f3d5f714d398</errorID>
      <errorWord>.，</errorWord>
      <group>L1_Punc</group>
      <groupName>标点问题</groupName>
      <ability>L2_Punc_CN</ability>
      <abilityName>标点符号问题</abilityName>
      <candidateList>
        <item>.</item>
      </candidateList>
      <explain/>
      <paraID> 289EDC2</paraID>
      <start>181</start>
      <end>183</end>
      <status>unmodified</status>
      <modifiedWord/>
      <trackRevisions>false</trackRevisions>
    </reviewItem>
    <reviewItem>
      <errorID>563b0eed-38ab-4292-a8cc-8819d838db26</errorID>
      <errorWord>根据文献及资料显示</errorWord>
      <group>L1_Grammar</group>
      <groupName>语法问题</groupName>
      <ability>L2_Grammar</ability>
      <abilityName>语法错误</abilityName>
      <candidateList>
        <item>根据文献及资料</item>
      </candidateList>
      <explain>该表达中的“根据文献及资料显示”存在语义重复。</explain>
      <paraID>5623AFB4</paraID>
      <start>0</start>
      <end>9</end>
      <status>unmodified</status>
      <modifiedWord/>
      <trackRevisions>false</trackRevisions>
    </reviewItem>
    <reviewItem>
      <errorID>75a064b5-0a5e-430d-b372-b8b9a384c080</errorID>
      <errorWord>大眼间</errorWord>
      <group>L1_Word</group>
      <groupName>字词问题</groupName>
      <ability>L2_Typo</ability>
      <abilityName>字词错误</abilityName>
      <candidateList>
        <item>大眼睛</item>
      </candidateList>
      <explain/>
      <paraID>10025991</paraID>
      <start>0</start>
      <end>3</end>
      <status>unmodified</status>
      <modifiedWord/>
      <trackRevisions>false</trackRevisions>
    </reviewItem>
    <reviewItem>
      <errorID>3921ac65-5483-4cb8-90b9-0d8680ab3c08</errorID>
      <errorWord>主要的</errorWord>
      <group>L1_Word</group>
      <groupName>字词问题</groupName>
      <ability>L2_Typo</ability>
      <abilityName>字词错误</abilityName>
      <candidateList>
        <item>主要</item>
      </candidateList>
      <explain/>
      <paraID>38686ED7</paraID>
      <start>111</start>
      <end>114</end>
      <status>unmodified</status>
      <modifiedWord/>
      <trackRevisions>false</trackRevisions>
    </reviewItem>
    <reviewItem>
      <errorID>2c9754b9-61b8-439a-ada7-80f4178f45c3</errorID>
      <errorWord>21.95千</errorWord>
      <group>L1_Knowledge</group>
      <groupName>知识性问题</groupName>
      <ability>L2_Knowledge</ability>
      <abilityName>其他知识</abilityName>
      <candidateList>
        <item>21950</item>
      </candidateList>
      <explain>根据GB/T 15835-2011规定，只有“万”、“亿可以与阿拉伯数字混用，例如：“4万”、“4亿”、“4万亿”等。其他情况应统一使用阿拉伯数字。</explain>
      <paraID>5EF08C24</paraID>
      <start>119</start>
      <end>125</end>
      <status>unmodified</status>
      <modifiedWord/>
      <trackRevisions>false</trackRevisions>
    </reviewItem>
    <reviewItem>
      <errorID>98081d01-5651-4a23-8827-25c250756466</errorID>
      <errorWord>21.61千</errorWord>
      <group>L1_Knowledge</group>
      <groupName>知识性问题</groupName>
      <ability>L2_Knowledge</ability>
      <abilityName>其他知识</abilityName>
      <candidateList>
        <item>21610</item>
      </candidateList>
      <explain>根据GB/T 15835-2011规定，只有“万”、“亿可以与阿拉伯数字混用，例如：“4万”、“4亿”、“4万亿”等。其他情况应统一使用阿拉伯数字。</explain>
      <paraID>1A1AF641</paraID>
      <start>115</start>
      <end>121</end>
      <status>unmodified</status>
      <modifiedWord/>
      <trackRevisions>false</trackRevisions>
    </reviewItem>
    <reviewItem>
      <errorID>ea77e378-ce70-40e4-aa1d-b7174c129ff9</errorID>
      <errorWord>17.31千</errorWord>
      <group>L1_Knowledge</group>
      <groupName>知识性问题</groupName>
      <ability>L2_Knowledge</ability>
      <abilityName>其他知识</abilityName>
      <candidateList>
        <item>17310</item>
      </candidateList>
      <explain>根据GB/T 15835-2011规定，只有“万”、“亿可以与阿拉伯数字混用，例如：“4万”、“4亿”、“4万亿”等。其他情况应统一使用阿拉伯数字。</explain>
      <paraID>7967FD3A</paraID>
      <start>109</start>
      <end>115</end>
      <status>unmodified</status>
      <modifiedWord/>
      <trackRevisions>false</trackRevisions>
    </reviewItem>
    <reviewItem>
      <errorID>8328173d-098b-4103-8717-44b92396db00</errorID>
      <errorWord>20.30千</errorWord>
      <group>L1_Knowledge</group>
      <groupName>知识性问题</groupName>
      <ability>L2_Knowledge</ability>
      <abilityName>其他知识</abilityName>
      <candidateList>
        <item>20300</item>
      </candidateList>
      <explain>根据GB/T 15835-2011规定，只有“万”、“亿可以与阿拉伯数字混用，例如：“4万”、“4亿”、“4万亿”等。其他情况应统一使用阿拉伯数字。</explain>
      <paraID>6A17D436</paraID>
      <start>111</start>
      <end>117</end>
      <status>unmodified</status>
      <modifiedWord/>
      <trackRevisions>false</trackRevisions>
    </reviewItem>
    <reviewItem>
      <errorID>4b272589-7299-4673-9faa-ba57df4b6440</errorID>
      <errorWord>15.33千</errorWord>
      <group>L1_Knowledge</group>
      <groupName>知识性问题</groupName>
      <ability>L2_Knowledge</ability>
      <abilityName>其他知识</abilityName>
      <candidateList>
        <item>15330</item>
      </candidateList>
      <explain>根据GB/T 15835-2011规定，只有“万”、“亿可以与阿拉伯数字混用，例如：“4万”、“4亿”、“4万亿”等。其他情况应统一使用阿拉伯数字。</explain>
      <paraID>644E68C2</paraID>
      <start>105</start>
      <end>111</end>
      <status>unmodified</status>
      <modifiedWord/>
      <trackRevisions>false</trackRevisions>
    </reviewItem>
    <reviewItem>
      <errorID>84262f2e-6d3c-465c-9ecf-8943ca65418e</errorID>
      <errorWord>32.41千</errorWord>
      <group>L1_Knowledge</group>
      <groupName>知识性问题</groupName>
      <ability>L2_Knowledge</ability>
      <abilityName>其他知识</abilityName>
      <candidateList>
        <item>32409.999999999996</item>
      </candidateList>
      <explain>根据GB/T 15835-2011规定，只有“万”、“亿可以与阿拉伯数字混用，例如：“4万”、“4亿”、“4万亿”等。其他情况应统一使用阿拉伯数字。</explain>
      <paraID>4C6B7D39</paraID>
      <start>111</start>
      <end>117</end>
      <status>unmodified</status>
      <modifiedWord/>
      <trackRevisions>false</trackRevisions>
    </reviewItem>
    <reviewItem>
      <errorID>79ba8956-4d9e-4baa-977a-1af523f90e8a</errorID>
      <errorWord>"</errorWord>
      <group>L1_Format</group>
      <groupName>格式问题</groupName>
      <ability>L2_HalfPunc_CN</ability>
      <abilityName>全半角问题</abilityName>
      <candidateList>
        <item>“</item>
      </candidateList>
      <explain>文本全半角错误。</explain>
      <paraID>5ADAA906</paraID>
      <start>37</start>
      <end>38</end>
      <status>unmodified</status>
      <modifiedWord/>
      <trackRevisions>false</trackRevisions>
    </reviewItem>
    <reviewItem>
      <errorID>e13c5573-e61a-4188-9aaf-a528c51f0fc0</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5ADAA906</paraID>
      <start>43</start>
      <end>44</end>
      <status>unmodified</status>
      <modifiedWord/>
      <trackRevisions>false</trackRevisions>
    </reviewItem>
    <reviewItem>
      <errorID>567899e9-f923-47ec-a276-343c8b48e2ed</errorID>
      <errorWord>"</errorWord>
      <group>L1_Format</group>
      <groupName>格式问题</groupName>
      <ability>L2_HalfPunc_CN</ability>
      <abilityName>全半角问题</abilityName>
      <candidateList>
        <item>“</item>
      </candidateList>
      <explain>文本全半角错误。</explain>
      <paraID>5ADAA906</paraID>
      <start>76</start>
      <end>77</end>
      <status>unmodified</status>
      <modifiedWord/>
      <trackRevisions>false</trackRevisions>
    </reviewItem>
    <reviewItem>
      <errorID>88db9624-9246-415e-bbea-6e9de90a03fe</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5ADAA906</paraID>
      <start>79</start>
      <end>80</end>
      <status>unmodified</status>
      <modifiedWord/>
      <trackRevisions>false</trackRevisions>
    </reviewItem>
    <reviewItem>
      <errorID>7404e0d2-5d7d-42b6-b493-28c0643def2c</errorID>
      <errorWord>国家4A级景区</errorWord>
      <group>L1_Word</group>
      <groupName>字词问题</groupName>
      <ability>L2_Typo</ability>
      <abilityName>字词错误</abilityName>
      <candidateList>
        <item>国家4A级旅游景区</item>
      </candidateList>
      <explain/>
      <paraID>5ADAA906</paraID>
      <start>139</start>
      <end>146</end>
      <status>unmodified</status>
      <modifiedWord/>
      <trackRevisions>false</trackRevisions>
    </reviewItem>
    <reviewItem>
      <errorID>cce3a1ab-1fe9-49fb-b524-a5d8d42400aa</errorID>
      <errorWord>国家4A级景区</errorWord>
      <group>L1_Word</group>
      <groupName>字词问题</groupName>
      <ability>L2_Typo</ability>
      <abilityName>字词错误</abilityName>
      <candidateList>
        <item>国家4A级旅游景区</item>
      </candidateList>
      <explain/>
      <paraID>328D8C2B</paraID>
      <start>55</start>
      <end>62</end>
      <status>unmodified</status>
      <modifiedWord/>
      <trackRevisions>false</trackRevisions>
    </reviewItem>
    <reviewItem>
      <errorID>da0e76f8-c80b-4db1-bb80-6adbbffe6225</errorID>
      <errorWord>"</errorWord>
      <group>L1_Format</group>
      <groupName>格式问题</groupName>
      <ability>L2_HalfPunc_CN</ability>
      <abilityName>全半角问题</abilityName>
      <candidateList>
        <item>“</item>
      </candidateList>
      <explain>文本全半角错误。</explain>
      <paraID>328D8C2B</paraID>
      <start>107</start>
      <end>108</end>
      <status>unmodified</status>
      <modifiedWord/>
      <trackRevisions>false</trackRevisions>
    </reviewItem>
    <reviewItem>
      <errorID>547c0f79-c93f-4d16-94cd-f9c56aaebc02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328D8C2B</paraID>
      <start>117</start>
      <end>118</end>
      <status>unmodified</status>
      <modifiedWord/>
      <trackRevisions>false</trackRevisions>
    </reviewItem>
    <reviewItem>
      <errorID>2c1f8acb-696b-485c-b217-573b08a57cab</errorID>
      <errorWord>"</errorWord>
      <group>L1_Format</group>
      <groupName>格式问题</groupName>
      <ability>L2_HalfPunc_CN</ability>
      <abilityName>全半角问题</abilityName>
      <candidateList>
        <item>“</item>
      </candidateList>
      <explain>文本全半角错误。</explain>
      <paraID>2BDACE8A</paraID>
      <start>34</start>
      <end>35</end>
      <status>unmodified</status>
      <modifiedWord/>
      <trackRevisions>false</trackRevisions>
    </reviewItem>
    <reviewItem>
      <errorID>09a7d26c-3fca-4365-ad16-0e8da26bc07b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2BDACE8A</paraID>
      <start>39</start>
      <end>40</end>
      <status>unmodified</status>
      <modifiedWord/>
      <trackRevisions>false</trackRevisions>
    </reviewItem>
    <reviewItem>
      <errorID>81d52d1a-3c31-4820-b24d-1bf89d1fae24</errorID>
      <errorWord>国家4A级景区</errorWord>
      <group>L1_Word</group>
      <groupName>字词问题</groupName>
      <ability>L2_Typo</ability>
      <abilityName>字词错误</abilityName>
      <candidateList>
        <item>国家4A级旅游景区</item>
      </candidateList>
      <explain/>
      <paraID>2BDACE8A</paraID>
      <start>71</start>
      <end>78</end>
      <status>unmodified</status>
      <modifiedWord/>
      <trackRevisions>false</trackRevisions>
    </reviewItem>
    <reviewItem>
      <errorID>8dda987d-5d77-412a-ab7c-7fd6eb3d8444</errorID>
      <errorWord>国家3A级景区</errorWord>
      <group>L1_Word</group>
      <groupName>字词问题</groupName>
      <ability>L2_Typo</ability>
      <abilityName>字词错误</abilityName>
      <candidateList>
        <item>国家3A级旅游景区</item>
      </candidateList>
      <explain/>
      <paraID>2BDACE8A</paraID>
      <start>85</start>
      <end>92</end>
      <status>unmodified</status>
      <modifiedWord/>
      <trackRevisions>false</trackRevisions>
    </reviewItem>
    <reviewItem>
      <errorID>2adad320-124f-439c-8884-b017ee03af8d</errorID>
      <errorWord>国家4A级景区</errorWord>
      <group>L1_Word</group>
      <groupName>字词问题</groupName>
      <ability>L2_Typo</ability>
      <abilityName>字词错误</abilityName>
      <candidateList>
        <item>国家4A级旅游景区</item>
      </candidateList>
      <explain/>
      <paraID>518A75F5</paraID>
      <start>53</start>
      <end>60</end>
      <status>unmodified</status>
      <modifiedWord/>
      <trackRevisions>false</trackRevisions>
    </reviewItem>
    <reviewItem>
      <errorID>cabeedea-0c2f-4290-8767-63983cb18ede</errorID>
      <errorWord>国家4A级景区</errorWord>
      <group>L1_Word</group>
      <groupName>字词问题</groupName>
      <ability>L2_Typo</ability>
      <abilityName>字词错误</abilityName>
      <candidateList>
        <item>国家4A级旅游景区</item>
      </candidateList>
      <explain/>
      <paraID>6166FF89</paraID>
      <start>41</start>
      <end>48</end>
      <status>unmodified</status>
      <modifiedWord/>
      <trackRevisions>false</trackRevisions>
    </reviewItem>
    <reviewItem>
      <errorID>e03d1586-bcdb-44b8-9081-e57bd30eba49</errorID>
      <errorWord>国家4A级景区</errorWord>
      <group>L1_Word</group>
      <groupName>字词问题</groupName>
      <ability>L2_Typo</ability>
      <abilityName>字词错误</abilityName>
      <candidateList>
        <item>国家4A级旅游景区</item>
      </candidateList>
      <explain/>
      <paraID>6DA6E98E</paraID>
      <start>72</start>
      <end>79</end>
      <status>unmodified</status>
      <modifiedWord/>
      <trackRevisions>false</trackRevisions>
    </reviewItem>
    <reviewItem>
      <errorID>a45c62eb-734e-4a3a-8668-600aa1b08cd5</errorID>
      <errorWord>国家4A级景区</errorWord>
      <group>L1_Word</group>
      <groupName>字词问题</groupName>
      <ability>L2_Typo</ability>
      <abilityName>字词错误</abilityName>
      <candidateList>
        <item>国家4A级旅游景区</item>
      </candidateList>
      <explain/>
      <paraID>177ADA52</paraID>
      <start>41</start>
      <end>48</end>
      <status>unmodified</status>
      <modifiedWord/>
      <trackRevisions>false</trackRevisions>
    </reviewItem>
    <reviewItem>
      <errorID>0bda3586-1d58-4e2f-888c-939c2dc62573</errorID>
      <errorWord>件</errorWord>
      <group>L1_Word</group>
      <groupName>字词问题</groupName>
      <ability>L2_Typo</ability>
      <abilityName>字词错误</abilityName>
      <candidateList>
        <item>座</item>
      </candidateList>
      <explain/>
      <paraID>7FD5A074</paraID>
      <start>8</start>
      <end>9</end>
      <status>unmodified</status>
      <modifiedWord/>
      <trackRevisions>false</trackRevisions>
    </reviewItem>
    <reviewItem>
      <errorID>0ee32dfd-b5ea-4e1c-b7f3-9cbac2b7d5b1</errorID>
      <errorWord>水库仅</errorWord>
      <group>L1_Word</group>
      <groupName>字词问题</groupName>
      <ability>L2_Typo</ability>
      <abilityName>字词错误</abilityName>
      <candidateList>
        <item>水库</item>
      </candidateList>
      <explain/>
      <paraID> D1A65BC</paraID>
      <start>219</start>
      <end>222</end>
      <status>unmodified</status>
      <modifiedWord/>
      <trackRevisions>false</trackRevisions>
    </reviewItem>
    <reviewItem>
      <errorID>c1834e85-9163-4315-a8d9-35313b943498</errorID>
      <errorWord>件</errorWord>
      <group>L1_Word</group>
      <groupName>字词问题</groupName>
      <ability>L2_Typo</ability>
      <abilityName>字词错误</abilityName>
      <candidateList>
        <item>座</item>
      </candidateList>
      <explain/>
      <paraID> 9CC2E25</paraID>
      <start>9</start>
      <end>10</end>
      <status>unmodified</status>
      <modifiedWord/>
      <trackRevisions>false</trackRevisions>
    </reviewItem>
    <reviewItem>
      <errorID>1c266302-0531-429a-87a4-f5fbe5eb81d0</errorID>
      <errorWord>件</errorWord>
      <group>L1_Knowledge</group>
      <groupName>知识性问题</groupName>
      <ability>L2_Knowledge</ability>
      <abilityName>其他知识</abilityName>
      <candidateList>
        <item>座</item>
      </candidateList>
      <explain>请检查“件”是否为量词使用错误，建议修改为“座”。</explain>
      <paraID>1630F5DE</paraID>
      <start>63</start>
      <end>64</end>
      <status>unmodified</status>
      <modifiedWord/>
      <trackRevisions>false</trackRevisions>
    </reviewItem>
    <reviewItem>
      <errorID>4e145605-e6e1-4771-bb8f-67e5794a45b3</errorID>
      <errorWord>调节</errorWord>
      <group>L1_Word</group>
      <groupName>字词问题</groupName>
      <ability>L2_Typo</ability>
      <abilityName>字词错误</abilityName>
      <candidateList>
        <item>调解</item>
      </candidateList>
      <explain/>
      <paraID>41B889C0</paraID>
      <start>2</start>
      <end>4</end>
      <status>unmodified</status>
      <modifiedWord/>
      <trackRevisions>false</trackRevisions>
    </reviewItem>
    <reviewItem>
      <errorID>95bd39d2-36dd-460b-83ed-3138b3d27eb0</errorID>
      <errorWord>以堵</errorWord>
      <group>L1_Word</group>
      <groupName>字词问题</groupName>
      <ability>L2_Typo</ability>
      <abilityName>字词错误</abilityName>
      <candidateList>
        <item>一堵</item>
      </candidateList>
      <explain/>
      <paraID>666A2087</paraID>
      <start>183</start>
      <end>185</end>
      <status>unmodified</status>
      <modifiedWord/>
      <trackRevisions>false</trackRevisions>
    </reviewItem>
    <reviewItem>
      <errorID>ca22ba32-8f4b-487c-9a96-e07d5db1f41a</errorID>
      <errorWord>一</errorWord>
      <group>L1_Word</group>
      <groupName>字词问题</groupName>
      <ability>L2_Typo</ability>
      <abilityName>字词错误</abilityName>
      <candidateList>
        <item>一个</item>
      </candidateList>
      <explain/>
      <paraID>666A2087</paraID>
      <start>202</start>
      <end>203</end>
      <status>unmodified</status>
      <modifiedWord/>
      <trackRevisions>false</trackRevisions>
    </reviewItem>
    <reviewItem>
      <errorID>30da1879-63d9-4e24-8343-662891d001b8</errorID>
      <errorWord>工程的建设</errorWord>
      <group>L1_Word</group>
      <groupName>字词问题</groupName>
      <ability>L2_Typo</ability>
      <abilityName>字词错误</abilityName>
      <candidateList>
        <item>工程建设</item>
      </candidateList>
      <explain/>
      <paraID>18DEAB99</paraID>
      <start>84</start>
      <end>89</end>
      <status>unmodified</status>
      <modifiedWord/>
      <trackRevisions>false</trackRevisions>
    </reviewItem>
    <reviewItem>
      <errorID>c5581672-3c58-4aa5-be4b-ca8ac14ed9b6</errorID>
      <errorWord>流水鱼类</errorWord>
      <group>L1_Knowledge</group>
      <groupName>知识性问题</groupName>
      <ability>L2_Term</ability>
      <abilityName>专业术语</abilityName>
      <candidateList>
        <item>淡水鱼类</item>
      </candidateList>
      <explain/>
      <paraID>3021DE8C</paraID>
      <start>41</start>
      <end>45</end>
      <status>unmodified</status>
      <modifiedWord/>
      <trackRevisions>false</trackRevisions>
    </reviewItem>
    <reviewItem>
      <errorID>b3a0bd44-b9ee-4049-a8dd-d299526b6932</errorID>
      <errorWord>"</errorWord>
      <group>L1_Format</group>
      <groupName>格式问题</groupName>
      <ability>L2_HalfPunc_CN</ability>
      <abilityName>全半角问题</abilityName>
      <candidateList>
        <item>“</item>
      </candidateList>
      <explain>文本全半角错误。</explain>
      <paraID>5BAB44AF</paraID>
      <start>93</start>
      <end>94</end>
      <status>unmodified</status>
      <modifiedWord/>
      <trackRevisions>false</trackRevisions>
    </reviewItem>
    <reviewItem>
      <errorID>0d33813a-41b9-4778-bede-9432a2bffee4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5BAB44AF</paraID>
      <start>113</start>
      <end>114</end>
      <status>unmodified</status>
      <modifiedWord/>
      <trackRevisions>false</trackRevisions>
    </reviewItem>
    <reviewItem>
      <errorID>56fe1522-d5d3-4116-bca9-794043603c52</errorID>
      <errorWord>"</errorWord>
      <group>L1_Format</group>
      <groupName>格式问题</groupName>
      <ability>L2_HalfPunc_CN</ability>
      <abilityName>全半角问题</abilityName>
      <candidateList>
        <item>“</item>
      </candidateList>
      <explain>文本全半角错误。</explain>
      <paraID>5BAB44AF</paraID>
      <start>121</start>
      <end>122</end>
      <status>unmodified</status>
      <modifiedWord/>
      <trackRevisions>false</trackRevisions>
    </reviewItem>
    <reviewItem>
      <errorID>690e6a53-5843-474f-a506-f370105d9fbc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5BAB44AF</paraID>
      <start>133</start>
      <end>134</end>
      <status>unmodified</status>
      <modifiedWord/>
      <trackRevisions>false</trackRevisions>
    </reviewItem>
    <reviewItem>
      <errorID>605c19fa-6b21-4355-a30e-976e28fcd281</errorID>
      <errorWord>"</errorWord>
      <group>L1_Format</group>
      <groupName>格式问题</groupName>
      <ability>L2_HalfPunc_CN</ability>
      <abilityName>全半角问题</abilityName>
      <candidateList>
        <item>“</item>
      </candidateList>
      <explain>文本全半角错误。</explain>
      <paraID>5180125F</paraID>
      <start>156</start>
      <end>157</end>
      <status>unmodified</status>
      <modifiedWord/>
      <trackRevisions>false</trackRevisions>
    </reviewItem>
    <reviewItem>
      <errorID>55b03d86-1d03-440a-9707-252bcb1d57a9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5180125F</paraID>
      <start>166</start>
      <end>167</end>
      <status>unmodified</status>
      <modifiedWord/>
      <trackRevisions>false</trackRevisions>
    </reviewItem>
    <reviewItem>
      <errorID>d9bb50f7-a9f4-4097-a6c5-0de11b2d3ac7</errorID>
      <errorWord>"</errorWord>
      <group>L1_Format</group>
      <groupName>格式问题</groupName>
      <ability>L2_HalfPunc_CN</ability>
      <abilityName>全半角问题</abilityName>
      <candidateList>
        <item>“</item>
      </candidateList>
      <explain>文本全半角错误。</explain>
      <paraID>7B658108</paraID>
      <start>50</start>
      <end>51</end>
      <status>unmodified</status>
      <modifiedWord/>
      <trackRevisions>false</trackRevisions>
    </reviewItem>
    <reviewItem>
      <errorID>b8c92259-e790-40a7-b5b7-317c742e7de9</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7B658108</paraID>
      <start>53</start>
      <end>54</end>
      <status>unmodified</status>
      <modifiedWord/>
      <trackRevisions>false</trackRevisions>
    </reviewItem>
    <reviewItem>
      <errorID>514788f4-c4f7-4521-9e39-940489ec9aa7</errorID>
      <errorWord>"</errorWord>
      <group>L1_Format</group>
      <groupName>格式问题</groupName>
      <ability>L2_HalfPunc_CN</ability>
      <abilityName>全半角问题</abilityName>
      <candidateList>
        <item>“</item>
      </candidateList>
      <explain>文本全半角错误。</explain>
      <paraID>1B486C45</paraID>
      <start>134</start>
      <end>135</end>
      <status>unmodified</status>
      <modifiedWord/>
      <trackRevisions>false</trackRevisions>
    </reviewItem>
    <reviewItem>
      <errorID>f9914718-5c93-4b1b-ab9a-b7087749acef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1B486C45</paraID>
      <start>137</start>
      <end>138</end>
      <status>unmodified</status>
      <modifiedWord/>
      <trackRevisions>false</trackRevisions>
    </reviewItem>
    <reviewItem>
      <errorID>03f16af5-15a0-4df9-9de2-493774c4b4fd</errorID>
      <errorWord>少数民族地区</errorWord>
      <group>L1_Word</group>
      <groupName>字词问题</groupName>
      <ability>L2_Typo</ability>
      <abilityName>字词错误</abilityName>
      <candidateList>
        <item>民族地区</item>
      </candidateList>
      <explain/>
      <paraID>3901059C</paraID>
      <start>4</start>
      <end>10</end>
      <status>unmodified</status>
      <modifiedWord/>
      <trackRevisions>false</trackRevisions>
    </reviewItem>
    <reviewItem>
      <errorID>d7ce4462-6237-4860-93b0-45e2ed5e1025</errorID>
      <errorWord>"</errorWord>
      <group>L1_Format</group>
      <groupName>格式问题</groupName>
      <ability>L2_HalfPunc_CN</ability>
      <abilityName>全半角问题</abilityName>
      <candidateList>
        <item>“</item>
      </candidateList>
      <explain>文本全半角错误。</explain>
      <paraID>5D25CB2C</paraID>
      <start>128</start>
      <end>129</end>
      <status>unmodified</status>
      <modifiedWord/>
      <trackRevisions>false</trackRevisions>
    </reviewItem>
    <reviewItem>
      <errorID>8b046a83-6406-4847-81be-0073bff70c9f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5D25CB2C</paraID>
      <start>139</start>
      <end>140</end>
      <status>unmodified</status>
      <modifiedWord/>
      <trackRevisions>false</trackRevisions>
    </reviewItem>
    <reviewItem>
      <errorID>3d3f268b-e613-4785-a8aa-2f7aa8fe99da</errorID>
      <errorWord>水温</errorWord>
      <group>L1_Word</group>
      <groupName>字词问题</groupName>
      <ability>L2_Typo</ability>
      <abilityName>字词错误</abilityName>
      <candidateList>
        <item>水文</item>
      </candidateList>
      <explain/>
      <paraID> 992F95B</paraID>
      <start>111</start>
      <end>113</end>
      <status>unmodified</status>
      <modifiedWord/>
      <trackRevisions>false</trackRevisions>
    </reviewItem>
    <reviewItem>
      <errorID>2d186c83-9a17-4ef2-b96a-ba1815341298</errorID>
      <errorWord>.</errorWord>
      <group>L1_Format</group>
      <groupName>格式问题</groupName>
      <ability>L2_HalfPunc_CN</ability>
      <abilityName>全半角问题</abilityName>
      <candidateList>
        <item>。</item>
      </candidateList>
      <explain>文本全半角错误。</explain>
      <paraID>104719BE</paraID>
      <start>14</start>
      <end>15</end>
      <status>unmodified</status>
      <modifiedWord/>
      <trackRevisions>false</trackRevisions>
    </reviewItem>
    <reviewItem>
      <errorID>65dbc3da-8e53-4e2b-afd8-283cc6e769d0</errorID>
      <errorWord>.</errorWord>
      <group>L1_Format</group>
      <groupName>格式问题</groupName>
      <ability>L2_HalfPunc_CN</ability>
      <abilityName>全半角问题</abilityName>
      <candidateList>
        <item>。</item>
      </candidateList>
      <explain>文本全半角错误。</explain>
      <paraID>  88CCD3</paraID>
      <start>12</start>
      <end>13</end>
      <status>unmodified</status>
      <modifiedWord/>
      <trackRevisions>false</trackRevisions>
    </reviewItem>
    <reviewItem>
      <errorID>81c540b7-6300-4419-a01c-ab706f2f6b26</errorID>
      <errorWord>件</errorWord>
      <group>L1_Word</group>
      <groupName>字词问题</groupName>
      <ability>L2_Typo</ability>
      <abilityName>字词错误</abilityName>
      <candidateList>
        <item>座</item>
      </candidateList>
      <explain/>
      <paraID>600F62EA</paraID>
      <start>30</start>
      <end>31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9250fb-6703-4af7-872a-fa70fc17a6ce}">
  <ds:schemaRefs/>
</ds:datastoreItem>
</file>

<file path=docProps/app.xml><?xml version="1.0" encoding="utf-8"?>
<Properties xmlns="http://schemas.openxmlformats.org/officeDocument/2006/extended-properties" xmlns:vt="http://schemas.openxmlformats.org/officeDocument/2006/docPropsVTypes">
  <Template>normal.dotm</Template>
  <Pages>367</Pages>
  <Words>783</Words>
  <Characters>1094</Characters>
  <Lines>49</Lines>
  <Paragraphs>13</Paragraphs>
  <TotalTime>13</TotalTime>
  <ScaleCrop>false</ScaleCrop>
  <LinksUpToDate>false</LinksUpToDate>
  <CharactersWithSpaces>1234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2026-05-19T06:29:00Z</dcterms:created>
  <dc:creator>lenovo</dc:creator>
  <cp:lastModifiedBy>郭丽娜</cp:lastModifiedBy>
  <dcterms:modified xsi:type="dcterms:W3CDTF">2026-10-26T02:10:06Z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358CA8468FEC4183ABA35ED83CCD28D1_13</vt:lpwstr>
  </property>
  <property fmtid="{D5CDD505-2E9C-101B-9397-08002B2CF9AE}" pid="4" name="KSOTemplateDocerSaveRecord">
    <vt:lpwstr>eyJoZGlkIjoiYTA0OTFiNTllN2E3YTc2MDc5ZTIwYTg0ZjFlZjFlMWQiLCJ1c2VySWQiOiIzNzMyMDUyODEifQ==</vt:lpwstr>
  </property>
  <property fmtid="{D5CDD505-2E9C-101B-9397-08002B2CF9AE}" pid="5" name="_DocHome">
    <vt:i4>1329873408</vt:i4>
  </property>
</Properties>
</file>