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6A008E">
      <w:pPr>
        <w:numPr>
          <w:ilvl w:val="0"/>
          <w:numId w:val="0"/>
        </w:numPr>
        <w:topLinePunct/>
        <w:spacing w:beforeLines="0" w:line="580" w:lineRule="exact"/>
        <w:ind w:firstLine="0"/>
        <w:jc w:val="left"/>
        <w:rPr>
          <w:rFonts w:hint="default" w:ascii="Times New Roman" w:hAnsi="Times New Roman" w:eastAsia="方正黑体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  <w:shd w:val="clear" w:color="auto" w:fill="FFFFFF"/>
        </w:rPr>
        <w:t>附件1</w:t>
      </w:r>
    </w:p>
    <w:p w14:paraId="64193666">
      <w:pPr>
        <w:numPr>
          <w:ilvl w:val="0"/>
          <w:numId w:val="0"/>
        </w:numPr>
        <w:topLinePunct/>
        <w:spacing w:beforeLines="0" w:line="580" w:lineRule="exact"/>
        <w:ind w:firstLine="0"/>
        <w:jc w:val="left"/>
        <w:rPr>
          <w:rFonts w:hint="default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</w:p>
    <w:p w14:paraId="3366740F">
      <w:pPr>
        <w:numPr>
          <w:ilvl w:val="0"/>
          <w:numId w:val="0"/>
        </w:numPr>
        <w:topLinePunct/>
        <w:spacing w:beforeLines="0" w:line="580" w:lineRule="exact"/>
        <w:ind w:firstLine="0"/>
        <w:jc w:val="center"/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FFFFFF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shd w:val="clear" w:color="auto" w:fill="FFFFFF"/>
        </w:rPr>
        <w:t>专家行业领域分类表</w:t>
      </w:r>
    </w:p>
    <w:tbl>
      <w:tblPr>
        <w:tblStyle w:val="2"/>
        <w:tblW w:w="90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1"/>
        <w:gridCol w:w="1812"/>
        <w:gridCol w:w="6162"/>
      </w:tblGrid>
      <w:tr w14:paraId="76950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tblHeader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E984C9A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FAE2971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lang w:bidi="ar"/>
              </w:rPr>
              <w:t>门类代码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C3174C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28"/>
                <w:szCs w:val="28"/>
                <w:lang w:bidi="ar"/>
              </w:rPr>
              <w:t>门类</w:t>
            </w:r>
          </w:p>
        </w:tc>
      </w:tr>
      <w:tr w14:paraId="21D641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9EB967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A8C30BD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A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90AD727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农、林、牧、渔业</w:t>
            </w:r>
          </w:p>
        </w:tc>
      </w:tr>
      <w:tr w14:paraId="78731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BF279C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2</w:t>
            </w:r>
          </w:p>
        </w:tc>
        <w:tc>
          <w:tcPr>
            <w:tcW w:w="18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141DCA3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B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51D1545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采矿业</w:t>
            </w:r>
          </w:p>
        </w:tc>
      </w:tr>
      <w:tr w14:paraId="29459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0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23844C8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3</w:t>
            </w:r>
          </w:p>
        </w:tc>
        <w:tc>
          <w:tcPr>
            <w:tcW w:w="181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D33E571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C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8333C1C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制造业</w:t>
            </w:r>
          </w:p>
        </w:tc>
      </w:tr>
      <w:tr w14:paraId="24B5EE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D77AF2F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D2152EB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D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870402E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8"/>
                <w:szCs w:val="2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电力、热力、燃气及水生产和供应业</w:t>
            </w:r>
          </w:p>
        </w:tc>
      </w:tr>
      <w:tr w14:paraId="2185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887B7C0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6FD1200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E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AD9F13E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建筑业</w:t>
            </w:r>
          </w:p>
        </w:tc>
      </w:tr>
      <w:tr w14:paraId="74CAE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D6DDE60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70AF134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G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6341676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交通运输、仓储和邮政业</w:t>
            </w:r>
          </w:p>
        </w:tc>
      </w:tr>
      <w:tr w14:paraId="0030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FF16E19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62D47F7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I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6CB4253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信息传输、软件和信息技术服务业</w:t>
            </w:r>
          </w:p>
        </w:tc>
      </w:tr>
      <w:tr w14:paraId="696EE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8E91DD9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31B4EB5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J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5F2C838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金融业</w:t>
            </w:r>
          </w:p>
        </w:tc>
      </w:tr>
      <w:tr w14:paraId="0EA83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984B1B5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1D736E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K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BF85AB4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房地产业</w:t>
            </w:r>
          </w:p>
        </w:tc>
      </w:tr>
      <w:tr w14:paraId="46EDE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0A79489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5FC84AA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L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BA918A9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租赁和商务服务业</w:t>
            </w:r>
          </w:p>
        </w:tc>
      </w:tr>
      <w:tr w14:paraId="18246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EB02DBE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66C54E0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M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AC6E010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科学研究和技术服务业</w:t>
            </w:r>
          </w:p>
        </w:tc>
      </w:tr>
      <w:tr w14:paraId="1F97A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62A39A8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181998D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N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51BD1EF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水利、环境和公共设施管理业</w:t>
            </w:r>
          </w:p>
        </w:tc>
      </w:tr>
      <w:tr w14:paraId="65D51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60C360B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6680127A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P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4F6F83D3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教育</w:t>
            </w:r>
          </w:p>
        </w:tc>
      </w:tr>
      <w:tr w14:paraId="0BEDB9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913A8B7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3F2260CB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Q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58D53E69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卫生和社会工作</w:t>
            </w:r>
          </w:p>
        </w:tc>
      </w:tr>
      <w:tr w14:paraId="6E168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0C94DCE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22BB20B6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R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3EFCD3E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文化、体育和娱乐业</w:t>
            </w:r>
          </w:p>
        </w:tc>
      </w:tr>
      <w:tr w14:paraId="5D202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D6A00D5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70FA15DC">
            <w:pPr>
              <w:widowControl/>
              <w:snapToGrid w:val="0"/>
              <w:spacing w:beforeLines="0" w:line="5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S</w:t>
            </w:r>
          </w:p>
        </w:tc>
        <w:tc>
          <w:tcPr>
            <w:tcW w:w="616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vAlign w:val="center"/>
          </w:tcPr>
          <w:p w14:paraId="17B4DD3B">
            <w:pPr>
              <w:widowControl/>
              <w:snapToGrid w:val="0"/>
              <w:spacing w:beforeLines="0" w:line="5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2"/>
                <w:lang w:bidi="ar"/>
              </w:rPr>
              <w:t>公共管理、社会保障和社会组织</w:t>
            </w:r>
          </w:p>
        </w:tc>
      </w:tr>
    </w:tbl>
    <w:p w14:paraId="0D02DE57">
      <w:pPr>
        <w:numPr>
          <w:ilvl w:val="0"/>
          <w:numId w:val="0"/>
        </w:numPr>
        <w:topLinePunct/>
        <w:spacing w:beforeLines="0" w:line="580" w:lineRule="exact"/>
        <w:ind w:firstLine="0"/>
        <w:jc w:val="left"/>
        <w:rPr>
          <w:rFonts w:hint="default" w:ascii="Times New Roman" w:hAnsi="Times New Roman" w:eastAsia="方正仿宋_GBK" w:cs="Times New Roman"/>
          <w:color w:val="auto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shd w:val="clear" w:color="auto" w:fill="FFFFFF"/>
        </w:rPr>
        <w:t>注：本表分类摘自《2017年国民经济行业分类》（GB/T4754—2017）。</w:t>
      </w:r>
    </w:p>
    <w:p w14:paraId="3C0FE26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99E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2026-10-20T01:04:46Z</dcterms:created>
  <dc:creator>HUAWEI</dc:creator>
  <cp:lastModifiedBy>坐南疆而北望</cp:lastModifiedBy>
  <dcterms:modified xsi:type="dcterms:W3CDTF">2026-10-20T01:04:53Z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eyJoZGlkIjoiMjQ3Zjk5YTQxNzZiMjFhNzJlNmY5MDdhZmNmNDYwYmUiLCJ1c2VySWQiOiI2MjM5OTc3NDYifQ==</vt:lpwstr>
  </property>
  <property fmtid="{D5CDD505-2E9C-101B-9397-08002B2CF9AE}" pid="4" name="ICV">
    <vt:lpwstr>3E67904C6E454C51B705E8B1BACC5C8F_12</vt:lpwstr>
  </property>
</Properties>
</file>